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52A00" w14:textId="5BA5A462" w:rsidR="007213F3" w:rsidRPr="00D51C36" w:rsidRDefault="004F3C7B" w:rsidP="007213F3">
      <w:pPr>
        <w:jc w:val="center"/>
        <w:rPr>
          <w:b/>
          <w:i/>
        </w:rPr>
      </w:pPr>
      <w:bookmarkStart w:id="0" w:name="_GoBack"/>
      <w:bookmarkEnd w:id="0"/>
      <w:r w:rsidRPr="00440257">
        <w:rPr>
          <w:noProof/>
          <w:lang w:eastAsia="en-GB"/>
        </w:rPr>
        <w:drawing>
          <wp:anchor distT="0" distB="0" distL="114300" distR="114300" simplePos="0" relativeHeight="251659264" behindDoc="0" locked="0" layoutInCell="1" allowOverlap="1" wp14:anchorId="7CA03A96" wp14:editId="2B9F91E2">
            <wp:simplePos x="0" y="0"/>
            <wp:positionH relativeFrom="column">
              <wp:posOffset>4099560</wp:posOffset>
            </wp:positionH>
            <wp:positionV relativeFrom="paragraph">
              <wp:posOffset>-708660</wp:posOffset>
            </wp:positionV>
            <wp:extent cx="2267289" cy="1156677"/>
            <wp:effectExtent l="0" t="0" r="0" b="5715"/>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030" cy="1164197"/>
                    </a:xfrm>
                    <a:prstGeom prst="rect">
                      <a:avLst/>
                    </a:prstGeom>
                  </pic:spPr>
                </pic:pic>
              </a:graphicData>
            </a:graphic>
            <wp14:sizeRelH relativeFrom="page">
              <wp14:pctWidth>0</wp14:pctWidth>
            </wp14:sizeRelH>
            <wp14:sizeRelV relativeFrom="page">
              <wp14:pctHeight>0</wp14:pctHeight>
            </wp14:sizeRelV>
          </wp:anchor>
        </w:drawing>
      </w:r>
    </w:p>
    <w:p w14:paraId="3318CC31" w14:textId="629C9066" w:rsidR="007213F3" w:rsidRPr="00D51C36" w:rsidRDefault="007213F3" w:rsidP="007213F3">
      <w:pPr>
        <w:jc w:val="center"/>
        <w:rPr>
          <w:b/>
          <w:sz w:val="32"/>
          <w:szCs w:val="32"/>
        </w:rPr>
      </w:pPr>
      <w:r w:rsidRPr="00D51C36">
        <w:rPr>
          <w:b/>
          <w:sz w:val="32"/>
          <w:szCs w:val="32"/>
        </w:rPr>
        <w:t>ACTIVE LEARNING TRUST</w:t>
      </w:r>
    </w:p>
    <w:p w14:paraId="08B5A845" w14:textId="741570FC" w:rsidR="0002782A" w:rsidRDefault="007213F3" w:rsidP="007213F3">
      <w:pPr>
        <w:jc w:val="center"/>
        <w:rPr>
          <w:b/>
          <w:sz w:val="32"/>
          <w:szCs w:val="32"/>
        </w:rPr>
      </w:pPr>
      <w:r w:rsidRPr="00D51C36">
        <w:rPr>
          <w:b/>
          <w:sz w:val="32"/>
          <w:szCs w:val="32"/>
        </w:rPr>
        <w:t>GENDER PAY GAP</w:t>
      </w:r>
      <w:r w:rsidR="00BB3FE6">
        <w:rPr>
          <w:b/>
          <w:sz w:val="32"/>
          <w:szCs w:val="32"/>
        </w:rPr>
        <w:t xml:space="preserve">: SNAPSHOT DATE </w:t>
      </w:r>
      <w:r w:rsidR="000F1FB9">
        <w:rPr>
          <w:b/>
          <w:sz w:val="32"/>
          <w:szCs w:val="32"/>
        </w:rPr>
        <w:t xml:space="preserve">31 </w:t>
      </w:r>
      <w:r w:rsidR="00DC4FC0">
        <w:rPr>
          <w:b/>
          <w:sz w:val="32"/>
          <w:szCs w:val="32"/>
        </w:rPr>
        <w:t>MARCH 2022</w:t>
      </w:r>
    </w:p>
    <w:p w14:paraId="048BD919" w14:textId="0AE2DF61" w:rsidR="007213F3" w:rsidRPr="00D51C36" w:rsidRDefault="0002782A" w:rsidP="007213F3">
      <w:pPr>
        <w:jc w:val="center"/>
        <w:rPr>
          <w:b/>
          <w:sz w:val="32"/>
          <w:szCs w:val="32"/>
        </w:rPr>
      </w:pPr>
      <w:r>
        <w:rPr>
          <w:b/>
          <w:sz w:val="32"/>
          <w:szCs w:val="32"/>
        </w:rPr>
        <w:t>(</w:t>
      </w:r>
      <w:r w:rsidR="007213F3" w:rsidRPr="00D51C36">
        <w:rPr>
          <w:b/>
          <w:sz w:val="32"/>
          <w:szCs w:val="32"/>
        </w:rPr>
        <w:t xml:space="preserve">REPORT </w:t>
      </w:r>
      <w:r>
        <w:rPr>
          <w:b/>
          <w:sz w:val="32"/>
          <w:szCs w:val="32"/>
        </w:rPr>
        <w:t xml:space="preserve">DATE: </w:t>
      </w:r>
      <w:r w:rsidR="00DC4FC0">
        <w:rPr>
          <w:b/>
          <w:sz w:val="32"/>
          <w:szCs w:val="32"/>
        </w:rPr>
        <w:t>SEPTEMBER</w:t>
      </w:r>
      <w:r w:rsidR="004F3C7B">
        <w:rPr>
          <w:b/>
          <w:sz w:val="32"/>
          <w:szCs w:val="32"/>
        </w:rPr>
        <w:t xml:space="preserve"> 2022</w:t>
      </w:r>
      <w:r>
        <w:rPr>
          <w:b/>
          <w:sz w:val="32"/>
          <w:szCs w:val="32"/>
        </w:rPr>
        <w:t>)</w:t>
      </w:r>
    </w:p>
    <w:p w14:paraId="1437FD21" w14:textId="54C8BA3C" w:rsidR="00B15690" w:rsidRPr="00B15690" w:rsidRDefault="007213F3" w:rsidP="00B15690">
      <w:pPr>
        <w:pStyle w:val="NormalWeb"/>
        <w:rPr>
          <w:rFonts w:asciiTheme="minorHAnsi" w:hAnsiTheme="minorHAnsi" w:cstheme="minorHAnsi"/>
          <w:sz w:val="22"/>
          <w:szCs w:val="22"/>
        </w:rPr>
      </w:pPr>
      <w:r w:rsidRPr="009D3B79">
        <w:rPr>
          <w:rFonts w:asciiTheme="minorHAnsi" w:hAnsiTheme="minorHAnsi" w:cstheme="minorHAnsi"/>
          <w:sz w:val="22"/>
          <w:szCs w:val="22"/>
        </w:rPr>
        <w:t xml:space="preserve">This Report contains the Active Learning Trust Statutory disclosure of the Gender Pay Gap </w:t>
      </w:r>
      <w:r w:rsidR="00CE6026" w:rsidRPr="009D3B79">
        <w:rPr>
          <w:rFonts w:asciiTheme="minorHAnsi" w:hAnsiTheme="minorHAnsi" w:cstheme="minorHAnsi"/>
          <w:sz w:val="22"/>
          <w:szCs w:val="22"/>
        </w:rPr>
        <w:t>for the annual reporting period and based on the public sector annual snapshot date</w:t>
      </w:r>
      <w:r w:rsidR="00C35455">
        <w:rPr>
          <w:rFonts w:asciiTheme="minorHAnsi" w:hAnsiTheme="minorHAnsi" w:cstheme="minorHAnsi"/>
          <w:sz w:val="22"/>
          <w:szCs w:val="22"/>
        </w:rPr>
        <w:t xml:space="preserve"> of 31 March 2022</w:t>
      </w:r>
      <w:r w:rsidR="00CE6026" w:rsidRPr="009D3B79">
        <w:rPr>
          <w:rFonts w:asciiTheme="minorHAnsi" w:hAnsiTheme="minorHAnsi" w:cstheme="minorHAnsi"/>
          <w:sz w:val="22"/>
          <w:szCs w:val="22"/>
        </w:rPr>
        <w:t xml:space="preserve">. </w:t>
      </w:r>
      <w:r w:rsidR="00B15690" w:rsidRPr="00B15690">
        <w:rPr>
          <w:rFonts w:asciiTheme="minorHAnsi" w:hAnsiTheme="minorHAnsi" w:cstheme="minorHAnsi"/>
          <w:sz w:val="22"/>
          <w:szCs w:val="22"/>
        </w:rPr>
        <w:t>The published information has been prepared from payroll dat</w:t>
      </w:r>
      <w:r w:rsidR="00B15690">
        <w:rPr>
          <w:rFonts w:asciiTheme="minorHAnsi" w:hAnsiTheme="minorHAnsi" w:cstheme="minorHAnsi"/>
          <w:sz w:val="22"/>
          <w:szCs w:val="22"/>
        </w:rPr>
        <w:t>a on that</w:t>
      </w:r>
      <w:r w:rsidR="00B15690" w:rsidRPr="00B15690">
        <w:rPr>
          <w:rFonts w:asciiTheme="minorHAnsi" w:hAnsiTheme="minorHAnsi" w:cstheme="minorHAnsi"/>
          <w:sz w:val="22"/>
          <w:szCs w:val="22"/>
        </w:rPr>
        <w:t xml:space="preserve"> snapshot date </w:t>
      </w:r>
      <w:r w:rsidR="00B15690">
        <w:rPr>
          <w:rFonts w:asciiTheme="minorHAnsi" w:hAnsiTheme="minorHAnsi" w:cstheme="minorHAnsi"/>
          <w:sz w:val="22"/>
          <w:szCs w:val="22"/>
        </w:rPr>
        <w:t>and</w:t>
      </w:r>
      <w:r w:rsidR="00B15690" w:rsidRPr="00B15690">
        <w:rPr>
          <w:rFonts w:asciiTheme="minorHAnsi" w:hAnsiTheme="minorHAnsi" w:cstheme="minorHAnsi"/>
          <w:sz w:val="22"/>
          <w:szCs w:val="22"/>
        </w:rPr>
        <w:t xml:space="preserve"> is accurate at the time of publication</w:t>
      </w:r>
    </w:p>
    <w:p w14:paraId="3E3CC116" w14:textId="77777777" w:rsidR="00BB3FE6" w:rsidRDefault="007213F3" w:rsidP="00BB3FE6">
      <w:pPr>
        <w:rPr>
          <w:rFonts w:cstheme="minorHAnsi"/>
        </w:rPr>
      </w:pPr>
      <w:r w:rsidRPr="009D3B79">
        <w:rPr>
          <w:rFonts w:cstheme="minorHAnsi"/>
        </w:rPr>
        <w:t>Employers of more than 250 employees must publish the gap in pay between men and women by the Median (distribution of pay rates) and the Mean (average hourly salary) rates, and on the basis of four quartiles of pay</w:t>
      </w:r>
      <w:r w:rsidR="00D74A62" w:rsidRPr="009D3B79">
        <w:rPr>
          <w:rFonts w:cstheme="minorHAnsi"/>
        </w:rPr>
        <w:t xml:space="preserve"> value</w:t>
      </w:r>
      <w:r w:rsidRPr="009D3B79">
        <w:rPr>
          <w:rFonts w:cstheme="minorHAnsi"/>
        </w:rPr>
        <w:t xml:space="preserve"> distribution by gender. </w:t>
      </w:r>
    </w:p>
    <w:p w14:paraId="0A3AA51C" w14:textId="01D717A0" w:rsidR="00BB3FE6" w:rsidRPr="009D3B79" w:rsidRDefault="00BB3FE6" w:rsidP="00BB3FE6">
      <w:pPr>
        <w:rPr>
          <w:rFonts w:cstheme="minorHAnsi"/>
        </w:rPr>
      </w:pPr>
      <w:r w:rsidRPr="009D3B79">
        <w:rPr>
          <w:rFonts w:cstheme="minorHAnsi"/>
          <w:b/>
        </w:rPr>
        <w:t>Gender representation at the reporting snapshot date</w:t>
      </w:r>
      <w:r w:rsidR="00C35455">
        <w:rPr>
          <w:rFonts w:cstheme="minorHAnsi"/>
          <w:b/>
        </w:rPr>
        <w:t xml:space="preserve"> (includes only those paid in March 2022)</w:t>
      </w:r>
    </w:p>
    <w:tbl>
      <w:tblPr>
        <w:tblStyle w:val="TableGrid"/>
        <w:tblW w:w="0" w:type="auto"/>
        <w:tblLook w:val="04A0" w:firstRow="1" w:lastRow="0" w:firstColumn="1" w:lastColumn="0" w:noHBand="0" w:noVBand="1"/>
      </w:tblPr>
      <w:tblGrid>
        <w:gridCol w:w="3123"/>
        <w:gridCol w:w="2667"/>
        <w:gridCol w:w="3226"/>
      </w:tblGrid>
      <w:tr w:rsidR="00BB3FE6" w:rsidRPr="00BB3FE6" w14:paraId="50DB2754" w14:textId="77777777" w:rsidTr="00DB4615">
        <w:tc>
          <w:tcPr>
            <w:tcW w:w="3123" w:type="dxa"/>
          </w:tcPr>
          <w:p w14:paraId="06DCC8CA" w14:textId="77777777" w:rsidR="00BB3FE6" w:rsidRPr="00B37FD0" w:rsidRDefault="00BB3FE6" w:rsidP="00DB4615">
            <w:pPr>
              <w:rPr>
                <w:rFonts w:cstheme="minorHAnsi"/>
                <w:b/>
              </w:rPr>
            </w:pPr>
            <w:r w:rsidRPr="00B37FD0">
              <w:rPr>
                <w:rFonts w:cstheme="minorHAnsi"/>
                <w:b/>
              </w:rPr>
              <w:t xml:space="preserve">‘Relevant Employees’ </w:t>
            </w:r>
          </w:p>
        </w:tc>
        <w:tc>
          <w:tcPr>
            <w:tcW w:w="2667" w:type="dxa"/>
          </w:tcPr>
          <w:p w14:paraId="5F0FA7E6" w14:textId="77777777" w:rsidR="00BB3FE6" w:rsidRPr="00B37FD0" w:rsidRDefault="00BB3FE6" w:rsidP="00DB4615">
            <w:pPr>
              <w:rPr>
                <w:rFonts w:cstheme="minorHAnsi"/>
                <w:b/>
              </w:rPr>
            </w:pPr>
            <w:r w:rsidRPr="00B37FD0">
              <w:rPr>
                <w:rFonts w:cstheme="minorHAnsi"/>
                <w:b/>
              </w:rPr>
              <w:t>No of people</w:t>
            </w:r>
          </w:p>
        </w:tc>
        <w:tc>
          <w:tcPr>
            <w:tcW w:w="3226" w:type="dxa"/>
          </w:tcPr>
          <w:p w14:paraId="76A91D6F" w14:textId="77777777" w:rsidR="00BB3FE6" w:rsidRPr="00B37FD0" w:rsidRDefault="00BB3FE6" w:rsidP="00DB4615">
            <w:pPr>
              <w:rPr>
                <w:rFonts w:cstheme="minorHAnsi"/>
                <w:b/>
              </w:rPr>
            </w:pPr>
            <w:r w:rsidRPr="00B37FD0">
              <w:rPr>
                <w:rFonts w:cstheme="minorHAnsi"/>
                <w:b/>
              </w:rPr>
              <w:t>Gender split as a %</w:t>
            </w:r>
          </w:p>
        </w:tc>
      </w:tr>
      <w:tr w:rsidR="00BB3FE6" w:rsidRPr="00BB3FE6" w14:paraId="3E437375" w14:textId="77777777" w:rsidTr="00DB4615">
        <w:tc>
          <w:tcPr>
            <w:tcW w:w="3123" w:type="dxa"/>
          </w:tcPr>
          <w:p w14:paraId="0280B309" w14:textId="77777777" w:rsidR="00BB3FE6" w:rsidRPr="00B37FD0" w:rsidRDefault="00BB3FE6" w:rsidP="00DB4615">
            <w:pPr>
              <w:rPr>
                <w:rFonts w:cstheme="minorHAnsi"/>
                <w:b/>
              </w:rPr>
            </w:pPr>
            <w:r w:rsidRPr="00B37FD0">
              <w:rPr>
                <w:rFonts w:cstheme="minorHAnsi"/>
                <w:b/>
              </w:rPr>
              <w:t>Female</w:t>
            </w:r>
          </w:p>
        </w:tc>
        <w:tc>
          <w:tcPr>
            <w:tcW w:w="2667" w:type="dxa"/>
          </w:tcPr>
          <w:p w14:paraId="1E611ADE" w14:textId="5D7A8293" w:rsidR="00BB3FE6" w:rsidRPr="00B37FD0" w:rsidRDefault="00C35455" w:rsidP="00DB4615">
            <w:pPr>
              <w:rPr>
                <w:rFonts w:cstheme="minorHAnsi"/>
              </w:rPr>
            </w:pPr>
            <w:r>
              <w:rPr>
                <w:rFonts w:cstheme="minorHAnsi"/>
              </w:rPr>
              <w:t>1204</w:t>
            </w:r>
          </w:p>
        </w:tc>
        <w:tc>
          <w:tcPr>
            <w:tcW w:w="3226" w:type="dxa"/>
          </w:tcPr>
          <w:p w14:paraId="0E506BC7" w14:textId="3DBA856D" w:rsidR="00BB3FE6" w:rsidRPr="00B37FD0" w:rsidRDefault="00C35455" w:rsidP="00DB4615">
            <w:pPr>
              <w:rPr>
                <w:rFonts w:cstheme="minorHAnsi"/>
              </w:rPr>
            </w:pPr>
            <w:r>
              <w:rPr>
                <w:rFonts w:cstheme="minorHAnsi"/>
              </w:rPr>
              <w:t>83.32% (</w:t>
            </w:r>
            <w:r w:rsidR="00BB3FE6" w:rsidRPr="00B37FD0">
              <w:rPr>
                <w:rFonts w:cstheme="minorHAnsi"/>
              </w:rPr>
              <w:t>84.35%</w:t>
            </w:r>
            <w:r>
              <w:rPr>
                <w:rFonts w:cstheme="minorHAnsi"/>
              </w:rPr>
              <w:t xml:space="preserve"> in 2021)</w:t>
            </w:r>
          </w:p>
        </w:tc>
      </w:tr>
      <w:tr w:rsidR="00BB3FE6" w:rsidRPr="00BB3FE6" w14:paraId="1929BADB" w14:textId="77777777" w:rsidTr="00DB4615">
        <w:tc>
          <w:tcPr>
            <w:tcW w:w="3123" w:type="dxa"/>
          </w:tcPr>
          <w:p w14:paraId="3CB111E4" w14:textId="77777777" w:rsidR="00BB3FE6" w:rsidRPr="00B37FD0" w:rsidRDefault="00BB3FE6" w:rsidP="00DB4615">
            <w:pPr>
              <w:rPr>
                <w:rFonts w:cstheme="minorHAnsi"/>
                <w:b/>
              </w:rPr>
            </w:pPr>
            <w:r w:rsidRPr="00B37FD0">
              <w:rPr>
                <w:rFonts w:cstheme="minorHAnsi"/>
                <w:b/>
              </w:rPr>
              <w:t xml:space="preserve">Male     </w:t>
            </w:r>
          </w:p>
        </w:tc>
        <w:tc>
          <w:tcPr>
            <w:tcW w:w="2667" w:type="dxa"/>
          </w:tcPr>
          <w:p w14:paraId="70082F1E" w14:textId="6E5F6185" w:rsidR="00BB3FE6" w:rsidRPr="00B37FD0" w:rsidRDefault="00C35455" w:rsidP="00DB4615">
            <w:pPr>
              <w:rPr>
                <w:rFonts w:cstheme="minorHAnsi"/>
              </w:rPr>
            </w:pPr>
            <w:r>
              <w:rPr>
                <w:rFonts w:cstheme="minorHAnsi"/>
              </w:rPr>
              <w:t>241</w:t>
            </w:r>
          </w:p>
        </w:tc>
        <w:tc>
          <w:tcPr>
            <w:tcW w:w="3226" w:type="dxa"/>
          </w:tcPr>
          <w:p w14:paraId="05048332" w14:textId="3A5A06FD" w:rsidR="00BB3FE6" w:rsidRPr="00B37FD0" w:rsidRDefault="00C35455" w:rsidP="00DB4615">
            <w:pPr>
              <w:rPr>
                <w:rFonts w:cstheme="minorHAnsi"/>
              </w:rPr>
            </w:pPr>
            <w:r>
              <w:rPr>
                <w:rFonts w:cstheme="minorHAnsi"/>
              </w:rPr>
              <w:t>16.68% (</w:t>
            </w:r>
            <w:r w:rsidR="00BB3FE6" w:rsidRPr="00B37FD0">
              <w:rPr>
                <w:rFonts w:cstheme="minorHAnsi"/>
              </w:rPr>
              <w:t>15.65%</w:t>
            </w:r>
            <w:r>
              <w:rPr>
                <w:rFonts w:cstheme="minorHAnsi"/>
              </w:rPr>
              <w:t xml:space="preserve"> in </w:t>
            </w:r>
            <w:r w:rsidR="003F58B2">
              <w:rPr>
                <w:rFonts w:cstheme="minorHAnsi"/>
              </w:rPr>
              <w:t>2</w:t>
            </w:r>
            <w:r>
              <w:rPr>
                <w:rFonts w:cstheme="minorHAnsi"/>
              </w:rPr>
              <w:t>021</w:t>
            </w:r>
            <w:r w:rsidR="003F58B2">
              <w:rPr>
                <w:rFonts w:cstheme="minorHAnsi"/>
              </w:rPr>
              <w:t>)</w:t>
            </w:r>
          </w:p>
        </w:tc>
      </w:tr>
      <w:tr w:rsidR="00BB3FE6" w:rsidRPr="00BB3FE6" w14:paraId="7E132C8F" w14:textId="77777777" w:rsidTr="00DB4615">
        <w:tc>
          <w:tcPr>
            <w:tcW w:w="3123" w:type="dxa"/>
          </w:tcPr>
          <w:p w14:paraId="70F2250B" w14:textId="77777777" w:rsidR="00BB3FE6" w:rsidRPr="00B37FD0" w:rsidRDefault="00BB3FE6" w:rsidP="00DB4615">
            <w:pPr>
              <w:rPr>
                <w:rFonts w:cstheme="minorHAnsi"/>
                <w:b/>
              </w:rPr>
            </w:pPr>
            <w:r w:rsidRPr="00B37FD0">
              <w:rPr>
                <w:rFonts w:cstheme="minorHAnsi"/>
                <w:b/>
              </w:rPr>
              <w:t>Total</w:t>
            </w:r>
          </w:p>
        </w:tc>
        <w:tc>
          <w:tcPr>
            <w:tcW w:w="2667" w:type="dxa"/>
          </w:tcPr>
          <w:p w14:paraId="14840DC3" w14:textId="5827166A" w:rsidR="00BB3FE6" w:rsidRPr="00B37FD0" w:rsidRDefault="00C35455" w:rsidP="00DB4615">
            <w:pPr>
              <w:rPr>
                <w:rFonts w:cstheme="minorHAnsi"/>
                <w:b/>
              </w:rPr>
            </w:pPr>
            <w:r>
              <w:rPr>
                <w:rFonts w:cstheme="minorHAnsi"/>
                <w:b/>
              </w:rPr>
              <w:t>1445</w:t>
            </w:r>
          </w:p>
        </w:tc>
        <w:tc>
          <w:tcPr>
            <w:tcW w:w="3226" w:type="dxa"/>
          </w:tcPr>
          <w:p w14:paraId="2910A192" w14:textId="77777777" w:rsidR="00BB3FE6" w:rsidRPr="00B37FD0" w:rsidRDefault="00BB3FE6" w:rsidP="00DB4615">
            <w:pPr>
              <w:rPr>
                <w:rFonts w:cstheme="minorHAnsi"/>
                <w:b/>
              </w:rPr>
            </w:pPr>
            <w:r w:rsidRPr="00B37FD0">
              <w:rPr>
                <w:rFonts w:cstheme="minorHAnsi"/>
                <w:b/>
              </w:rPr>
              <w:t>100%</w:t>
            </w:r>
          </w:p>
        </w:tc>
      </w:tr>
    </w:tbl>
    <w:p w14:paraId="6C772598" w14:textId="79672AB4" w:rsidR="00BB3FE6" w:rsidRDefault="00BB3FE6">
      <w:pPr>
        <w:rPr>
          <w:rFonts w:cstheme="minorHAnsi"/>
        </w:rPr>
      </w:pPr>
    </w:p>
    <w:tbl>
      <w:tblPr>
        <w:tblStyle w:val="TableGrid"/>
        <w:tblW w:w="0" w:type="auto"/>
        <w:tblLook w:val="04A0" w:firstRow="1" w:lastRow="0" w:firstColumn="1" w:lastColumn="0" w:noHBand="0" w:noVBand="1"/>
      </w:tblPr>
      <w:tblGrid>
        <w:gridCol w:w="2503"/>
        <w:gridCol w:w="2505"/>
        <w:gridCol w:w="2130"/>
        <w:gridCol w:w="1878"/>
      </w:tblGrid>
      <w:tr w:rsidR="00B73570" w14:paraId="4839CAC2" w14:textId="77777777" w:rsidTr="00B73570">
        <w:tc>
          <w:tcPr>
            <w:tcW w:w="2503" w:type="dxa"/>
            <w:tcBorders>
              <w:top w:val="nil"/>
              <w:left w:val="nil"/>
              <w:bottom w:val="nil"/>
              <w:right w:val="single" w:sz="4" w:space="0" w:color="auto"/>
            </w:tcBorders>
            <w:shd w:val="clear" w:color="auto" w:fill="auto"/>
          </w:tcPr>
          <w:p w14:paraId="239F8A2E" w14:textId="77777777" w:rsidR="00B73570" w:rsidRPr="00D42DCA" w:rsidRDefault="00B73570" w:rsidP="00550A71">
            <w:pPr>
              <w:rPr>
                <w:rFonts w:cstheme="minorHAnsi"/>
              </w:rPr>
            </w:pPr>
          </w:p>
        </w:tc>
        <w:tc>
          <w:tcPr>
            <w:tcW w:w="2505" w:type="dxa"/>
            <w:vMerge w:val="restart"/>
            <w:tcBorders>
              <w:left w:val="single" w:sz="4" w:space="0" w:color="auto"/>
            </w:tcBorders>
            <w:shd w:val="clear" w:color="auto" w:fill="auto"/>
          </w:tcPr>
          <w:p w14:paraId="3A84CBDF" w14:textId="77777777" w:rsidR="00B73570" w:rsidRPr="00D42DCA" w:rsidRDefault="00B73570" w:rsidP="00550A71">
            <w:pPr>
              <w:rPr>
                <w:rFonts w:cstheme="minorHAnsi"/>
                <w:b/>
              </w:rPr>
            </w:pPr>
            <w:r w:rsidRPr="00D42DCA">
              <w:rPr>
                <w:rFonts w:cstheme="minorHAnsi"/>
                <w:b/>
              </w:rPr>
              <w:t>P</w:t>
            </w:r>
            <w:r>
              <w:rPr>
                <w:rFonts w:cstheme="minorHAnsi"/>
                <w:b/>
              </w:rPr>
              <w:t>ercentage of W</w:t>
            </w:r>
            <w:r w:rsidRPr="00D42DCA">
              <w:rPr>
                <w:rFonts w:cstheme="minorHAnsi"/>
                <w:b/>
              </w:rPr>
              <w:t>orkforce</w:t>
            </w:r>
          </w:p>
        </w:tc>
        <w:tc>
          <w:tcPr>
            <w:tcW w:w="4008" w:type="dxa"/>
            <w:gridSpan w:val="2"/>
          </w:tcPr>
          <w:p w14:paraId="138DF697" w14:textId="77777777" w:rsidR="00B73570" w:rsidRDefault="00B73570" w:rsidP="00550A71">
            <w:pPr>
              <w:jc w:val="center"/>
              <w:rPr>
                <w:rFonts w:cstheme="minorHAnsi"/>
                <w:b/>
              </w:rPr>
            </w:pPr>
            <w:r>
              <w:rPr>
                <w:rFonts w:cstheme="minorHAnsi"/>
                <w:b/>
              </w:rPr>
              <w:t>Percentage of Total Workforce</w:t>
            </w:r>
          </w:p>
        </w:tc>
      </w:tr>
      <w:tr w:rsidR="00B73570" w:rsidRPr="00D42DCA" w14:paraId="0502173D" w14:textId="77777777" w:rsidTr="00B73570">
        <w:tc>
          <w:tcPr>
            <w:tcW w:w="2503" w:type="dxa"/>
            <w:tcBorders>
              <w:top w:val="nil"/>
              <w:left w:val="nil"/>
              <w:bottom w:val="single" w:sz="4" w:space="0" w:color="auto"/>
              <w:right w:val="single" w:sz="4" w:space="0" w:color="auto"/>
            </w:tcBorders>
            <w:shd w:val="clear" w:color="auto" w:fill="auto"/>
          </w:tcPr>
          <w:p w14:paraId="6C244E63" w14:textId="77777777" w:rsidR="00B73570" w:rsidRPr="00D42DCA" w:rsidRDefault="00B73570" w:rsidP="00550A71">
            <w:pPr>
              <w:rPr>
                <w:rFonts w:cstheme="minorHAnsi"/>
                <w:b/>
              </w:rPr>
            </w:pPr>
          </w:p>
        </w:tc>
        <w:tc>
          <w:tcPr>
            <w:tcW w:w="2505" w:type="dxa"/>
            <w:vMerge/>
            <w:tcBorders>
              <w:left w:val="single" w:sz="4" w:space="0" w:color="auto"/>
            </w:tcBorders>
            <w:shd w:val="clear" w:color="auto" w:fill="auto"/>
          </w:tcPr>
          <w:p w14:paraId="47E02AF8" w14:textId="77777777" w:rsidR="00B73570" w:rsidRDefault="00B73570" w:rsidP="00550A71">
            <w:pPr>
              <w:rPr>
                <w:rFonts w:cstheme="minorHAnsi"/>
              </w:rPr>
            </w:pPr>
          </w:p>
        </w:tc>
        <w:tc>
          <w:tcPr>
            <w:tcW w:w="2130" w:type="dxa"/>
          </w:tcPr>
          <w:p w14:paraId="7DDD416F" w14:textId="77777777" w:rsidR="00B73570" w:rsidRPr="00D42DCA" w:rsidRDefault="00B73570" w:rsidP="00550A71">
            <w:pPr>
              <w:rPr>
                <w:rFonts w:cstheme="minorHAnsi"/>
                <w:b/>
              </w:rPr>
            </w:pPr>
            <w:r w:rsidRPr="00D42DCA">
              <w:rPr>
                <w:rFonts w:cstheme="minorHAnsi"/>
                <w:b/>
              </w:rPr>
              <w:t>Females</w:t>
            </w:r>
          </w:p>
        </w:tc>
        <w:tc>
          <w:tcPr>
            <w:tcW w:w="1878" w:type="dxa"/>
          </w:tcPr>
          <w:p w14:paraId="2C243B42" w14:textId="77777777" w:rsidR="00B73570" w:rsidRPr="00D42DCA" w:rsidRDefault="00B73570" w:rsidP="00550A71">
            <w:pPr>
              <w:rPr>
                <w:rFonts w:cstheme="minorHAnsi"/>
                <w:b/>
              </w:rPr>
            </w:pPr>
            <w:r w:rsidRPr="00D42DCA">
              <w:rPr>
                <w:rFonts w:cstheme="minorHAnsi"/>
                <w:b/>
              </w:rPr>
              <w:t>Males</w:t>
            </w:r>
          </w:p>
        </w:tc>
      </w:tr>
      <w:tr w:rsidR="00B73570" w14:paraId="2D4BA970" w14:textId="77777777" w:rsidTr="00B73570">
        <w:tc>
          <w:tcPr>
            <w:tcW w:w="2503" w:type="dxa"/>
            <w:tcBorders>
              <w:top w:val="single" w:sz="4" w:space="0" w:color="auto"/>
            </w:tcBorders>
          </w:tcPr>
          <w:p w14:paraId="3C4244D8" w14:textId="77777777" w:rsidR="00B73570" w:rsidRPr="00D42DCA" w:rsidRDefault="00B73570" w:rsidP="00550A71">
            <w:pPr>
              <w:rPr>
                <w:rFonts w:cstheme="minorHAnsi"/>
                <w:b/>
              </w:rPr>
            </w:pPr>
            <w:r w:rsidRPr="00D42DCA">
              <w:rPr>
                <w:rFonts w:cstheme="minorHAnsi"/>
                <w:b/>
              </w:rPr>
              <w:t>Support</w:t>
            </w:r>
          </w:p>
        </w:tc>
        <w:tc>
          <w:tcPr>
            <w:tcW w:w="2505" w:type="dxa"/>
          </w:tcPr>
          <w:p w14:paraId="5557E976" w14:textId="77777777" w:rsidR="00B73570" w:rsidRDefault="00B73570" w:rsidP="00550A71">
            <w:pPr>
              <w:rPr>
                <w:rFonts w:cstheme="minorHAnsi"/>
              </w:rPr>
            </w:pPr>
            <w:r>
              <w:rPr>
                <w:rFonts w:cstheme="minorHAnsi"/>
              </w:rPr>
              <w:t>64.72%</w:t>
            </w:r>
          </w:p>
        </w:tc>
        <w:tc>
          <w:tcPr>
            <w:tcW w:w="2130" w:type="dxa"/>
          </w:tcPr>
          <w:p w14:paraId="28A4294A" w14:textId="77777777" w:rsidR="00B73570" w:rsidRDefault="00B73570" w:rsidP="00550A71">
            <w:pPr>
              <w:rPr>
                <w:rFonts w:cstheme="minorHAnsi"/>
              </w:rPr>
            </w:pPr>
            <w:r>
              <w:rPr>
                <w:rFonts w:cstheme="minorHAnsi"/>
              </w:rPr>
              <w:t>57.21%</w:t>
            </w:r>
          </w:p>
        </w:tc>
        <w:tc>
          <w:tcPr>
            <w:tcW w:w="1878" w:type="dxa"/>
          </w:tcPr>
          <w:p w14:paraId="3CD0B20E" w14:textId="77777777" w:rsidR="00B73570" w:rsidRDefault="00B73570" w:rsidP="00550A71">
            <w:pPr>
              <w:rPr>
                <w:rFonts w:cstheme="minorHAnsi"/>
              </w:rPr>
            </w:pPr>
            <w:r>
              <w:rPr>
                <w:rFonts w:cstheme="minorHAnsi"/>
              </w:rPr>
              <w:t>7.52%</w:t>
            </w:r>
          </w:p>
        </w:tc>
      </w:tr>
      <w:tr w:rsidR="00B73570" w14:paraId="6465EDCA" w14:textId="77777777" w:rsidTr="00550A71">
        <w:tc>
          <w:tcPr>
            <w:tcW w:w="2503" w:type="dxa"/>
          </w:tcPr>
          <w:p w14:paraId="4AB00C2C" w14:textId="77777777" w:rsidR="00B73570" w:rsidRPr="00D42DCA" w:rsidRDefault="00B73570" w:rsidP="00550A71">
            <w:pPr>
              <w:rPr>
                <w:rFonts w:cstheme="minorHAnsi"/>
                <w:b/>
              </w:rPr>
            </w:pPr>
            <w:r w:rsidRPr="00D42DCA">
              <w:rPr>
                <w:rFonts w:cstheme="minorHAnsi"/>
                <w:b/>
              </w:rPr>
              <w:t>Teachers</w:t>
            </w:r>
          </w:p>
        </w:tc>
        <w:tc>
          <w:tcPr>
            <w:tcW w:w="2505" w:type="dxa"/>
          </w:tcPr>
          <w:p w14:paraId="5ECFCFB2" w14:textId="77777777" w:rsidR="00B73570" w:rsidRDefault="00B73570" w:rsidP="00550A71">
            <w:pPr>
              <w:rPr>
                <w:rFonts w:cstheme="minorHAnsi"/>
              </w:rPr>
            </w:pPr>
            <w:r>
              <w:rPr>
                <w:rFonts w:cstheme="minorHAnsi"/>
              </w:rPr>
              <w:t>30.14%</w:t>
            </w:r>
          </w:p>
        </w:tc>
        <w:tc>
          <w:tcPr>
            <w:tcW w:w="2130" w:type="dxa"/>
          </w:tcPr>
          <w:p w14:paraId="655FC617" w14:textId="77777777" w:rsidR="00B73570" w:rsidRDefault="00B73570" w:rsidP="00550A71">
            <w:pPr>
              <w:rPr>
                <w:rFonts w:cstheme="minorHAnsi"/>
              </w:rPr>
            </w:pPr>
            <w:r>
              <w:rPr>
                <w:rFonts w:cstheme="minorHAnsi"/>
              </w:rPr>
              <w:t>23.43%</w:t>
            </w:r>
          </w:p>
        </w:tc>
        <w:tc>
          <w:tcPr>
            <w:tcW w:w="1878" w:type="dxa"/>
          </w:tcPr>
          <w:p w14:paraId="263F45CF" w14:textId="77777777" w:rsidR="00B73570" w:rsidRDefault="00B73570" w:rsidP="00550A71">
            <w:pPr>
              <w:rPr>
                <w:rFonts w:cstheme="minorHAnsi"/>
              </w:rPr>
            </w:pPr>
            <w:r>
              <w:rPr>
                <w:rFonts w:cstheme="minorHAnsi"/>
              </w:rPr>
              <w:t>6.70%</w:t>
            </w:r>
          </w:p>
        </w:tc>
      </w:tr>
      <w:tr w:rsidR="00B73570" w14:paraId="60D2AF11" w14:textId="77777777" w:rsidTr="00550A71">
        <w:tc>
          <w:tcPr>
            <w:tcW w:w="2503" w:type="dxa"/>
          </w:tcPr>
          <w:p w14:paraId="3560452F" w14:textId="77777777" w:rsidR="00B73570" w:rsidRPr="00D42DCA" w:rsidRDefault="00B73570" w:rsidP="00550A71">
            <w:pPr>
              <w:rPr>
                <w:rFonts w:cstheme="minorHAnsi"/>
                <w:b/>
              </w:rPr>
            </w:pPr>
            <w:r w:rsidRPr="00D42DCA">
              <w:rPr>
                <w:rFonts w:cstheme="minorHAnsi"/>
                <w:b/>
              </w:rPr>
              <w:t>Leadership</w:t>
            </w:r>
            <w:r>
              <w:rPr>
                <w:rFonts w:cstheme="minorHAnsi"/>
                <w:b/>
              </w:rPr>
              <w:t xml:space="preserve"> (Teachers terms and conditions)</w:t>
            </w:r>
          </w:p>
        </w:tc>
        <w:tc>
          <w:tcPr>
            <w:tcW w:w="2505" w:type="dxa"/>
          </w:tcPr>
          <w:p w14:paraId="494AFE01" w14:textId="77777777" w:rsidR="00B73570" w:rsidRDefault="00B73570" w:rsidP="00550A71">
            <w:pPr>
              <w:rPr>
                <w:rFonts w:cstheme="minorHAnsi"/>
              </w:rPr>
            </w:pPr>
            <w:r>
              <w:rPr>
                <w:rFonts w:cstheme="minorHAnsi"/>
              </w:rPr>
              <w:t>5.14%</w:t>
            </w:r>
          </w:p>
        </w:tc>
        <w:tc>
          <w:tcPr>
            <w:tcW w:w="2130" w:type="dxa"/>
          </w:tcPr>
          <w:p w14:paraId="5CFF55B6" w14:textId="77777777" w:rsidR="00B73570" w:rsidRDefault="00B73570" w:rsidP="00550A71">
            <w:pPr>
              <w:rPr>
                <w:rFonts w:cstheme="minorHAnsi"/>
              </w:rPr>
            </w:pPr>
            <w:r>
              <w:rPr>
                <w:rFonts w:cstheme="minorHAnsi"/>
              </w:rPr>
              <w:t>3.82%</w:t>
            </w:r>
          </w:p>
        </w:tc>
        <w:tc>
          <w:tcPr>
            <w:tcW w:w="1878" w:type="dxa"/>
          </w:tcPr>
          <w:p w14:paraId="4A880FCB" w14:textId="77777777" w:rsidR="00B73570" w:rsidRDefault="00B73570" w:rsidP="00550A71">
            <w:pPr>
              <w:rPr>
                <w:rFonts w:cstheme="minorHAnsi"/>
              </w:rPr>
            </w:pPr>
            <w:r>
              <w:rPr>
                <w:rFonts w:cstheme="minorHAnsi"/>
              </w:rPr>
              <w:t>1.32%</w:t>
            </w:r>
          </w:p>
        </w:tc>
      </w:tr>
    </w:tbl>
    <w:p w14:paraId="05DE4749" w14:textId="77777777" w:rsidR="00B73570" w:rsidRPr="009D3B79" w:rsidRDefault="00B73570">
      <w:pPr>
        <w:rPr>
          <w:rFonts w:cstheme="minorHAnsi"/>
        </w:rPr>
      </w:pPr>
    </w:p>
    <w:p w14:paraId="147AD12D" w14:textId="219F65E8" w:rsidR="00BB3FE6" w:rsidRPr="009D3B79" w:rsidRDefault="00BB3FE6">
      <w:pPr>
        <w:rPr>
          <w:rFonts w:cstheme="minorHAnsi"/>
          <w:b/>
        </w:rPr>
      </w:pPr>
      <w:r w:rsidRPr="009D3B79">
        <w:rPr>
          <w:rFonts w:cstheme="minorHAnsi"/>
          <w:b/>
        </w:rPr>
        <w:t>Median and Mean Hourly Rates</w:t>
      </w:r>
    </w:p>
    <w:p w14:paraId="79F5CDD0" w14:textId="74F6EDD0" w:rsidR="007213F3" w:rsidRPr="009D3B79" w:rsidRDefault="007213F3">
      <w:pPr>
        <w:rPr>
          <w:rFonts w:cstheme="minorHAnsi"/>
        </w:rPr>
      </w:pPr>
      <w:r w:rsidRPr="009D3B79">
        <w:rPr>
          <w:rFonts w:cstheme="minorHAnsi"/>
        </w:rPr>
        <w:t>The</w:t>
      </w:r>
      <w:r w:rsidR="00BB3FE6">
        <w:rPr>
          <w:rFonts w:cstheme="minorHAnsi"/>
        </w:rPr>
        <w:t xml:space="preserve"> data relating to the median and mean hourly rates by gender and the overall percentage gaps by gender is shown below: </w:t>
      </w:r>
    </w:p>
    <w:tbl>
      <w:tblPr>
        <w:tblStyle w:val="TableGrid"/>
        <w:tblW w:w="9067" w:type="dxa"/>
        <w:tblLook w:val="04A0" w:firstRow="1" w:lastRow="0" w:firstColumn="1" w:lastColumn="0" w:noHBand="0" w:noVBand="1"/>
      </w:tblPr>
      <w:tblGrid>
        <w:gridCol w:w="2263"/>
        <w:gridCol w:w="2127"/>
        <w:gridCol w:w="2268"/>
        <w:gridCol w:w="2409"/>
      </w:tblGrid>
      <w:tr w:rsidR="000B6595" w:rsidRPr="00501D91" w14:paraId="57B1707B" w14:textId="77777777" w:rsidTr="000B6595">
        <w:trPr>
          <w:trHeight w:val="199"/>
        </w:trPr>
        <w:tc>
          <w:tcPr>
            <w:tcW w:w="2263" w:type="dxa"/>
            <w:shd w:val="clear" w:color="auto" w:fill="D9D9D9" w:themeFill="background1" w:themeFillShade="D9"/>
          </w:tcPr>
          <w:p w14:paraId="37D7DAAA" w14:textId="2E03BAD1" w:rsidR="000B6595" w:rsidRPr="009D3B79" w:rsidRDefault="000B6595" w:rsidP="000B6595">
            <w:pPr>
              <w:rPr>
                <w:rFonts w:cstheme="minorHAnsi"/>
                <w:b/>
              </w:rPr>
            </w:pPr>
          </w:p>
        </w:tc>
        <w:tc>
          <w:tcPr>
            <w:tcW w:w="2127" w:type="dxa"/>
          </w:tcPr>
          <w:p w14:paraId="6EEC7D5A" w14:textId="21C5B1AF" w:rsidR="000B6595" w:rsidRPr="009D3B79" w:rsidRDefault="000B6595" w:rsidP="00501D91">
            <w:pPr>
              <w:rPr>
                <w:rFonts w:cstheme="minorHAnsi"/>
                <w:b/>
              </w:rPr>
            </w:pPr>
            <w:r w:rsidRPr="009D3B79">
              <w:rPr>
                <w:rFonts w:cstheme="minorHAnsi"/>
                <w:b/>
              </w:rPr>
              <w:t>Median Hourly Rate</w:t>
            </w:r>
          </w:p>
        </w:tc>
        <w:tc>
          <w:tcPr>
            <w:tcW w:w="2268" w:type="dxa"/>
            <w:shd w:val="clear" w:color="auto" w:fill="D9D9D9" w:themeFill="background1" w:themeFillShade="D9"/>
          </w:tcPr>
          <w:p w14:paraId="0B3CF73B" w14:textId="77777777" w:rsidR="000B6595" w:rsidRPr="009D3B79" w:rsidRDefault="000B6595" w:rsidP="00501D91">
            <w:pPr>
              <w:rPr>
                <w:rFonts w:cstheme="minorHAnsi"/>
                <w:b/>
              </w:rPr>
            </w:pPr>
          </w:p>
        </w:tc>
        <w:tc>
          <w:tcPr>
            <w:tcW w:w="2409" w:type="dxa"/>
          </w:tcPr>
          <w:p w14:paraId="5410E707" w14:textId="2232B0FB" w:rsidR="000B6595" w:rsidRPr="009D3B79" w:rsidRDefault="000B6595" w:rsidP="00501D91">
            <w:pPr>
              <w:rPr>
                <w:rFonts w:cstheme="minorHAnsi"/>
                <w:b/>
              </w:rPr>
            </w:pPr>
            <w:r w:rsidRPr="009D3B79">
              <w:rPr>
                <w:rFonts w:cstheme="minorHAnsi"/>
                <w:b/>
              </w:rPr>
              <w:t>Mean Hourly Rate</w:t>
            </w:r>
          </w:p>
        </w:tc>
      </w:tr>
      <w:tr w:rsidR="000B6595" w:rsidRPr="00501D91" w14:paraId="47AAAA4A" w14:textId="77777777" w:rsidTr="000B6595">
        <w:trPr>
          <w:trHeight w:val="65"/>
        </w:trPr>
        <w:tc>
          <w:tcPr>
            <w:tcW w:w="2263" w:type="dxa"/>
          </w:tcPr>
          <w:p w14:paraId="4D350C27" w14:textId="6A4D5F97" w:rsidR="000B6595" w:rsidRPr="009D3B79" w:rsidRDefault="000B6595">
            <w:pPr>
              <w:rPr>
                <w:rFonts w:cstheme="minorHAnsi"/>
                <w:b/>
              </w:rPr>
            </w:pPr>
            <w:r w:rsidRPr="009D3B79">
              <w:rPr>
                <w:rFonts w:cstheme="minorHAnsi"/>
                <w:b/>
              </w:rPr>
              <w:t>Female</w:t>
            </w:r>
          </w:p>
        </w:tc>
        <w:tc>
          <w:tcPr>
            <w:tcW w:w="2127" w:type="dxa"/>
          </w:tcPr>
          <w:p w14:paraId="07201C79" w14:textId="77ABBA29" w:rsidR="000B6595" w:rsidRPr="009D3B79" w:rsidRDefault="000B6595" w:rsidP="00C35455">
            <w:pPr>
              <w:rPr>
                <w:rFonts w:cstheme="minorHAnsi"/>
              </w:rPr>
            </w:pPr>
            <w:r>
              <w:rPr>
                <w:rFonts w:ascii="Segoe UI" w:hAnsi="Segoe UI" w:cs="Segoe UI"/>
                <w:color w:val="000000"/>
                <w:sz w:val="20"/>
                <w:szCs w:val="20"/>
              </w:rPr>
              <w:t>£</w:t>
            </w:r>
            <w:r>
              <w:rPr>
                <w:rFonts w:ascii="Segoe UI" w:hAnsi="Segoe UI" w:cs="Segoe UI"/>
                <w:color w:val="000000"/>
                <w:sz w:val="20"/>
                <w:szCs w:val="20"/>
              </w:rPr>
              <w:t>13.33</w:t>
            </w:r>
            <w:r>
              <w:rPr>
                <w:rFonts w:ascii="Segoe UI" w:hAnsi="Segoe UI" w:cs="Segoe UI"/>
                <w:color w:val="000000"/>
                <w:sz w:val="20"/>
                <w:szCs w:val="20"/>
              </w:rPr>
              <w:t xml:space="preserve"> (</w:t>
            </w:r>
            <w:r w:rsidRPr="009D3B79">
              <w:rPr>
                <w:rFonts w:cstheme="minorHAnsi"/>
              </w:rPr>
              <w:t>£11.25</w:t>
            </w:r>
            <w:r>
              <w:rPr>
                <w:rFonts w:cstheme="minorHAnsi"/>
              </w:rPr>
              <w:t xml:space="preserve"> 2021)</w:t>
            </w:r>
          </w:p>
        </w:tc>
        <w:tc>
          <w:tcPr>
            <w:tcW w:w="2268" w:type="dxa"/>
          </w:tcPr>
          <w:p w14:paraId="2D37F947" w14:textId="5ECD9214" w:rsidR="000B6595" w:rsidRPr="000B6595" w:rsidRDefault="000B6595" w:rsidP="000B6595">
            <w:pPr>
              <w:rPr>
                <w:rFonts w:ascii="Segoe UI" w:hAnsi="Segoe UI" w:cs="Segoe UI"/>
                <w:b/>
                <w:color w:val="000000"/>
                <w:sz w:val="20"/>
                <w:szCs w:val="20"/>
              </w:rPr>
            </w:pPr>
            <w:r w:rsidRPr="000B6595">
              <w:rPr>
                <w:rFonts w:ascii="Segoe UI" w:hAnsi="Segoe UI" w:cs="Segoe UI"/>
                <w:b/>
                <w:color w:val="000000"/>
                <w:sz w:val="20"/>
                <w:szCs w:val="20"/>
              </w:rPr>
              <w:t>Female</w:t>
            </w:r>
          </w:p>
        </w:tc>
        <w:tc>
          <w:tcPr>
            <w:tcW w:w="2409" w:type="dxa"/>
          </w:tcPr>
          <w:p w14:paraId="38EADB58" w14:textId="1BE31C28" w:rsidR="000B6595" w:rsidRPr="009D3B79" w:rsidRDefault="000B6595" w:rsidP="000B6595">
            <w:pPr>
              <w:rPr>
                <w:rFonts w:cstheme="minorHAnsi"/>
              </w:rPr>
            </w:pPr>
            <w:r>
              <w:rPr>
                <w:rFonts w:ascii="Segoe UI" w:hAnsi="Segoe UI" w:cs="Segoe UI"/>
                <w:color w:val="000000"/>
                <w:sz w:val="20"/>
                <w:szCs w:val="20"/>
              </w:rPr>
              <w:t>£</w:t>
            </w:r>
            <w:r>
              <w:rPr>
                <w:rFonts w:ascii="Segoe UI" w:hAnsi="Segoe UI" w:cs="Segoe UI"/>
                <w:color w:val="000000"/>
                <w:sz w:val="20"/>
                <w:szCs w:val="20"/>
              </w:rPr>
              <w:t>16.23</w:t>
            </w:r>
            <w:r>
              <w:rPr>
                <w:rFonts w:ascii="Segoe UI" w:hAnsi="Segoe UI" w:cs="Segoe UI"/>
                <w:color w:val="000000"/>
                <w:sz w:val="20"/>
                <w:szCs w:val="20"/>
              </w:rPr>
              <w:t xml:space="preserve"> (</w:t>
            </w:r>
            <w:r w:rsidRPr="009D3B79">
              <w:rPr>
                <w:rFonts w:cstheme="minorHAnsi"/>
              </w:rPr>
              <w:t>£14.78</w:t>
            </w:r>
            <w:r>
              <w:rPr>
                <w:rFonts w:cstheme="minorHAnsi"/>
              </w:rPr>
              <w:t xml:space="preserve"> 2021)</w:t>
            </w:r>
          </w:p>
        </w:tc>
      </w:tr>
      <w:tr w:rsidR="000B6595" w:rsidRPr="00501D91" w14:paraId="191A63B1" w14:textId="77777777" w:rsidTr="000B6595">
        <w:trPr>
          <w:trHeight w:val="65"/>
        </w:trPr>
        <w:tc>
          <w:tcPr>
            <w:tcW w:w="2263" w:type="dxa"/>
          </w:tcPr>
          <w:p w14:paraId="7953A994" w14:textId="14059C75" w:rsidR="000B6595" w:rsidRPr="009D3B79" w:rsidRDefault="000B6595">
            <w:pPr>
              <w:rPr>
                <w:rFonts w:cstheme="minorHAnsi"/>
                <w:b/>
              </w:rPr>
            </w:pPr>
            <w:r w:rsidRPr="009D3B79">
              <w:rPr>
                <w:rFonts w:cstheme="minorHAnsi"/>
                <w:b/>
              </w:rPr>
              <w:t>Male</w:t>
            </w:r>
          </w:p>
        </w:tc>
        <w:tc>
          <w:tcPr>
            <w:tcW w:w="2127" w:type="dxa"/>
          </w:tcPr>
          <w:p w14:paraId="199D84A9" w14:textId="54FAF2E1" w:rsidR="000B6595" w:rsidRPr="009D3B79" w:rsidRDefault="000B6595" w:rsidP="00C35455">
            <w:pPr>
              <w:rPr>
                <w:rFonts w:cstheme="minorHAnsi"/>
              </w:rPr>
            </w:pPr>
            <w:r>
              <w:rPr>
                <w:rFonts w:ascii="Segoe UI" w:hAnsi="Segoe UI" w:cs="Segoe UI"/>
                <w:color w:val="000000"/>
                <w:sz w:val="20"/>
                <w:szCs w:val="20"/>
              </w:rPr>
              <w:t>£</w:t>
            </w:r>
            <w:r>
              <w:rPr>
                <w:rFonts w:ascii="Segoe UI" w:hAnsi="Segoe UI" w:cs="Segoe UI"/>
                <w:color w:val="000000"/>
                <w:sz w:val="20"/>
                <w:szCs w:val="20"/>
              </w:rPr>
              <w:t>17.39</w:t>
            </w:r>
            <w:r>
              <w:rPr>
                <w:rFonts w:ascii="Segoe UI" w:hAnsi="Segoe UI" w:cs="Segoe UI"/>
                <w:color w:val="000000"/>
                <w:sz w:val="20"/>
                <w:szCs w:val="20"/>
              </w:rPr>
              <w:t xml:space="preserve"> (</w:t>
            </w:r>
            <w:r w:rsidRPr="009D3B79">
              <w:rPr>
                <w:rFonts w:cstheme="minorHAnsi"/>
              </w:rPr>
              <w:t>£16.30</w:t>
            </w:r>
            <w:r>
              <w:rPr>
                <w:rFonts w:cstheme="minorHAnsi"/>
              </w:rPr>
              <w:t xml:space="preserve"> 2021)</w:t>
            </w:r>
          </w:p>
        </w:tc>
        <w:tc>
          <w:tcPr>
            <w:tcW w:w="2268" w:type="dxa"/>
          </w:tcPr>
          <w:p w14:paraId="4C8FE3B9" w14:textId="70771FB0" w:rsidR="000B6595" w:rsidRPr="000B6595" w:rsidRDefault="000B6595" w:rsidP="000B6595">
            <w:pPr>
              <w:rPr>
                <w:rFonts w:ascii="Segoe UI" w:hAnsi="Segoe UI" w:cs="Segoe UI"/>
                <w:b/>
                <w:color w:val="000000"/>
                <w:sz w:val="20"/>
                <w:szCs w:val="20"/>
              </w:rPr>
            </w:pPr>
            <w:r w:rsidRPr="000B6595">
              <w:rPr>
                <w:rFonts w:ascii="Segoe UI" w:hAnsi="Segoe UI" w:cs="Segoe UI"/>
                <w:b/>
                <w:color w:val="000000"/>
                <w:sz w:val="20"/>
                <w:szCs w:val="20"/>
              </w:rPr>
              <w:t>Male</w:t>
            </w:r>
          </w:p>
        </w:tc>
        <w:tc>
          <w:tcPr>
            <w:tcW w:w="2409" w:type="dxa"/>
          </w:tcPr>
          <w:p w14:paraId="008D087B" w14:textId="0D4FB611" w:rsidR="000B6595" w:rsidRPr="009D3B79" w:rsidRDefault="000B6595" w:rsidP="000B6595">
            <w:pPr>
              <w:rPr>
                <w:rFonts w:cstheme="minorHAnsi"/>
              </w:rPr>
            </w:pPr>
            <w:r>
              <w:rPr>
                <w:rFonts w:ascii="Segoe UI" w:hAnsi="Segoe UI" w:cs="Segoe UI"/>
                <w:color w:val="000000"/>
                <w:sz w:val="20"/>
                <w:szCs w:val="20"/>
              </w:rPr>
              <w:t>£</w:t>
            </w:r>
            <w:r>
              <w:rPr>
                <w:rFonts w:ascii="Segoe UI" w:hAnsi="Segoe UI" w:cs="Segoe UI"/>
                <w:color w:val="000000"/>
                <w:sz w:val="20"/>
                <w:szCs w:val="20"/>
              </w:rPr>
              <w:t>20.66</w:t>
            </w:r>
            <w:r>
              <w:rPr>
                <w:rFonts w:ascii="Segoe UI" w:hAnsi="Segoe UI" w:cs="Segoe UI"/>
                <w:color w:val="000000"/>
                <w:sz w:val="20"/>
                <w:szCs w:val="20"/>
              </w:rPr>
              <w:t xml:space="preserve"> (</w:t>
            </w:r>
            <w:r w:rsidRPr="009D3B79">
              <w:rPr>
                <w:rFonts w:cstheme="minorHAnsi"/>
              </w:rPr>
              <w:t>£19.53</w:t>
            </w:r>
            <w:r>
              <w:rPr>
                <w:rFonts w:cstheme="minorHAnsi"/>
              </w:rPr>
              <w:t xml:space="preserve"> 2021)</w:t>
            </w:r>
          </w:p>
        </w:tc>
      </w:tr>
      <w:tr w:rsidR="000B6595" w:rsidRPr="00501D91" w14:paraId="7A2C0542" w14:textId="77777777" w:rsidTr="000B6595">
        <w:trPr>
          <w:trHeight w:val="440"/>
        </w:trPr>
        <w:tc>
          <w:tcPr>
            <w:tcW w:w="2263" w:type="dxa"/>
          </w:tcPr>
          <w:p w14:paraId="04C8CA5F" w14:textId="3E3B9478" w:rsidR="000B6595" w:rsidRPr="009D3B79" w:rsidRDefault="000B6595">
            <w:pPr>
              <w:rPr>
                <w:rFonts w:cstheme="minorHAnsi"/>
                <w:b/>
              </w:rPr>
            </w:pPr>
            <w:r>
              <w:rPr>
                <w:rFonts w:cstheme="minorHAnsi"/>
                <w:b/>
              </w:rPr>
              <w:t>Median Hourly Gap %</w:t>
            </w:r>
          </w:p>
        </w:tc>
        <w:tc>
          <w:tcPr>
            <w:tcW w:w="2127" w:type="dxa"/>
          </w:tcPr>
          <w:p w14:paraId="2608536A" w14:textId="20102B9A" w:rsidR="000B6595" w:rsidRPr="009D3B79" w:rsidRDefault="000B6595">
            <w:pPr>
              <w:rPr>
                <w:rFonts w:cstheme="minorHAnsi"/>
              </w:rPr>
            </w:pPr>
            <w:r>
              <w:rPr>
                <w:rFonts w:cstheme="minorHAnsi"/>
                <w:b/>
              </w:rPr>
              <w:t>23.3% (</w:t>
            </w:r>
            <w:r w:rsidRPr="00B37FD0">
              <w:rPr>
                <w:rFonts w:cstheme="minorHAnsi"/>
                <w:b/>
              </w:rPr>
              <w:t>31%</w:t>
            </w:r>
            <w:r>
              <w:rPr>
                <w:rFonts w:cstheme="minorHAnsi"/>
                <w:b/>
              </w:rPr>
              <w:t xml:space="preserve"> in 2021)</w:t>
            </w:r>
          </w:p>
        </w:tc>
        <w:tc>
          <w:tcPr>
            <w:tcW w:w="2268" w:type="dxa"/>
          </w:tcPr>
          <w:p w14:paraId="240EC0ED" w14:textId="5165954B" w:rsidR="000B6595" w:rsidRDefault="000B6595">
            <w:pPr>
              <w:rPr>
                <w:rFonts w:cstheme="minorHAnsi"/>
                <w:b/>
              </w:rPr>
            </w:pPr>
            <w:r>
              <w:rPr>
                <w:rFonts w:cstheme="minorHAnsi"/>
                <w:b/>
              </w:rPr>
              <w:t>Mean Hourly Gap %</w:t>
            </w:r>
          </w:p>
        </w:tc>
        <w:tc>
          <w:tcPr>
            <w:tcW w:w="2409" w:type="dxa"/>
          </w:tcPr>
          <w:p w14:paraId="22E19171" w14:textId="58D6B085" w:rsidR="000B6595" w:rsidRPr="00B37FD0" w:rsidRDefault="000B6595">
            <w:pPr>
              <w:rPr>
                <w:rFonts w:cstheme="minorHAnsi"/>
                <w:b/>
              </w:rPr>
            </w:pPr>
            <w:r>
              <w:rPr>
                <w:rFonts w:cstheme="minorHAnsi"/>
                <w:b/>
              </w:rPr>
              <w:t>24.1% (24.3% in 2021)</w:t>
            </w:r>
          </w:p>
        </w:tc>
      </w:tr>
    </w:tbl>
    <w:p w14:paraId="74AD0C2E" w14:textId="77777777" w:rsidR="000B6595" w:rsidRDefault="000B6595">
      <w:pPr>
        <w:rPr>
          <w:rFonts w:cstheme="minorHAnsi"/>
          <w:b/>
        </w:rPr>
      </w:pPr>
    </w:p>
    <w:p w14:paraId="4E1776BF" w14:textId="646AEA58" w:rsidR="00BB3FE6" w:rsidRPr="009D3B79" w:rsidRDefault="00BB3FE6">
      <w:pPr>
        <w:rPr>
          <w:rFonts w:cstheme="minorHAnsi"/>
          <w:b/>
        </w:rPr>
      </w:pPr>
      <w:r w:rsidRPr="009D3B79">
        <w:rPr>
          <w:rFonts w:cstheme="minorHAnsi"/>
          <w:b/>
        </w:rPr>
        <w:t xml:space="preserve">Bonus Payments </w:t>
      </w:r>
    </w:p>
    <w:p w14:paraId="6A1D5594" w14:textId="48CCCED1" w:rsidR="00B37FD0" w:rsidRPr="000B6595" w:rsidRDefault="00B37FD0">
      <w:pPr>
        <w:rPr>
          <w:rFonts w:cstheme="minorHAnsi"/>
        </w:rPr>
      </w:pPr>
      <w:r w:rsidRPr="00B37FD0">
        <w:rPr>
          <w:color w:val="000000"/>
        </w:rPr>
        <w:t>Th</w:t>
      </w:r>
      <w:r w:rsidR="009867C1" w:rsidRPr="00B37FD0">
        <w:rPr>
          <w:color w:val="000000"/>
        </w:rPr>
        <w:t>e Active L</w:t>
      </w:r>
      <w:r w:rsidR="009867C1" w:rsidRPr="009867C1">
        <w:rPr>
          <w:color w:val="000000"/>
        </w:rPr>
        <w:t>earning Trust does not pay bonuses to any</w:t>
      </w:r>
      <w:r w:rsidR="009867C1">
        <w:rPr>
          <w:color w:val="000000"/>
        </w:rPr>
        <w:t xml:space="preserve"> staff; therefore, the t</w:t>
      </w:r>
      <w:r w:rsidR="009867C1" w:rsidRPr="009867C1">
        <w:rPr>
          <w:color w:val="000000"/>
        </w:rPr>
        <w:t xml:space="preserve">hree statutory calculations </w:t>
      </w:r>
      <w:r w:rsidR="009867C1">
        <w:rPr>
          <w:color w:val="000000"/>
        </w:rPr>
        <w:t xml:space="preserve">relating to bonuses </w:t>
      </w:r>
      <w:r w:rsidR="009867C1" w:rsidRPr="009867C1">
        <w:rPr>
          <w:color w:val="000000"/>
        </w:rPr>
        <w:t>of the mean bonus gender pay gap, the median bonus gender pay gap and the proportion of males and females receiving a bonus payment are not applicable.</w:t>
      </w:r>
      <w:r w:rsidR="00BB3FE6" w:rsidRPr="009867C1">
        <w:rPr>
          <w:rFonts w:cstheme="minorHAnsi"/>
        </w:rPr>
        <w:t xml:space="preserve"> </w:t>
      </w:r>
    </w:p>
    <w:p w14:paraId="40A4C09D" w14:textId="77777777" w:rsidR="000B6595" w:rsidRDefault="000B6595">
      <w:pPr>
        <w:rPr>
          <w:rFonts w:cstheme="minorHAnsi"/>
          <w:b/>
        </w:rPr>
      </w:pPr>
    </w:p>
    <w:p w14:paraId="72716698" w14:textId="1ECAD203" w:rsidR="00D74A62" w:rsidRPr="009D3B79" w:rsidRDefault="00BB3FE6">
      <w:pPr>
        <w:rPr>
          <w:rFonts w:cstheme="minorHAnsi"/>
          <w:b/>
        </w:rPr>
      </w:pPr>
      <w:r w:rsidRPr="009D3B79">
        <w:rPr>
          <w:rFonts w:cstheme="minorHAnsi"/>
          <w:b/>
        </w:rPr>
        <w:lastRenderedPageBreak/>
        <w:t>Gender Representation in the Pay Bands</w:t>
      </w:r>
    </w:p>
    <w:p w14:paraId="6EE0C63F" w14:textId="756E752C" w:rsidR="00D74A62" w:rsidRDefault="00D74A62">
      <w:pPr>
        <w:rPr>
          <w:rFonts w:cstheme="minorHAnsi"/>
        </w:rPr>
      </w:pPr>
      <w:r w:rsidRPr="009D3B79">
        <w:rPr>
          <w:rFonts w:cstheme="minorHAnsi"/>
        </w:rPr>
        <w:t xml:space="preserve">The proportion of male and female staff in each of the four quartile pay </w:t>
      </w:r>
      <w:r w:rsidR="00FB375D" w:rsidRPr="009D3B79">
        <w:rPr>
          <w:rFonts w:cstheme="minorHAnsi"/>
        </w:rPr>
        <w:t>band</w:t>
      </w:r>
      <w:r w:rsidR="00CA3D3A" w:rsidRPr="009D3B79">
        <w:rPr>
          <w:rFonts w:cstheme="minorHAnsi"/>
        </w:rPr>
        <w:t>s</w:t>
      </w:r>
      <w:r w:rsidR="001218EE">
        <w:rPr>
          <w:rFonts w:cstheme="minorHAnsi"/>
        </w:rPr>
        <w:t xml:space="preserve"> on the snapshot date</w:t>
      </w:r>
      <w:r w:rsidR="00B37FD0">
        <w:rPr>
          <w:rFonts w:cstheme="minorHAnsi"/>
        </w:rPr>
        <w:t xml:space="preserve"> is illustrated in the chart</w:t>
      </w:r>
      <w:r w:rsidR="001218EE">
        <w:rPr>
          <w:rFonts w:cstheme="minorHAnsi"/>
        </w:rPr>
        <w:t xml:space="preserve"> below</w:t>
      </w:r>
      <w:r w:rsidR="00CA3D3A" w:rsidRPr="009D3B79">
        <w:rPr>
          <w:rFonts w:cstheme="minorHAnsi"/>
        </w:rPr>
        <w:t>:</w:t>
      </w:r>
    </w:p>
    <w:p w14:paraId="299201F6" w14:textId="1D1C882E" w:rsidR="000B6595" w:rsidRDefault="000B6595">
      <w:pPr>
        <w:rPr>
          <w:rFonts w:cstheme="minorHAnsi"/>
        </w:rPr>
      </w:pPr>
    </w:p>
    <w:p w14:paraId="75AD69A1" w14:textId="24CE7F77" w:rsidR="000B6595" w:rsidRDefault="00AE68A7">
      <w:pPr>
        <w:rPr>
          <w:rFonts w:cstheme="minorHAnsi"/>
        </w:rPr>
      </w:pPr>
      <w:r>
        <w:rPr>
          <w:noProof/>
          <w:lang w:eastAsia="en-GB"/>
        </w:rPr>
        <w:drawing>
          <wp:inline distT="0" distB="0" distL="0" distR="0" wp14:anchorId="20FCCDE0" wp14:editId="35272F0C">
            <wp:extent cx="5105400" cy="314706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A630EA" w14:textId="77777777" w:rsidR="00AE68A7" w:rsidRDefault="00AE68A7">
      <w:pPr>
        <w:rPr>
          <w:rFonts w:cstheme="minorHAnsi"/>
        </w:rPr>
      </w:pPr>
    </w:p>
    <w:p w14:paraId="7A921F72" w14:textId="5E061297" w:rsidR="009867C1" w:rsidRDefault="00D12092">
      <w:pPr>
        <w:rPr>
          <w:rFonts w:cstheme="minorHAnsi"/>
          <w:b/>
        </w:rPr>
      </w:pPr>
      <w:r>
        <w:rPr>
          <w:noProof/>
          <w:lang w:eastAsia="en-GB"/>
        </w:rPr>
        <w:drawing>
          <wp:inline distT="0" distB="0" distL="0" distR="0" wp14:anchorId="335CF129" wp14:editId="57FE6061">
            <wp:extent cx="5044440" cy="3307080"/>
            <wp:effectExtent l="0" t="0" r="381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GB"/>
        </w:rPr>
        <w:t xml:space="preserve">  </w:t>
      </w:r>
    </w:p>
    <w:p w14:paraId="59FB6565" w14:textId="6E7945DA" w:rsidR="00693543" w:rsidRDefault="00693543">
      <w:pPr>
        <w:rPr>
          <w:rFonts w:cstheme="minorHAnsi"/>
          <w:b/>
        </w:rPr>
      </w:pPr>
    </w:p>
    <w:p w14:paraId="3D79B295" w14:textId="178C89C9" w:rsidR="00366A4E" w:rsidRDefault="00366A4E">
      <w:pPr>
        <w:rPr>
          <w:rFonts w:cstheme="minorHAnsi"/>
          <w:b/>
        </w:rPr>
      </w:pPr>
    </w:p>
    <w:p w14:paraId="058EAF07" w14:textId="77777777" w:rsidR="00366A4E" w:rsidRDefault="00366A4E">
      <w:pPr>
        <w:rPr>
          <w:rFonts w:cstheme="minorHAnsi"/>
          <w:b/>
        </w:rPr>
      </w:pPr>
    </w:p>
    <w:p w14:paraId="0B7A1152" w14:textId="3B4B7CB1" w:rsidR="00DA3E82" w:rsidRPr="009D3B79" w:rsidRDefault="00DA3E82">
      <w:pPr>
        <w:rPr>
          <w:rFonts w:cstheme="minorHAnsi"/>
          <w:b/>
        </w:rPr>
      </w:pPr>
      <w:r w:rsidRPr="009D3B79">
        <w:rPr>
          <w:rFonts w:cstheme="minorHAnsi"/>
          <w:b/>
        </w:rPr>
        <w:lastRenderedPageBreak/>
        <w:t xml:space="preserve">Trust Commentary: </w:t>
      </w:r>
    </w:p>
    <w:p w14:paraId="74B9F440" w14:textId="4061A617" w:rsidR="00D531CF" w:rsidRPr="009D3B79" w:rsidRDefault="00B73570">
      <w:pPr>
        <w:rPr>
          <w:rFonts w:cstheme="minorHAnsi"/>
        </w:rPr>
      </w:pPr>
      <w:r>
        <w:rPr>
          <w:rFonts w:cstheme="minorHAnsi"/>
        </w:rPr>
        <w:t>The Trust welcomes</w:t>
      </w:r>
      <w:r w:rsidR="007213F3" w:rsidRPr="009D3B79">
        <w:rPr>
          <w:rFonts w:cstheme="minorHAnsi"/>
        </w:rPr>
        <w:t xml:space="preserve"> Gender Pay Gap reporting and offers the following commentary</w:t>
      </w:r>
      <w:r w:rsidR="00D531CF" w:rsidRPr="009D3B79">
        <w:rPr>
          <w:rFonts w:cstheme="minorHAnsi"/>
        </w:rPr>
        <w:t xml:space="preserve">. </w:t>
      </w:r>
    </w:p>
    <w:p w14:paraId="6F8D93B1" w14:textId="05B6291A" w:rsidR="00DA3E82" w:rsidRPr="009D3B79" w:rsidRDefault="00D531CF">
      <w:pPr>
        <w:rPr>
          <w:rFonts w:cstheme="minorHAnsi"/>
        </w:rPr>
      </w:pPr>
      <w:r w:rsidRPr="009D3B79">
        <w:rPr>
          <w:rFonts w:cstheme="minorHAnsi"/>
        </w:rPr>
        <w:t xml:space="preserve">The Trust can report a decrease in the gender </w:t>
      </w:r>
      <w:r w:rsidR="008E733C" w:rsidRPr="009D3B79">
        <w:rPr>
          <w:rFonts w:cstheme="minorHAnsi"/>
        </w:rPr>
        <w:t>p</w:t>
      </w:r>
      <w:r w:rsidRPr="009D3B79">
        <w:rPr>
          <w:rFonts w:cstheme="minorHAnsi"/>
        </w:rPr>
        <w:t xml:space="preserve">ay </w:t>
      </w:r>
      <w:r w:rsidR="008E733C" w:rsidRPr="009D3B79">
        <w:rPr>
          <w:rFonts w:cstheme="minorHAnsi"/>
        </w:rPr>
        <w:t>g</w:t>
      </w:r>
      <w:r w:rsidRPr="009D3B79">
        <w:rPr>
          <w:rFonts w:cstheme="minorHAnsi"/>
        </w:rPr>
        <w:t xml:space="preserve">ap </w:t>
      </w:r>
      <w:r w:rsidR="00DA3E82" w:rsidRPr="009D3B79">
        <w:rPr>
          <w:rFonts w:cstheme="minorHAnsi"/>
        </w:rPr>
        <w:t xml:space="preserve">median </w:t>
      </w:r>
      <w:r w:rsidR="00693543">
        <w:rPr>
          <w:rFonts w:cstheme="minorHAnsi"/>
        </w:rPr>
        <w:t xml:space="preserve">and mean hourly gap </w:t>
      </w:r>
      <w:r w:rsidRPr="009D3B79">
        <w:rPr>
          <w:rFonts w:cstheme="minorHAnsi"/>
        </w:rPr>
        <w:t xml:space="preserve">compared to the previous </w:t>
      </w:r>
      <w:r w:rsidR="00DA3E82" w:rsidRPr="009D3B79">
        <w:rPr>
          <w:rFonts w:cstheme="minorHAnsi"/>
        </w:rPr>
        <w:t xml:space="preserve">two </w:t>
      </w:r>
      <w:r w:rsidRPr="009D3B79">
        <w:rPr>
          <w:rFonts w:cstheme="minorHAnsi"/>
        </w:rPr>
        <w:t>annual report</w:t>
      </w:r>
      <w:r w:rsidR="00DA3E82" w:rsidRPr="009D3B79">
        <w:rPr>
          <w:rFonts w:cstheme="minorHAnsi"/>
        </w:rPr>
        <w:t>s:</w:t>
      </w:r>
    </w:p>
    <w:tbl>
      <w:tblPr>
        <w:tblStyle w:val="TableGrid"/>
        <w:tblW w:w="0" w:type="auto"/>
        <w:tblLook w:val="04A0" w:firstRow="1" w:lastRow="0" w:firstColumn="1" w:lastColumn="0" w:noHBand="0" w:noVBand="1"/>
      </w:tblPr>
      <w:tblGrid>
        <w:gridCol w:w="1743"/>
        <w:gridCol w:w="1902"/>
        <w:gridCol w:w="1844"/>
        <w:gridCol w:w="1844"/>
        <w:gridCol w:w="1683"/>
      </w:tblGrid>
      <w:tr w:rsidR="00693543" w14:paraId="43975331" w14:textId="0783BB9A" w:rsidTr="00D42DCA">
        <w:tc>
          <w:tcPr>
            <w:tcW w:w="1743" w:type="dxa"/>
            <w:shd w:val="clear" w:color="auto" w:fill="D9D9D9" w:themeFill="background1" w:themeFillShade="D9"/>
          </w:tcPr>
          <w:p w14:paraId="16952A85" w14:textId="77777777" w:rsidR="00693543" w:rsidRDefault="00693543">
            <w:pPr>
              <w:rPr>
                <w:rFonts w:cstheme="minorHAnsi"/>
                <w:b/>
              </w:rPr>
            </w:pPr>
          </w:p>
        </w:tc>
        <w:tc>
          <w:tcPr>
            <w:tcW w:w="1902" w:type="dxa"/>
          </w:tcPr>
          <w:p w14:paraId="3BE33E8C" w14:textId="5EEBC944" w:rsidR="00693543" w:rsidRDefault="00693543" w:rsidP="00D12092">
            <w:pPr>
              <w:jc w:val="center"/>
              <w:rPr>
                <w:rFonts w:cstheme="minorHAnsi"/>
                <w:b/>
              </w:rPr>
            </w:pPr>
            <w:r>
              <w:rPr>
                <w:rFonts w:cstheme="minorHAnsi"/>
                <w:b/>
              </w:rPr>
              <w:t>2019</w:t>
            </w:r>
          </w:p>
        </w:tc>
        <w:tc>
          <w:tcPr>
            <w:tcW w:w="1844" w:type="dxa"/>
          </w:tcPr>
          <w:p w14:paraId="17E34C77" w14:textId="0D07054B" w:rsidR="00693543" w:rsidRDefault="00693543" w:rsidP="00D12092">
            <w:pPr>
              <w:jc w:val="center"/>
              <w:rPr>
                <w:rFonts w:cstheme="minorHAnsi"/>
                <w:b/>
              </w:rPr>
            </w:pPr>
            <w:r>
              <w:rPr>
                <w:rFonts w:cstheme="minorHAnsi"/>
                <w:b/>
              </w:rPr>
              <w:t>2020</w:t>
            </w:r>
          </w:p>
        </w:tc>
        <w:tc>
          <w:tcPr>
            <w:tcW w:w="1844" w:type="dxa"/>
          </w:tcPr>
          <w:p w14:paraId="05F92F46" w14:textId="72D9B6C9" w:rsidR="00693543" w:rsidRDefault="00693543" w:rsidP="00D12092">
            <w:pPr>
              <w:jc w:val="center"/>
              <w:rPr>
                <w:rFonts w:cstheme="minorHAnsi"/>
                <w:b/>
              </w:rPr>
            </w:pPr>
            <w:r>
              <w:rPr>
                <w:rFonts w:cstheme="minorHAnsi"/>
                <w:b/>
              </w:rPr>
              <w:t>2021</w:t>
            </w:r>
          </w:p>
        </w:tc>
        <w:tc>
          <w:tcPr>
            <w:tcW w:w="1683" w:type="dxa"/>
          </w:tcPr>
          <w:p w14:paraId="63C0C422" w14:textId="1CD003F4" w:rsidR="00693543" w:rsidRDefault="00693543" w:rsidP="00D12092">
            <w:pPr>
              <w:jc w:val="center"/>
              <w:rPr>
                <w:rFonts w:cstheme="minorHAnsi"/>
                <w:b/>
              </w:rPr>
            </w:pPr>
            <w:r>
              <w:rPr>
                <w:rFonts w:cstheme="minorHAnsi"/>
                <w:b/>
              </w:rPr>
              <w:t>2022</w:t>
            </w:r>
          </w:p>
        </w:tc>
      </w:tr>
      <w:tr w:rsidR="00693543" w14:paraId="2450B662" w14:textId="1E0680D1" w:rsidTr="00693543">
        <w:tc>
          <w:tcPr>
            <w:tcW w:w="1743" w:type="dxa"/>
          </w:tcPr>
          <w:p w14:paraId="001148A7" w14:textId="2D0607A4" w:rsidR="00693543" w:rsidRPr="00D12092" w:rsidRDefault="00693543">
            <w:pPr>
              <w:rPr>
                <w:rFonts w:cstheme="minorHAnsi"/>
                <w:b/>
                <w:sz w:val="20"/>
                <w:szCs w:val="20"/>
              </w:rPr>
            </w:pPr>
            <w:r w:rsidRPr="00D12092">
              <w:rPr>
                <w:rFonts w:cstheme="minorHAnsi"/>
                <w:b/>
                <w:sz w:val="20"/>
                <w:szCs w:val="20"/>
              </w:rPr>
              <w:t>Median Hourly Gap %</w:t>
            </w:r>
          </w:p>
        </w:tc>
        <w:tc>
          <w:tcPr>
            <w:tcW w:w="1902" w:type="dxa"/>
          </w:tcPr>
          <w:p w14:paraId="1F5F5293" w14:textId="738CEA9C" w:rsidR="00693543" w:rsidRDefault="00693543" w:rsidP="00D12092">
            <w:pPr>
              <w:jc w:val="center"/>
              <w:rPr>
                <w:rFonts w:cstheme="minorHAnsi"/>
                <w:b/>
              </w:rPr>
            </w:pPr>
            <w:r>
              <w:rPr>
                <w:rFonts w:cstheme="minorHAnsi"/>
                <w:b/>
              </w:rPr>
              <w:t>39.96%</w:t>
            </w:r>
          </w:p>
        </w:tc>
        <w:tc>
          <w:tcPr>
            <w:tcW w:w="1844" w:type="dxa"/>
          </w:tcPr>
          <w:p w14:paraId="26EF87BA" w14:textId="1765FBDF" w:rsidR="00693543" w:rsidRDefault="00693543" w:rsidP="00D12092">
            <w:pPr>
              <w:jc w:val="center"/>
              <w:rPr>
                <w:rFonts w:cstheme="minorHAnsi"/>
                <w:b/>
              </w:rPr>
            </w:pPr>
            <w:r>
              <w:rPr>
                <w:rFonts w:cstheme="minorHAnsi"/>
                <w:b/>
              </w:rPr>
              <w:t>34%</w:t>
            </w:r>
          </w:p>
        </w:tc>
        <w:tc>
          <w:tcPr>
            <w:tcW w:w="1844" w:type="dxa"/>
          </w:tcPr>
          <w:p w14:paraId="4E36B87F" w14:textId="09346AB0" w:rsidR="00693543" w:rsidRDefault="00693543" w:rsidP="00D12092">
            <w:pPr>
              <w:jc w:val="center"/>
              <w:rPr>
                <w:rFonts w:cstheme="minorHAnsi"/>
                <w:b/>
              </w:rPr>
            </w:pPr>
            <w:r>
              <w:rPr>
                <w:rFonts w:cstheme="minorHAnsi"/>
                <w:b/>
              </w:rPr>
              <w:t>31%</w:t>
            </w:r>
          </w:p>
        </w:tc>
        <w:tc>
          <w:tcPr>
            <w:tcW w:w="1683" w:type="dxa"/>
          </w:tcPr>
          <w:p w14:paraId="7A88A578" w14:textId="476EE1D2" w:rsidR="00693543" w:rsidRDefault="00693543" w:rsidP="00D12092">
            <w:pPr>
              <w:jc w:val="center"/>
              <w:rPr>
                <w:rFonts w:cstheme="minorHAnsi"/>
                <w:b/>
              </w:rPr>
            </w:pPr>
            <w:r>
              <w:rPr>
                <w:rFonts w:cstheme="minorHAnsi"/>
                <w:b/>
              </w:rPr>
              <w:t>23.3%</w:t>
            </w:r>
          </w:p>
        </w:tc>
      </w:tr>
      <w:tr w:rsidR="00693543" w14:paraId="2F275817" w14:textId="2E912523" w:rsidTr="00693543">
        <w:tc>
          <w:tcPr>
            <w:tcW w:w="1743" w:type="dxa"/>
          </w:tcPr>
          <w:p w14:paraId="1A58A8E4" w14:textId="70948146" w:rsidR="00693543" w:rsidRPr="00D12092" w:rsidRDefault="00693543">
            <w:pPr>
              <w:rPr>
                <w:rFonts w:cstheme="minorHAnsi"/>
                <w:b/>
                <w:sz w:val="20"/>
                <w:szCs w:val="20"/>
              </w:rPr>
            </w:pPr>
            <w:r w:rsidRPr="00D12092">
              <w:rPr>
                <w:rFonts w:cstheme="minorHAnsi"/>
                <w:b/>
                <w:sz w:val="20"/>
                <w:szCs w:val="20"/>
              </w:rPr>
              <w:t>Mean Hourly Gap %</w:t>
            </w:r>
          </w:p>
        </w:tc>
        <w:tc>
          <w:tcPr>
            <w:tcW w:w="1902" w:type="dxa"/>
          </w:tcPr>
          <w:p w14:paraId="477183B3" w14:textId="321CEA63" w:rsidR="00693543" w:rsidRDefault="00693543" w:rsidP="00D12092">
            <w:pPr>
              <w:jc w:val="center"/>
              <w:rPr>
                <w:rFonts w:cstheme="minorHAnsi"/>
                <w:b/>
              </w:rPr>
            </w:pPr>
            <w:r>
              <w:rPr>
                <w:rFonts w:cstheme="minorHAnsi"/>
                <w:b/>
              </w:rPr>
              <w:t>29.3%</w:t>
            </w:r>
          </w:p>
        </w:tc>
        <w:tc>
          <w:tcPr>
            <w:tcW w:w="1844" w:type="dxa"/>
          </w:tcPr>
          <w:p w14:paraId="68D64969" w14:textId="52845371" w:rsidR="00693543" w:rsidRDefault="00693543" w:rsidP="00D12092">
            <w:pPr>
              <w:jc w:val="center"/>
              <w:rPr>
                <w:rFonts w:cstheme="minorHAnsi"/>
                <w:b/>
              </w:rPr>
            </w:pPr>
            <w:r>
              <w:rPr>
                <w:rFonts w:cstheme="minorHAnsi"/>
                <w:b/>
              </w:rPr>
              <w:t>24.3%</w:t>
            </w:r>
          </w:p>
        </w:tc>
        <w:tc>
          <w:tcPr>
            <w:tcW w:w="1844" w:type="dxa"/>
          </w:tcPr>
          <w:p w14:paraId="7FCB23BF" w14:textId="46E5E819" w:rsidR="00693543" w:rsidRDefault="00693543" w:rsidP="00D12092">
            <w:pPr>
              <w:jc w:val="center"/>
              <w:rPr>
                <w:rFonts w:cstheme="minorHAnsi"/>
                <w:b/>
              </w:rPr>
            </w:pPr>
            <w:r>
              <w:rPr>
                <w:rFonts w:cstheme="minorHAnsi"/>
                <w:b/>
              </w:rPr>
              <w:t>24.3%</w:t>
            </w:r>
          </w:p>
        </w:tc>
        <w:tc>
          <w:tcPr>
            <w:tcW w:w="1683" w:type="dxa"/>
          </w:tcPr>
          <w:p w14:paraId="114A8E81" w14:textId="2C78D181" w:rsidR="00693543" w:rsidRDefault="00693543" w:rsidP="00D12092">
            <w:pPr>
              <w:jc w:val="center"/>
              <w:rPr>
                <w:rFonts w:cstheme="minorHAnsi"/>
                <w:b/>
              </w:rPr>
            </w:pPr>
            <w:r>
              <w:rPr>
                <w:rFonts w:cstheme="minorHAnsi"/>
                <w:b/>
              </w:rPr>
              <w:t>24.1%</w:t>
            </w:r>
          </w:p>
        </w:tc>
      </w:tr>
    </w:tbl>
    <w:p w14:paraId="07B0F331" w14:textId="77777777" w:rsidR="00D12092" w:rsidRDefault="00D12092">
      <w:pPr>
        <w:rPr>
          <w:rFonts w:cstheme="minorHAnsi"/>
        </w:rPr>
      </w:pPr>
    </w:p>
    <w:p w14:paraId="051472BE" w14:textId="439D6177" w:rsidR="00371090" w:rsidRPr="00D12092" w:rsidRDefault="00FB375D">
      <w:pPr>
        <w:rPr>
          <w:rFonts w:cstheme="minorHAnsi"/>
          <w:sz w:val="10"/>
          <w:szCs w:val="10"/>
        </w:rPr>
      </w:pPr>
      <w:r w:rsidRPr="009D3B79">
        <w:rPr>
          <w:rFonts w:cstheme="minorHAnsi"/>
        </w:rPr>
        <w:t xml:space="preserve">It should be noted that the gender pay gap is </w:t>
      </w:r>
      <w:r w:rsidRPr="009D3B79">
        <w:rPr>
          <w:rFonts w:cstheme="minorHAnsi"/>
          <w:u w:val="single"/>
        </w:rPr>
        <w:t>not</w:t>
      </w:r>
      <w:r w:rsidRPr="009D3B79">
        <w:rPr>
          <w:rFonts w:cstheme="minorHAnsi"/>
        </w:rPr>
        <w:t xml:space="preserve"> the same thing as the provision of Equal Pay for work of</w:t>
      </w:r>
      <w:r w:rsidR="00371090" w:rsidRPr="009D3B79">
        <w:rPr>
          <w:rFonts w:cstheme="minorHAnsi"/>
        </w:rPr>
        <w:t xml:space="preserve"> e</w:t>
      </w:r>
      <w:r w:rsidRPr="009D3B79">
        <w:rPr>
          <w:rFonts w:cstheme="minorHAnsi"/>
        </w:rPr>
        <w:t xml:space="preserve">qual value regardless of gender. The Trust </w:t>
      </w:r>
      <w:r w:rsidRPr="009D3B79">
        <w:rPr>
          <w:rFonts w:cstheme="minorHAnsi"/>
          <w:u w:val="single"/>
        </w:rPr>
        <w:t>is</w:t>
      </w:r>
      <w:r w:rsidRPr="009D3B79">
        <w:rPr>
          <w:rFonts w:cstheme="minorHAnsi"/>
        </w:rPr>
        <w:t xml:space="preserve"> an equal opportunities employer and </w:t>
      </w:r>
      <w:r w:rsidR="00371090" w:rsidRPr="009D3B79">
        <w:rPr>
          <w:rFonts w:cstheme="minorHAnsi"/>
        </w:rPr>
        <w:t>ensures that men and women receive equal pay for:</w:t>
      </w:r>
    </w:p>
    <w:p w14:paraId="0577BCB1" w14:textId="77777777" w:rsidR="00371090" w:rsidRPr="009D3B79" w:rsidRDefault="00371090" w:rsidP="00371090">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the same or broadly similar work;</w:t>
      </w:r>
    </w:p>
    <w:p w14:paraId="514AC9DA" w14:textId="4E8E5F88" w:rsidR="00371090" w:rsidRPr="009D3B79" w:rsidRDefault="00371090" w:rsidP="009D3B79">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work rated as equivalent under a job evaluation scheme;</w:t>
      </w:r>
      <w:r w:rsidR="00366A4E">
        <w:rPr>
          <w:rFonts w:eastAsia="Times New Roman" w:cstheme="minorHAnsi"/>
          <w:color w:val="4A4A4A"/>
          <w:lang w:eastAsia="en-GB"/>
        </w:rPr>
        <w:t xml:space="preserve"> and</w:t>
      </w:r>
    </w:p>
    <w:p w14:paraId="3A8F2A42" w14:textId="4DD7DD4A" w:rsidR="00371090" w:rsidRPr="009D3B79" w:rsidRDefault="00371090" w:rsidP="009D3B79">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work of equal value.</w:t>
      </w:r>
    </w:p>
    <w:p w14:paraId="7F1ABD37" w14:textId="77777777" w:rsidR="00D12092" w:rsidRDefault="00371090">
      <w:pPr>
        <w:rPr>
          <w:rFonts w:cstheme="minorHAnsi"/>
        </w:rPr>
      </w:pPr>
      <w:r w:rsidRPr="009D3B79">
        <w:rPr>
          <w:rFonts w:cstheme="minorHAnsi"/>
        </w:rPr>
        <w:t>M</w:t>
      </w:r>
      <w:r w:rsidR="00FB375D" w:rsidRPr="009D3B79">
        <w:rPr>
          <w:rFonts w:cstheme="minorHAnsi"/>
        </w:rPr>
        <w:t>en and women are</w:t>
      </w:r>
      <w:r w:rsidR="00C87528" w:rsidRPr="009D3B79">
        <w:rPr>
          <w:rFonts w:cstheme="minorHAnsi"/>
        </w:rPr>
        <w:t xml:space="preserve"> thereby</w:t>
      </w:r>
      <w:r w:rsidR="00FB375D" w:rsidRPr="009D3B79">
        <w:rPr>
          <w:rFonts w:cstheme="minorHAnsi"/>
        </w:rPr>
        <w:t xml:space="preserve"> pa</w:t>
      </w:r>
      <w:r w:rsidR="00866C03" w:rsidRPr="009D3B79">
        <w:rPr>
          <w:rFonts w:cstheme="minorHAnsi"/>
        </w:rPr>
        <w:t>i</w:t>
      </w:r>
      <w:r w:rsidR="00FB375D" w:rsidRPr="009D3B79">
        <w:rPr>
          <w:rFonts w:cstheme="minorHAnsi"/>
        </w:rPr>
        <w:t>d the same for like work</w:t>
      </w:r>
      <w:r w:rsidRPr="009D3B79">
        <w:rPr>
          <w:rFonts w:cstheme="minorHAnsi"/>
        </w:rPr>
        <w:t xml:space="preserve">.  This is </w:t>
      </w:r>
      <w:r w:rsidR="00FB375D" w:rsidRPr="009D3B79">
        <w:rPr>
          <w:rFonts w:cstheme="minorHAnsi"/>
        </w:rPr>
        <w:t>subject to contractual factors including any transfer of undertakings from previous employment</w:t>
      </w:r>
      <w:r w:rsidR="00C87528" w:rsidRPr="009D3B79">
        <w:rPr>
          <w:rFonts w:cstheme="minorHAnsi"/>
        </w:rPr>
        <w:t>.</w:t>
      </w:r>
      <w:r w:rsidR="00FB375D" w:rsidRPr="009D3B79">
        <w:rPr>
          <w:rFonts w:cstheme="minorHAnsi"/>
        </w:rPr>
        <w:t xml:space="preserve">  </w:t>
      </w:r>
    </w:p>
    <w:p w14:paraId="04BE9C89" w14:textId="12270C97" w:rsidR="00B15690" w:rsidRPr="009D3B79" w:rsidRDefault="00B15690">
      <w:pPr>
        <w:rPr>
          <w:rFonts w:cstheme="minorHAnsi"/>
        </w:rPr>
      </w:pPr>
      <w:r>
        <w:rPr>
          <w:rFonts w:cstheme="minorHAnsi"/>
        </w:rPr>
        <w:t xml:space="preserve">The Trust is </w:t>
      </w:r>
      <w:r>
        <w:t>confident that the pay gap shown is due to the structure of the workforce rather than any gender differences in recruitment, pay or opportunity.</w:t>
      </w:r>
    </w:p>
    <w:p w14:paraId="4F2CF92B" w14:textId="07A4D7D5" w:rsidR="00371090" w:rsidRPr="00D42DCA" w:rsidRDefault="00B37FD0">
      <w:pPr>
        <w:rPr>
          <w:rFonts w:cstheme="minorHAnsi"/>
          <w:b/>
        </w:rPr>
      </w:pPr>
      <w:r w:rsidRPr="00D42DCA">
        <w:rPr>
          <w:rFonts w:cstheme="minorHAnsi"/>
          <w:b/>
        </w:rPr>
        <w:t>Relevant information and context</w:t>
      </w:r>
      <w:r w:rsidR="00371090" w:rsidRPr="00D42DCA">
        <w:rPr>
          <w:rFonts w:cstheme="minorHAnsi"/>
          <w:b/>
        </w:rPr>
        <w:t xml:space="preserve"> to consider:</w:t>
      </w:r>
    </w:p>
    <w:p w14:paraId="59CCC1D1" w14:textId="727FDD66" w:rsidR="00FB375D" w:rsidRPr="00D42DCA" w:rsidRDefault="00FB375D" w:rsidP="00D42DCA">
      <w:pPr>
        <w:pStyle w:val="ListParagraph"/>
        <w:numPr>
          <w:ilvl w:val="0"/>
          <w:numId w:val="5"/>
        </w:numPr>
        <w:ind w:left="709" w:hanging="283"/>
        <w:rPr>
          <w:rFonts w:cstheme="minorHAnsi"/>
        </w:rPr>
      </w:pPr>
      <w:r w:rsidRPr="00D42DCA">
        <w:rPr>
          <w:rFonts w:cstheme="minorHAnsi"/>
        </w:rPr>
        <w:t>The large majority of employees in the Trust (8</w:t>
      </w:r>
      <w:r w:rsidR="00693543" w:rsidRPr="00D42DCA">
        <w:rPr>
          <w:rFonts w:cstheme="minorHAnsi"/>
        </w:rPr>
        <w:t>3</w:t>
      </w:r>
      <w:r w:rsidR="00D531CF" w:rsidRPr="00D42DCA">
        <w:rPr>
          <w:rFonts w:cstheme="minorHAnsi"/>
        </w:rPr>
        <w:t>.</w:t>
      </w:r>
      <w:r w:rsidR="00693543" w:rsidRPr="00D42DCA">
        <w:rPr>
          <w:rFonts w:cstheme="minorHAnsi"/>
        </w:rPr>
        <w:t>32</w:t>
      </w:r>
      <w:r w:rsidRPr="00D42DCA">
        <w:rPr>
          <w:rFonts w:cstheme="minorHAnsi"/>
        </w:rPr>
        <w:t>%) are female</w:t>
      </w:r>
      <w:r w:rsidR="00D42DCA">
        <w:rPr>
          <w:rFonts w:cstheme="minorHAnsi"/>
        </w:rPr>
        <w:t xml:space="preserve">. This is reflective of the gender split </w:t>
      </w:r>
      <w:r w:rsidRPr="00D42DCA">
        <w:rPr>
          <w:rFonts w:cstheme="minorHAnsi"/>
        </w:rPr>
        <w:t>across the education schools sector in general and particularly given the predominance of primary schools in the Trust</w:t>
      </w:r>
      <w:r w:rsidR="00693543" w:rsidRPr="00D42DCA">
        <w:rPr>
          <w:rFonts w:cstheme="minorHAnsi"/>
        </w:rPr>
        <w:t xml:space="preserve"> that have a high proportion of female employees</w:t>
      </w:r>
      <w:r w:rsidR="00BC2D42" w:rsidRPr="00D42DCA">
        <w:rPr>
          <w:rFonts w:cstheme="minorHAnsi"/>
        </w:rPr>
        <w:t>.</w:t>
      </w:r>
    </w:p>
    <w:p w14:paraId="7E24E0FA" w14:textId="6C37F8DD" w:rsidR="00FB375D" w:rsidRPr="009D3B79" w:rsidRDefault="00FB375D" w:rsidP="00D42DCA">
      <w:pPr>
        <w:pStyle w:val="ListParagraph"/>
        <w:numPr>
          <w:ilvl w:val="0"/>
          <w:numId w:val="5"/>
        </w:numPr>
        <w:ind w:left="709" w:hanging="283"/>
        <w:rPr>
          <w:rFonts w:cstheme="minorHAnsi"/>
        </w:rPr>
      </w:pPr>
      <w:r w:rsidRPr="009D3B79">
        <w:rPr>
          <w:rFonts w:cstheme="minorHAnsi"/>
        </w:rPr>
        <w:t xml:space="preserve">The proportion of our female workers is greater in the support service (non-teaching) roles </w:t>
      </w:r>
      <w:r w:rsidR="00981793">
        <w:rPr>
          <w:rFonts w:cstheme="minorHAnsi"/>
        </w:rPr>
        <w:t xml:space="preserve">(64.72%) </w:t>
      </w:r>
      <w:r w:rsidRPr="009D3B79">
        <w:rPr>
          <w:rFonts w:cstheme="minorHAnsi"/>
        </w:rPr>
        <w:t>across the Trust which includes</w:t>
      </w:r>
      <w:r w:rsidR="007A77F3" w:rsidRPr="009D3B79">
        <w:rPr>
          <w:rFonts w:cstheme="minorHAnsi"/>
        </w:rPr>
        <w:t xml:space="preserve"> roles which require more manual</w:t>
      </w:r>
      <w:r w:rsidR="00D51C36" w:rsidRPr="009D3B79">
        <w:rPr>
          <w:rFonts w:cstheme="minorHAnsi"/>
        </w:rPr>
        <w:t xml:space="preserve"> or</w:t>
      </w:r>
      <w:r w:rsidR="007A77F3" w:rsidRPr="009D3B79">
        <w:rPr>
          <w:rFonts w:cstheme="minorHAnsi"/>
        </w:rPr>
        <w:t xml:space="preserve"> un</w:t>
      </w:r>
      <w:r w:rsidR="00D51C36" w:rsidRPr="009D3B79">
        <w:rPr>
          <w:rFonts w:cstheme="minorHAnsi"/>
        </w:rPr>
        <w:t>/</w:t>
      </w:r>
      <w:r w:rsidR="007A77F3" w:rsidRPr="009D3B79">
        <w:rPr>
          <w:rFonts w:cstheme="minorHAnsi"/>
        </w:rPr>
        <w:t>semi-skilled work than do teaching</w:t>
      </w:r>
      <w:r w:rsidR="00D51C36" w:rsidRPr="009D3B79">
        <w:rPr>
          <w:rFonts w:cstheme="minorHAnsi"/>
        </w:rPr>
        <w:t xml:space="preserve"> and managerial</w:t>
      </w:r>
      <w:r w:rsidR="007A77F3" w:rsidRPr="009D3B79">
        <w:rPr>
          <w:rFonts w:cstheme="minorHAnsi"/>
        </w:rPr>
        <w:t xml:space="preserve"> roles which </w:t>
      </w:r>
      <w:r w:rsidR="00CE6026" w:rsidRPr="009D3B79">
        <w:rPr>
          <w:rFonts w:cstheme="minorHAnsi"/>
        </w:rPr>
        <w:t xml:space="preserve">often </w:t>
      </w:r>
      <w:r w:rsidR="007A77F3" w:rsidRPr="009D3B79">
        <w:rPr>
          <w:rFonts w:cstheme="minorHAnsi"/>
        </w:rPr>
        <w:t>require qualification status at graduate levels.</w:t>
      </w:r>
      <w:r w:rsidRPr="009D3B79">
        <w:rPr>
          <w:rFonts w:cstheme="minorHAnsi"/>
        </w:rPr>
        <w:t xml:space="preserve"> </w:t>
      </w:r>
      <w:r w:rsidR="007A77F3" w:rsidRPr="009D3B79">
        <w:rPr>
          <w:rFonts w:cstheme="minorHAnsi"/>
        </w:rPr>
        <w:t xml:space="preserve">Such </w:t>
      </w:r>
      <w:r w:rsidR="00866C03" w:rsidRPr="009D3B79">
        <w:rPr>
          <w:rFonts w:cstheme="minorHAnsi"/>
        </w:rPr>
        <w:t xml:space="preserve">support </w:t>
      </w:r>
      <w:r w:rsidR="007A77F3" w:rsidRPr="009D3B79">
        <w:rPr>
          <w:rFonts w:cstheme="minorHAnsi"/>
        </w:rPr>
        <w:t xml:space="preserve">roles predominantly include catering, cleaning, </w:t>
      </w:r>
      <w:r w:rsidR="00CE6026" w:rsidRPr="009D3B79">
        <w:rPr>
          <w:rFonts w:cstheme="minorHAnsi"/>
        </w:rPr>
        <w:t>premises</w:t>
      </w:r>
      <w:r w:rsidR="00C87528" w:rsidRPr="009D3B79">
        <w:rPr>
          <w:rFonts w:cstheme="minorHAnsi"/>
        </w:rPr>
        <w:t xml:space="preserve"> </w:t>
      </w:r>
      <w:r w:rsidR="00B37FD0">
        <w:rPr>
          <w:rFonts w:cstheme="minorHAnsi"/>
        </w:rPr>
        <w:t>and</w:t>
      </w:r>
      <w:r w:rsidR="007A77F3" w:rsidRPr="009D3B79">
        <w:rPr>
          <w:rFonts w:cstheme="minorHAnsi"/>
        </w:rPr>
        <w:t xml:space="preserve"> </w:t>
      </w:r>
      <w:r w:rsidR="00F252D9" w:rsidRPr="009D3B79">
        <w:rPr>
          <w:rFonts w:cstheme="minorHAnsi"/>
        </w:rPr>
        <w:t xml:space="preserve">lower level </w:t>
      </w:r>
      <w:r w:rsidR="007A77F3" w:rsidRPr="009D3B79">
        <w:rPr>
          <w:rFonts w:cstheme="minorHAnsi"/>
        </w:rPr>
        <w:t>classroom</w:t>
      </w:r>
      <w:r w:rsidR="00CE6026" w:rsidRPr="009D3B79">
        <w:rPr>
          <w:rFonts w:cstheme="minorHAnsi"/>
        </w:rPr>
        <w:t xml:space="preserve"> and mealtime</w:t>
      </w:r>
      <w:r w:rsidR="007A77F3" w:rsidRPr="009D3B79">
        <w:rPr>
          <w:rFonts w:cstheme="minorHAnsi"/>
        </w:rPr>
        <w:t xml:space="preserve"> supervision duties. </w:t>
      </w:r>
      <w:r w:rsidR="009D3B79" w:rsidRPr="009D3B79">
        <w:rPr>
          <w:rFonts w:cstheme="minorHAnsi"/>
        </w:rPr>
        <w:t>These</w:t>
      </w:r>
      <w:r w:rsidR="007A77F3" w:rsidRPr="009D3B79">
        <w:rPr>
          <w:rFonts w:cstheme="minorHAnsi"/>
        </w:rPr>
        <w:t xml:space="preserve"> roles lend themselves more easily to part</w:t>
      </w:r>
      <w:r w:rsidR="00A646FF" w:rsidRPr="009D3B79">
        <w:rPr>
          <w:rFonts w:cstheme="minorHAnsi"/>
        </w:rPr>
        <w:t>-</w:t>
      </w:r>
      <w:r w:rsidR="007A77F3" w:rsidRPr="009D3B79">
        <w:rPr>
          <w:rFonts w:cstheme="minorHAnsi"/>
        </w:rPr>
        <w:t>day</w:t>
      </w:r>
      <w:r w:rsidR="009D3B79" w:rsidRPr="009D3B79">
        <w:rPr>
          <w:rFonts w:cstheme="minorHAnsi"/>
        </w:rPr>
        <w:t xml:space="preserve">, </w:t>
      </w:r>
      <w:r w:rsidR="007A77F3" w:rsidRPr="009D3B79">
        <w:rPr>
          <w:rFonts w:cstheme="minorHAnsi"/>
        </w:rPr>
        <w:t>part-time</w:t>
      </w:r>
      <w:r w:rsidR="00C87528" w:rsidRPr="009D3B79">
        <w:rPr>
          <w:rFonts w:cstheme="minorHAnsi"/>
        </w:rPr>
        <w:t xml:space="preserve"> and term-time</w:t>
      </w:r>
      <w:r w:rsidR="007A77F3" w:rsidRPr="009D3B79">
        <w:rPr>
          <w:rFonts w:cstheme="minorHAnsi"/>
        </w:rPr>
        <w:t xml:space="preserve"> working</w:t>
      </w:r>
      <w:r w:rsidR="00BC2D42" w:rsidRPr="009D3B79">
        <w:rPr>
          <w:rFonts w:cstheme="minorHAnsi"/>
        </w:rPr>
        <w:t xml:space="preserve"> which proves attractive to female workers who use it to complement home and childca</w:t>
      </w:r>
      <w:r w:rsidR="00B37FD0">
        <w:rPr>
          <w:rFonts w:cstheme="minorHAnsi"/>
        </w:rPr>
        <w:t xml:space="preserve">re responsibilities. This is </w:t>
      </w:r>
      <w:r w:rsidR="00BC2D42" w:rsidRPr="009D3B79">
        <w:rPr>
          <w:rFonts w:cstheme="minorHAnsi"/>
        </w:rPr>
        <w:t xml:space="preserve">regardless of the </w:t>
      </w:r>
      <w:r w:rsidR="007A77F3" w:rsidRPr="009D3B79">
        <w:rPr>
          <w:rFonts w:cstheme="minorHAnsi"/>
        </w:rPr>
        <w:t>Trust being open to</w:t>
      </w:r>
      <w:r w:rsidR="00BC2D42" w:rsidRPr="009D3B79">
        <w:rPr>
          <w:rFonts w:cstheme="minorHAnsi"/>
        </w:rPr>
        <w:t xml:space="preserve"> consideration of </w:t>
      </w:r>
      <w:r w:rsidR="007A77F3" w:rsidRPr="009D3B79">
        <w:rPr>
          <w:rFonts w:cstheme="minorHAnsi"/>
        </w:rPr>
        <w:t>flexible working and job share arrangements for all roles.</w:t>
      </w:r>
      <w:r w:rsidR="00B37FD0">
        <w:rPr>
          <w:rFonts w:cstheme="minorHAnsi"/>
        </w:rPr>
        <w:t xml:space="preserve">  The Trust continues to challenge the historical imbalance in the education sector where there is a disproportionate number of lower paid support staff roles occupied by female colleagues.</w:t>
      </w:r>
      <w:r w:rsidR="007A77F3" w:rsidRPr="009D3B79">
        <w:rPr>
          <w:rFonts w:cstheme="minorHAnsi"/>
        </w:rPr>
        <w:t xml:space="preserve"> </w:t>
      </w:r>
      <w:r w:rsidR="00866C03" w:rsidRPr="009D3B79">
        <w:rPr>
          <w:rFonts w:cstheme="minorHAnsi"/>
        </w:rPr>
        <w:t xml:space="preserve"> </w:t>
      </w:r>
      <w:r w:rsidR="00B37FD0">
        <w:rPr>
          <w:rFonts w:cstheme="minorHAnsi"/>
        </w:rPr>
        <w:t>The Trust i</w:t>
      </w:r>
      <w:r w:rsidR="000F1FB9">
        <w:rPr>
          <w:rFonts w:cstheme="minorHAnsi"/>
        </w:rPr>
        <w:t xml:space="preserve">s </w:t>
      </w:r>
      <w:r w:rsidR="00B37FD0">
        <w:rPr>
          <w:rFonts w:cstheme="minorHAnsi"/>
        </w:rPr>
        <w:t>focused on ensuring the equality of opportunity in progression for both genders.</w:t>
      </w:r>
    </w:p>
    <w:p w14:paraId="3B8DC22A" w14:textId="61E9F5B7" w:rsidR="00D51C36" w:rsidRPr="009D3B79" w:rsidRDefault="009348A4" w:rsidP="00D42DCA">
      <w:pPr>
        <w:pStyle w:val="ListParagraph"/>
        <w:numPr>
          <w:ilvl w:val="0"/>
          <w:numId w:val="5"/>
        </w:numPr>
        <w:ind w:left="709" w:hanging="283"/>
        <w:rPr>
          <w:rFonts w:cstheme="minorHAnsi"/>
        </w:rPr>
      </w:pPr>
      <w:r w:rsidRPr="009D3B79">
        <w:rPr>
          <w:rFonts w:cstheme="minorHAnsi"/>
        </w:rPr>
        <w:t>The analysis of our ge</w:t>
      </w:r>
      <w:r w:rsidR="00B37FD0">
        <w:rPr>
          <w:rFonts w:cstheme="minorHAnsi"/>
        </w:rPr>
        <w:t>nder gap figures shows that the</w:t>
      </w:r>
      <w:r w:rsidRPr="009D3B79">
        <w:rPr>
          <w:rFonts w:cstheme="minorHAnsi"/>
        </w:rPr>
        <w:t xml:space="preserve"> </w:t>
      </w:r>
      <w:r w:rsidR="00B37FD0">
        <w:rPr>
          <w:rFonts w:cstheme="minorHAnsi"/>
        </w:rPr>
        <w:t xml:space="preserve">gap </w:t>
      </w:r>
      <w:r w:rsidRPr="009D3B79">
        <w:rPr>
          <w:rFonts w:cstheme="minorHAnsi"/>
        </w:rPr>
        <w:t>arises because we have a lower proportion of women in</w:t>
      </w:r>
      <w:r w:rsidR="001A59D0" w:rsidRPr="009D3B79">
        <w:rPr>
          <w:rFonts w:cstheme="minorHAnsi"/>
        </w:rPr>
        <w:t xml:space="preserve"> the highest graded</w:t>
      </w:r>
      <w:r w:rsidRPr="009D3B79">
        <w:rPr>
          <w:rFonts w:cstheme="minorHAnsi"/>
        </w:rPr>
        <w:t xml:space="preserve"> teaching and leadership/senior roles in education and at the same time a very much higher proportion of women in school support roles which have lower pay rates because of the duties and levels of</w:t>
      </w:r>
      <w:r w:rsidR="00A646FF" w:rsidRPr="009D3B79">
        <w:rPr>
          <w:rFonts w:cstheme="minorHAnsi"/>
        </w:rPr>
        <w:t xml:space="preserve"> skills/</w:t>
      </w:r>
      <w:r w:rsidRPr="009D3B79">
        <w:rPr>
          <w:rFonts w:cstheme="minorHAnsi"/>
        </w:rPr>
        <w:t xml:space="preserve"> responsibilit</w:t>
      </w:r>
      <w:r w:rsidR="00A646FF" w:rsidRPr="009D3B79">
        <w:rPr>
          <w:rFonts w:cstheme="minorHAnsi"/>
        </w:rPr>
        <w:t>ies</w:t>
      </w:r>
      <w:r w:rsidRPr="009D3B79">
        <w:rPr>
          <w:rFonts w:cstheme="minorHAnsi"/>
        </w:rPr>
        <w:t xml:space="preserve"> required. </w:t>
      </w:r>
    </w:p>
    <w:p w14:paraId="4898BF9C" w14:textId="4243ED09" w:rsidR="00D51C36" w:rsidRPr="009D3B79" w:rsidRDefault="00FB375D" w:rsidP="00D42DCA">
      <w:pPr>
        <w:pStyle w:val="ListParagraph"/>
        <w:numPr>
          <w:ilvl w:val="0"/>
          <w:numId w:val="5"/>
        </w:numPr>
        <w:ind w:left="709" w:hanging="283"/>
        <w:rPr>
          <w:rFonts w:cstheme="minorHAnsi"/>
        </w:rPr>
      </w:pPr>
      <w:r w:rsidRPr="009D3B79">
        <w:rPr>
          <w:rFonts w:cstheme="minorHAnsi"/>
        </w:rPr>
        <w:lastRenderedPageBreak/>
        <w:t>The Trust is affected by</w:t>
      </w:r>
      <w:r w:rsidR="007A77F3" w:rsidRPr="009D3B79">
        <w:rPr>
          <w:rFonts w:cstheme="minorHAnsi"/>
        </w:rPr>
        <w:t xml:space="preserve"> national and</w:t>
      </w:r>
      <w:r w:rsidR="00A646FF" w:rsidRPr="009D3B79">
        <w:rPr>
          <w:rFonts w:cstheme="minorHAnsi"/>
        </w:rPr>
        <w:t xml:space="preserve"> </w:t>
      </w:r>
      <w:r w:rsidR="00BC2D42" w:rsidRPr="009D3B79">
        <w:rPr>
          <w:rFonts w:cstheme="minorHAnsi"/>
        </w:rPr>
        <w:t>sector related issues relating to female workers as follows</w:t>
      </w:r>
      <w:r w:rsidR="009D3B79" w:rsidRPr="009D3B79">
        <w:rPr>
          <w:rFonts w:cstheme="minorHAnsi"/>
        </w:rPr>
        <w:t>:</w:t>
      </w:r>
    </w:p>
    <w:p w14:paraId="72978271" w14:textId="2FB2DFBF" w:rsidR="007A77F3" w:rsidRPr="009D3B79" w:rsidRDefault="007A77F3" w:rsidP="00D42DCA">
      <w:pPr>
        <w:pStyle w:val="ListParagraph"/>
        <w:numPr>
          <w:ilvl w:val="0"/>
          <w:numId w:val="3"/>
        </w:numPr>
        <w:ind w:left="993" w:hanging="284"/>
        <w:rPr>
          <w:rFonts w:cstheme="minorHAnsi"/>
        </w:rPr>
      </w:pPr>
      <w:r w:rsidRPr="009D3B79">
        <w:rPr>
          <w:rFonts w:cstheme="minorHAnsi"/>
        </w:rPr>
        <w:t>W</w:t>
      </w:r>
      <w:r w:rsidR="00FB375D" w:rsidRPr="009D3B79">
        <w:rPr>
          <w:rFonts w:cstheme="minorHAnsi"/>
        </w:rPr>
        <w:t>omen are more likel</w:t>
      </w:r>
      <w:r w:rsidRPr="009D3B79">
        <w:rPr>
          <w:rFonts w:cstheme="minorHAnsi"/>
        </w:rPr>
        <w:t>y</w:t>
      </w:r>
      <w:r w:rsidR="00FB375D" w:rsidRPr="009D3B79">
        <w:rPr>
          <w:rFonts w:cstheme="minorHAnsi"/>
        </w:rPr>
        <w:t xml:space="preserve"> than men to be seeking work which can accommodate their</w:t>
      </w:r>
      <w:r w:rsidR="00BC2D42" w:rsidRPr="009D3B79">
        <w:rPr>
          <w:rFonts w:cstheme="minorHAnsi"/>
        </w:rPr>
        <w:t xml:space="preserve"> traditionally perceived</w:t>
      </w:r>
      <w:r w:rsidR="00FB375D" w:rsidRPr="009D3B79">
        <w:rPr>
          <w:rFonts w:cstheme="minorHAnsi"/>
        </w:rPr>
        <w:t xml:space="preserve"> home and child care </w:t>
      </w:r>
      <w:r w:rsidRPr="009D3B79">
        <w:rPr>
          <w:rFonts w:cstheme="minorHAnsi"/>
        </w:rPr>
        <w:t>commitments including specifically</w:t>
      </w:r>
      <w:r w:rsidR="009348A4" w:rsidRPr="009D3B79">
        <w:rPr>
          <w:rFonts w:cstheme="minorHAnsi"/>
        </w:rPr>
        <w:t xml:space="preserve"> in schools </w:t>
      </w:r>
      <w:r w:rsidRPr="009D3B79">
        <w:rPr>
          <w:rFonts w:cstheme="minorHAnsi"/>
        </w:rPr>
        <w:t xml:space="preserve">which offer term-time working in lower skilled (and so lower paid) roles. </w:t>
      </w:r>
      <w:r w:rsidR="00FB375D" w:rsidRPr="009D3B79">
        <w:rPr>
          <w:rFonts w:cstheme="minorHAnsi"/>
        </w:rPr>
        <w:t xml:space="preserve"> </w:t>
      </w:r>
    </w:p>
    <w:p w14:paraId="0B103880" w14:textId="6EAC5351" w:rsidR="007A77F3" w:rsidRPr="009D3B79" w:rsidRDefault="007A77F3" w:rsidP="00D42DCA">
      <w:pPr>
        <w:pStyle w:val="ListParagraph"/>
        <w:numPr>
          <w:ilvl w:val="0"/>
          <w:numId w:val="3"/>
        </w:numPr>
        <w:ind w:left="993" w:hanging="284"/>
        <w:rPr>
          <w:rFonts w:cstheme="minorHAnsi"/>
        </w:rPr>
      </w:pPr>
      <w:r w:rsidRPr="009D3B79">
        <w:rPr>
          <w:rFonts w:cstheme="minorHAnsi"/>
        </w:rPr>
        <w:t>Women are more likely to work part-time and many of the jobs available on a part</w:t>
      </w:r>
      <w:r w:rsidR="009D3B79">
        <w:rPr>
          <w:rFonts w:cstheme="minorHAnsi"/>
        </w:rPr>
        <w:t>-</w:t>
      </w:r>
      <w:r w:rsidRPr="009D3B79">
        <w:rPr>
          <w:rFonts w:cstheme="minorHAnsi"/>
        </w:rPr>
        <w:t>time basis in schools are in service areas which are relatively low paid</w:t>
      </w:r>
      <w:r w:rsidR="00B73570">
        <w:rPr>
          <w:rFonts w:cstheme="minorHAnsi"/>
        </w:rPr>
        <w:t>.</w:t>
      </w:r>
    </w:p>
    <w:p w14:paraId="022BDC6F" w14:textId="11096448" w:rsidR="007A77F3" w:rsidRPr="009D3B79" w:rsidRDefault="007A77F3" w:rsidP="00D42DCA">
      <w:pPr>
        <w:pStyle w:val="ListParagraph"/>
        <w:numPr>
          <w:ilvl w:val="0"/>
          <w:numId w:val="3"/>
        </w:numPr>
        <w:ind w:left="993" w:hanging="284"/>
        <w:rPr>
          <w:rFonts w:cstheme="minorHAnsi"/>
        </w:rPr>
      </w:pPr>
      <w:r w:rsidRPr="009D3B79">
        <w:rPr>
          <w:rFonts w:cstheme="minorHAnsi"/>
        </w:rPr>
        <w:t>Women are more likely than men to have had breaks from work that have affected their career progression – particularly relating to child care responsibilities</w:t>
      </w:r>
      <w:r w:rsidR="00F252D9" w:rsidRPr="009D3B79">
        <w:rPr>
          <w:rFonts w:cstheme="minorHAnsi"/>
        </w:rPr>
        <w:t xml:space="preserve">. This is despite the Trust offering the full range of maternity support, shared parental leave and return to work flexibilities. </w:t>
      </w:r>
      <w:r w:rsidRPr="009D3B79">
        <w:rPr>
          <w:rFonts w:cstheme="minorHAnsi"/>
        </w:rPr>
        <w:t xml:space="preserve"> </w:t>
      </w:r>
    </w:p>
    <w:p w14:paraId="656DD7D1" w14:textId="6B6B8FC3" w:rsidR="007A77F3" w:rsidRPr="009D3B79" w:rsidRDefault="007A77F3" w:rsidP="00D42DCA">
      <w:pPr>
        <w:pStyle w:val="ListParagraph"/>
        <w:numPr>
          <w:ilvl w:val="0"/>
          <w:numId w:val="3"/>
        </w:numPr>
        <w:ind w:left="993" w:hanging="284"/>
        <w:rPr>
          <w:rFonts w:cstheme="minorHAnsi"/>
        </w:rPr>
      </w:pPr>
      <w:r w:rsidRPr="009D3B79">
        <w:rPr>
          <w:rFonts w:cstheme="minorHAnsi"/>
        </w:rPr>
        <w:t>Recruitment and retention of women in some areas of further/higher education</w:t>
      </w:r>
      <w:r w:rsidR="00866C03" w:rsidRPr="009D3B79">
        <w:rPr>
          <w:rFonts w:cstheme="minorHAnsi"/>
        </w:rPr>
        <w:t xml:space="preserve"> including</w:t>
      </w:r>
      <w:r w:rsidRPr="009D3B79">
        <w:rPr>
          <w:rFonts w:cstheme="minorHAnsi"/>
        </w:rPr>
        <w:t xml:space="preserve"> teaching is notoriously difficult (such as mathematics, science</w:t>
      </w:r>
      <w:r w:rsidR="00A646FF" w:rsidRPr="009D3B79">
        <w:rPr>
          <w:rFonts w:cstheme="minorHAnsi"/>
        </w:rPr>
        <w:t xml:space="preserve"> and</w:t>
      </w:r>
      <w:r w:rsidRPr="009D3B79">
        <w:rPr>
          <w:rFonts w:cstheme="minorHAnsi"/>
        </w:rPr>
        <w:t xml:space="preserve"> technology)</w:t>
      </w:r>
      <w:r w:rsidR="009D3B79">
        <w:rPr>
          <w:rFonts w:cstheme="minorHAnsi"/>
        </w:rPr>
        <w:t>.</w:t>
      </w:r>
    </w:p>
    <w:p w14:paraId="4A10CAE3" w14:textId="5832BA9C" w:rsidR="00D51C36" w:rsidRPr="009D3B79" w:rsidRDefault="009348A4" w:rsidP="00D42DCA">
      <w:pPr>
        <w:pStyle w:val="ListParagraph"/>
        <w:numPr>
          <w:ilvl w:val="0"/>
          <w:numId w:val="3"/>
        </w:numPr>
        <w:ind w:left="993" w:hanging="284"/>
        <w:rPr>
          <w:rFonts w:cstheme="minorHAnsi"/>
        </w:rPr>
      </w:pPr>
      <w:r w:rsidRPr="009D3B79">
        <w:rPr>
          <w:rFonts w:cstheme="minorHAnsi"/>
        </w:rPr>
        <w:t xml:space="preserve">The higher paid roles in schools are in teaching and </w:t>
      </w:r>
      <w:r w:rsidR="00FC3C35" w:rsidRPr="009D3B79">
        <w:rPr>
          <w:rFonts w:cstheme="minorHAnsi"/>
        </w:rPr>
        <w:t>academies</w:t>
      </w:r>
      <w:r w:rsidRPr="009D3B79">
        <w:rPr>
          <w:rFonts w:cstheme="minorHAnsi"/>
        </w:rPr>
        <w:t xml:space="preserve"> leadership. </w:t>
      </w:r>
      <w:r w:rsidR="003F58B2">
        <w:rPr>
          <w:rFonts w:cstheme="minorHAnsi"/>
        </w:rPr>
        <w:t>27.2</w:t>
      </w:r>
      <w:r w:rsidR="009D3B79">
        <w:rPr>
          <w:rFonts w:cstheme="minorHAnsi"/>
        </w:rPr>
        <w:t xml:space="preserve">% of employees </w:t>
      </w:r>
      <w:r w:rsidR="00D531CF" w:rsidRPr="009D3B79">
        <w:rPr>
          <w:rFonts w:cstheme="minorHAnsi"/>
        </w:rPr>
        <w:t>in the upper pay quartile</w:t>
      </w:r>
      <w:r w:rsidR="003F58B2">
        <w:rPr>
          <w:rFonts w:cstheme="minorHAnsi"/>
        </w:rPr>
        <w:t xml:space="preserve"> are male</w:t>
      </w:r>
      <w:r w:rsidR="009D3B79">
        <w:rPr>
          <w:rFonts w:cstheme="minorHAnsi"/>
        </w:rPr>
        <w:t>, w</w:t>
      </w:r>
      <w:r w:rsidR="008020FE">
        <w:rPr>
          <w:rFonts w:cstheme="minorHAnsi"/>
        </w:rPr>
        <w:t>hereas only 16.68% of the overall workforce are male</w:t>
      </w:r>
      <w:r w:rsidRPr="009D3B79">
        <w:rPr>
          <w:rFonts w:cstheme="minorHAnsi"/>
        </w:rPr>
        <w:t>.</w:t>
      </w:r>
      <w:r w:rsidR="00B73570">
        <w:rPr>
          <w:rFonts w:cstheme="minorHAnsi"/>
        </w:rPr>
        <w:t xml:space="preserve">  This does reflect an uplift since 2021 in the proportion of males in the most highly paid roles in the Trust</w:t>
      </w:r>
      <w:r w:rsidR="00F7607E">
        <w:rPr>
          <w:rFonts w:cstheme="minorHAnsi"/>
        </w:rPr>
        <w:t>, something that needs to be reviewed further.</w:t>
      </w:r>
    </w:p>
    <w:p w14:paraId="688978CA" w14:textId="6F2F68AC" w:rsidR="008308B7" w:rsidRPr="008308B7" w:rsidRDefault="008308B7" w:rsidP="008308B7">
      <w:pPr>
        <w:pStyle w:val="NormalWeb"/>
        <w:rPr>
          <w:rFonts w:asciiTheme="minorHAnsi" w:hAnsiTheme="minorHAnsi" w:cstheme="minorHAnsi"/>
          <w:color w:val="000000"/>
          <w:sz w:val="22"/>
          <w:szCs w:val="22"/>
        </w:rPr>
      </w:pPr>
      <w:r w:rsidRPr="008308B7">
        <w:rPr>
          <w:rFonts w:asciiTheme="minorHAnsi" w:hAnsiTheme="minorHAnsi" w:cstheme="minorHAnsi"/>
          <w:color w:val="000000"/>
          <w:sz w:val="22"/>
          <w:szCs w:val="22"/>
        </w:rPr>
        <w:t xml:space="preserve">Whilst understanding that </w:t>
      </w:r>
      <w:r w:rsidR="00F7607E">
        <w:rPr>
          <w:rFonts w:asciiTheme="minorHAnsi" w:hAnsiTheme="minorHAnsi" w:cstheme="minorHAnsi"/>
          <w:color w:val="000000"/>
          <w:sz w:val="22"/>
          <w:szCs w:val="22"/>
        </w:rPr>
        <w:t xml:space="preserve">many of </w:t>
      </w:r>
      <w:r w:rsidRPr="008308B7">
        <w:rPr>
          <w:rFonts w:asciiTheme="minorHAnsi" w:hAnsiTheme="minorHAnsi" w:cstheme="minorHAnsi"/>
          <w:color w:val="000000"/>
          <w:sz w:val="22"/>
          <w:szCs w:val="22"/>
        </w:rPr>
        <w:t>these issues face all companies and the education sector in particular, the Trust recognises its responsibilities and will:</w:t>
      </w:r>
    </w:p>
    <w:p w14:paraId="370D0DE8" w14:textId="7BF457C4" w:rsidR="00975BE9" w:rsidRPr="009D3B79" w:rsidRDefault="00CE6026" w:rsidP="009D3B79">
      <w:pPr>
        <w:pStyle w:val="ListParagraph"/>
        <w:numPr>
          <w:ilvl w:val="0"/>
          <w:numId w:val="6"/>
        </w:numPr>
        <w:rPr>
          <w:rFonts w:cstheme="minorHAnsi"/>
        </w:rPr>
      </w:pPr>
      <w:r w:rsidRPr="009D3B79">
        <w:rPr>
          <w:rFonts w:cstheme="minorHAnsi"/>
        </w:rPr>
        <w:t>By this reporting, m</w:t>
      </w:r>
      <w:r w:rsidR="00975BE9" w:rsidRPr="009D3B79">
        <w:rPr>
          <w:rFonts w:cstheme="minorHAnsi"/>
        </w:rPr>
        <w:t>aintain and increase managerial awareness and understanding of the causes of gender pay gaps in the workforce in general and the Trust in particular.</w:t>
      </w:r>
    </w:p>
    <w:p w14:paraId="68E2A9C8" w14:textId="67500D0F" w:rsidR="00975BE9" w:rsidRPr="009D3B79" w:rsidRDefault="00975BE9" w:rsidP="009D3B79">
      <w:pPr>
        <w:pStyle w:val="ListParagraph"/>
        <w:numPr>
          <w:ilvl w:val="0"/>
          <w:numId w:val="6"/>
        </w:numPr>
        <w:rPr>
          <w:rFonts w:cstheme="minorHAnsi"/>
        </w:rPr>
      </w:pPr>
      <w:r w:rsidRPr="009D3B79">
        <w:rPr>
          <w:rFonts w:cstheme="minorHAnsi"/>
        </w:rPr>
        <w:t xml:space="preserve">Ensure that recruitment processes </w:t>
      </w:r>
      <w:r w:rsidR="00CE6026" w:rsidRPr="009D3B79">
        <w:rPr>
          <w:rFonts w:cstheme="minorHAnsi"/>
        </w:rPr>
        <w:t>continue to be</w:t>
      </w:r>
      <w:r w:rsidR="003A4E07">
        <w:rPr>
          <w:rFonts w:cstheme="minorHAnsi"/>
        </w:rPr>
        <w:t xml:space="preserve"> scrutinised to ensure</w:t>
      </w:r>
      <w:r w:rsidRPr="009D3B79">
        <w:rPr>
          <w:rFonts w:cstheme="minorHAnsi"/>
        </w:rPr>
        <w:t xml:space="preserve"> ‘gender-blindness’ at application and shortlisting stages to ensure no unintentional bias towards female candidates for higher paid roles or male candidates for those roles traditionally dominated by females. </w:t>
      </w:r>
    </w:p>
    <w:p w14:paraId="07550398" w14:textId="689999FE" w:rsidR="00975BE9" w:rsidRPr="009D3B79" w:rsidRDefault="00975BE9" w:rsidP="009D3B79">
      <w:pPr>
        <w:pStyle w:val="ListParagraph"/>
        <w:numPr>
          <w:ilvl w:val="0"/>
          <w:numId w:val="6"/>
        </w:numPr>
        <w:rPr>
          <w:rFonts w:cstheme="minorHAnsi"/>
        </w:rPr>
      </w:pPr>
      <w:r w:rsidRPr="009D3B79">
        <w:rPr>
          <w:rFonts w:cstheme="minorHAnsi"/>
        </w:rPr>
        <w:t>Where appropriate include statements of welcome from candidates in the minority gender group for the role being advertised</w:t>
      </w:r>
      <w:r w:rsidR="00F252D9" w:rsidRPr="009D3B79">
        <w:rPr>
          <w:rFonts w:cstheme="minorHAnsi"/>
        </w:rPr>
        <w:t xml:space="preserve"> and of males/females in roles in which they are traditionally under-represented in the Academies sector. </w:t>
      </w:r>
      <w:r w:rsidRPr="009D3B79">
        <w:rPr>
          <w:rFonts w:cstheme="minorHAnsi"/>
        </w:rPr>
        <w:t xml:space="preserve"> </w:t>
      </w:r>
    </w:p>
    <w:p w14:paraId="6072381C" w14:textId="2B4D732B" w:rsidR="007D608C" w:rsidRPr="009D3B79" w:rsidRDefault="007D608C" w:rsidP="009D3B79">
      <w:pPr>
        <w:pStyle w:val="ListParagraph"/>
        <w:numPr>
          <w:ilvl w:val="0"/>
          <w:numId w:val="6"/>
        </w:numPr>
        <w:rPr>
          <w:rFonts w:cstheme="minorHAnsi"/>
        </w:rPr>
      </w:pPr>
      <w:r w:rsidRPr="009D3B79">
        <w:rPr>
          <w:rFonts w:cstheme="minorHAnsi"/>
        </w:rPr>
        <w:t xml:space="preserve">Encourage awareness by leaders of the use of any unintended gender-biased language in the advertising of roles. </w:t>
      </w:r>
    </w:p>
    <w:p w14:paraId="4AEA1AA3" w14:textId="77777777" w:rsidR="00D531CF" w:rsidRPr="009D3B79" w:rsidRDefault="0018641D" w:rsidP="009D3B79">
      <w:pPr>
        <w:pStyle w:val="ListParagraph"/>
        <w:numPr>
          <w:ilvl w:val="0"/>
          <w:numId w:val="6"/>
        </w:numPr>
        <w:rPr>
          <w:rFonts w:cstheme="minorHAnsi"/>
        </w:rPr>
      </w:pPr>
      <w:r w:rsidRPr="009D3B79">
        <w:rPr>
          <w:rFonts w:cstheme="minorHAnsi"/>
        </w:rPr>
        <w:t xml:space="preserve">Promote the use of skills based assessments as part of interviews – for example in desktop exercises and classroom observations. </w:t>
      </w:r>
    </w:p>
    <w:p w14:paraId="5547F4F0" w14:textId="649056AE" w:rsidR="0018641D" w:rsidRPr="009D3B79" w:rsidRDefault="00CE6026" w:rsidP="009D3B79">
      <w:pPr>
        <w:pStyle w:val="ListParagraph"/>
        <w:numPr>
          <w:ilvl w:val="0"/>
          <w:numId w:val="6"/>
        </w:numPr>
        <w:rPr>
          <w:rFonts w:cstheme="minorHAnsi"/>
        </w:rPr>
      </w:pPr>
      <w:r w:rsidRPr="009D3B79">
        <w:rPr>
          <w:rFonts w:cstheme="minorHAnsi"/>
        </w:rPr>
        <w:t>Apply fair and competency-based interview procedures including standardisation of interview questions and test activities and the transparent scoring of interview performance</w:t>
      </w:r>
      <w:r w:rsidR="009D3B79" w:rsidRPr="009D3B79">
        <w:rPr>
          <w:rFonts w:cstheme="minorHAnsi"/>
        </w:rPr>
        <w:t>.</w:t>
      </w:r>
    </w:p>
    <w:p w14:paraId="7779AB4A" w14:textId="167D4549" w:rsidR="0018641D" w:rsidRPr="009D3B79" w:rsidRDefault="0018641D" w:rsidP="009D3B79">
      <w:pPr>
        <w:pStyle w:val="ListParagraph"/>
        <w:numPr>
          <w:ilvl w:val="0"/>
          <w:numId w:val="6"/>
        </w:numPr>
        <w:rPr>
          <w:rFonts w:cstheme="minorHAnsi"/>
        </w:rPr>
      </w:pPr>
      <w:r w:rsidRPr="009D3B79">
        <w:rPr>
          <w:rFonts w:cstheme="minorHAnsi"/>
        </w:rPr>
        <w:t>Promote the use of salary ranges advertised for jobs</w:t>
      </w:r>
      <w:r w:rsidR="00F252D9" w:rsidRPr="009D3B79">
        <w:rPr>
          <w:rFonts w:cstheme="minorHAnsi"/>
        </w:rPr>
        <w:t xml:space="preserve"> (</w:t>
      </w:r>
      <w:r w:rsidRPr="009D3B79">
        <w:rPr>
          <w:rFonts w:cstheme="minorHAnsi"/>
        </w:rPr>
        <w:t>in recognition of the situation that women are known to be less likely to seek to negotiate on pay</w:t>
      </w:r>
      <w:r w:rsidR="00F252D9" w:rsidRPr="009D3B79">
        <w:rPr>
          <w:rFonts w:cstheme="minorHAnsi"/>
        </w:rPr>
        <w:t>)</w:t>
      </w:r>
      <w:r w:rsidRPr="009D3B79">
        <w:rPr>
          <w:rFonts w:cstheme="minorHAnsi"/>
        </w:rPr>
        <w:t xml:space="preserve">.  </w:t>
      </w:r>
    </w:p>
    <w:p w14:paraId="50E2FE91" w14:textId="16CA8ED8" w:rsidR="008308B7" w:rsidRDefault="008308B7" w:rsidP="009D3B79">
      <w:pPr>
        <w:pStyle w:val="ListParagraph"/>
        <w:numPr>
          <w:ilvl w:val="0"/>
          <w:numId w:val="6"/>
        </w:numPr>
        <w:rPr>
          <w:rFonts w:cstheme="minorHAnsi"/>
        </w:rPr>
      </w:pPr>
      <w:r>
        <w:rPr>
          <w:rFonts w:cstheme="minorHAnsi"/>
        </w:rPr>
        <w:t>To support the above, the Trust will ensure there is recruitment and selection training for senior and middle leaders, including recognising and challenging unconscious gender.</w:t>
      </w:r>
    </w:p>
    <w:p w14:paraId="79A879A9" w14:textId="622ED4E8" w:rsidR="008308B7" w:rsidRDefault="008308B7" w:rsidP="008308B7">
      <w:pPr>
        <w:pStyle w:val="ListParagraph"/>
        <w:numPr>
          <w:ilvl w:val="0"/>
          <w:numId w:val="6"/>
        </w:numPr>
        <w:rPr>
          <w:rFonts w:cstheme="minorHAnsi"/>
        </w:rPr>
      </w:pPr>
      <w:r w:rsidRPr="009D3B79">
        <w:rPr>
          <w:rFonts w:cstheme="minorHAnsi"/>
        </w:rPr>
        <w:t xml:space="preserve">Continue to </w:t>
      </w:r>
      <w:r>
        <w:rPr>
          <w:rFonts w:cstheme="minorHAnsi"/>
        </w:rPr>
        <w:t>cultivate our family friendly culture, underpinned by our range of supporting guidance, advice and policies.  For example, the Trust’s Flexible Working Policy</w:t>
      </w:r>
      <w:r w:rsidRPr="009D3B79">
        <w:rPr>
          <w:rFonts w:cstheme="minorHAnsi"/>
        </w:rPr>
        <w:t xml:space="preserve"> never discou</w:t>
      </w:r>
      <w:r>
        <w:rPr>
          <w:rFonts w:cstheme="minorHAnsi"/>
        </w:rPr>
        <w:t>nts</w:t>
      </w:r>
      <w:r w:rsidRPr="009D3B79">
        <w:rPr>
          <w:rFonts w:cstheme="minorHAnsi"/>
        </w:rPr>
        <w:t xml:space="preserve"> the potential for all roles to be carried out on a less than full-time basis. </w:t>
      </w:r>
    </w:p>
    <w:p w14:paraId="418326FD" w14:textId="29CCB064" w:rsidR="008308B7" w:rsidRDefault="008308B7" w:rsidP="009D3B79">
      <w:pPr>
        <w:pStyle w:val="ListParagraph"/>
        <w:numPr>
          <w:ilvl w:val="0"/>
          <w:numId w:val="6"/>
        </w:numPr>
        <w:rPr>
          <w:rFonts w:cstheme="minorHAnsi"/>
        </w:rPr>
      </w:pPr>
      <w:r>
        <w:rPr>
          <w:rFonts w:cstheme="minorHAnsi"/>
        </w:rPr>
        <w:t xml:space="preserve">Maintain the Trust’s commitment to professional development to enable all employees to realise their full potential.  The Trust’s diverse career maps are widely publicised to support employees in understanding and striving to the next opportunity. </w:t>
      </w:r>
    </w:p>
    <w:p w14:paraId="2C97AB32" w14:textId="4B4EDFD5" w:rsidR="003A4E07" w:rsidRDefault="003A4E07" w:rsidP="009D3B79">
      <w:pPr>
        <w:pStyle w:val="ListParagraph"/>
        <w:numPr>
          <w:ilvl w:val="0"/>
          <w:numId w:val="6"/>
        </w:numPr>
        <w:rPr>
          <w:rFonts w:cstheme="minorHAnsi"/>
        </w:rPr>
      </w:pPr>
      <w:r>
        <w:rPr>
          <w:rFonts w:cstheme="minorHAnsi"/>
        </w:rPr>
        <w:t xml:space="preserve">Continue with </w:t>
      </w:r>
      <w:r>
        <w:t>Women in Leadership Courses</w:t>
      </w:r>
      <w:r>
        <w:t xml:space="preserve"> that have run throughout 2021-22.</w:t>
      </w:r>
    </w:p>
    <w:p w14:paraId="205D948E" w14:textId="17AC87D0" w:rsidR="007D608C" w:rsidRPr="009D3B79" w:rsidRDefault="007D608C" w:rsidP="009D3B79">
      <w:pPr>
        <w:pStyle w:val="ListParagraph"/>
        <w:numPr>
          <w:ilvl w:val="0"/>
          <w:numId w:val="6"/>
        </w:numPr>
        <w:rPr>
          <w:rFonts w:cstheme="minorHAnsi"/>
        </w:rPr>
      </w:pPr>
      <w:r w:rsidRPr="009D3B79">
        <w:rPr>
          <w:rFonts w:cstheme="minorHAnsi"/>
        </w:rPr>
        <w:lastRenderedPageBreak/>
        <w:t xml:space="preserve">Nurture the keeping-in-touch and return-to-work arrangements and options for female employees returning from maternity </w:t>
      </w:r>
      <w:r w:rsidR="009D3B79" w:rsidRPr="009D3B79">
        <w:rPr>
          <w:rFonts w:cstheme="minorHAnsi"/>
        </w:rPr>
        <w:t xml:space="preserve">and adoption </w:t>
      </w:r>
      <w:r w:rsidRPr="009D3B79">
        <w:rPr>
          <w:rFonts w:cstheme="minorHAnsi"/>
        </w:rPr>
        <w:t>leave. This to include the offer of shared parental leave</w:t>
      </w:r>
      <w:r w:rsidR="001807C3" w:rsidRPr="009D3B79">
        <w:rPr>
          <w:rFonts w:cstheme="minorHAnsi"/>
        </w:rPr>
        <w:t>/</w:t>
      </w:r>
      <w:r w:rsidRPr="009D3B79">
        <w:rPr>
          <w:rFonts w:cstheme="minorHAnsi"/>
        </w:rPr>
        <w:t xml:space="preserve"> pay options for both parents. </w:t>
      </w:r>
    </w:p>
    <w:p w14:paraId="5FE2D8B8" w14:textId="77777777" w:rsidR="00445AA0" w:rsidRDefault="00445AA0" w:rsidP="001E2E17">
      <w:r>
        <w:rPr>
          <w:rFonts w:cstheme="minorHAnsi"/>
        </w:rPr>
        <w:t xml:space="preserve">I </w:t>
      </w:r>
      <w:r>
        <w:t xml:space="preserve">hereby confirm the information provided in this report to be accurate </w:t>
      </w:r>
    </w:p>
    <w:p w14:paraId="19FB6B10" w14:textId="5C3ED7BC" w:rsidR="00445AA0" w:rsidRDefault="008020FE" w:rsidP="001E2E17">
      <w:r w:rsidRPr="00577E93">
        <w:rPr>
          <w:noProof/>
          <w:lang w:eastAsia="en-GB"/>
        </w:rPr>
        <w:drawing>
          <wp:inline distT="0" distB="0" distL="0" distR="0" wp14:anchorId="71E728DA" wp14:editId="4C172011">
            <wp:extent cx="1510844"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8214" cy="872780"/>
                    </a:xfrm>
                    <a:prstGeom prst="rect">
                      <a:avLst/>
                    </a:prstGeom>
                    <a:noFill/>
                    <a:ln>
                      <a:noFill/>
                    </a:ln>
                  </pic:spPr>
                </pic:pic>
              </a:graphicData>
            </a:graphic>
          </wp:inline>
        </w:drawing>
      </w:r>
    </w:p>
    <w:p w14:paraId="090A0748" w14:textId="7E58DCFC" w:rsidR="00445AA0" w:rsidRPr="00445AA0" w:rsidRDefault="008020FE" w:rsidP="00445AA0">
      <w:pPr>
        <w:spacing w:after="0" w:line="240" w:lineRule="auto"/>
        <w:rPr>
          <w:b/>
        </w:rPr>
      </w:pPr>
      <w:r>
        <w:rPr>
          <w:b/>
        </w:rPr>
        <w:t>Craig D’Cunha</w:t>
      </w:r>
      <w:r w:rsidR="00445AA0" w:rsidRPr="00445AA0">
        <w:rPr>
          <w:b/>
        </w:rPr>
        <w:t xml:space="preserve"> </w:t>
      </w:r>
    </w:p>
    <w:p w14:paraId="714FD777" w14:textId="4E5F2704" w:rsidR="00445AA0" w:rsidRPr="00445AA0" w:rsidRDefault="008020FE" w:rsidP="00445AA0">
      <w:pPr>
        <w:spacing w:after="0" w:line="240" w:lineRule="auto"/>
        <w:rPr>
          <w:b/>
        </w:rPr>
      </w:pPr>
      <w:r>
        <w:rPr>
          <w:b/>
        </w:rPr>
        <w:t xml:space="preserve">Acting </w:t>
      </w:r>
      <w:r w:rsidR="00445AA0" w:rsidRPr="00445AA0">
        <w:rPr>
          <w:b/>
        </w:rPr>
        <w:t xml:space="preserve">Chief Executive Officer </w:t>
      </w:r>
    </w:p>
    <w:p w14:paraId="6DFE2D65" w14:textId="6B1F3295" w:rsidR="00975BE9" w:rsidRPr="00445AA0" w:rsidRDefault="00445AA0" w:rsidP="00445AA0">
      <w:pPr>
        <w:spacing w:after="0" w:line="240" w:lineRule="auto"/>
        <w:rPr>
          <w:rFonts w:cstheme="minorHAnsi"/>
          <w:b/>
        </w:rPr>
      </w:pPr>
      <w:r w:rsidRPr="00445AA0">
        <w:rPr>
          <w:b/>
        </w:rPr>
        <w:t>Active Learning Trust</w:t>
      </w:r>
    </w:p>
    <w:p w14:paraId="3C84A864" w14:textId="77777777" w:rsidR="00975BE9" w:rsidRPr="00445AA0" w:rsidRDefault="00975BE9" w:rsidP="00445AA0">
      <w:pPr>
        <w:spacing w:after="0" w:line="240" w:lineRule="auto"/>
        <w:rPr>
          <w:rFonts w:cstheme="minorHAnsi"/>
          <w:b/>
        </w:rPr>
      </w:pPr>
    </w:p>
    <w:p w14:paraId="37215558" w14:textId="77777777" w:rsidR="005C29CA" w:rsidRPr="009D3B79" w:rsidRDefault="005C29CA" w:rsidP="001E2E17">
      <w:pPr>
        <w:rPr>
          <w:rFonts w:cstheme="minorHAnsi"/>
        </w:rPr>
      </w:pPr>
    </w:p>
    <w:sectPr w:rsidR="005C29CA" w:rsidRPr="009D3B79">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59E3" w16cex:dateUtc="2022-03-08T22:40:00Z"/>
  <w16cex:commentExtensible w16cex:durableId="25D25844" w16cex:dateUtc="2022-03-08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8A9AD" w16cid:durableId="25D259E3"/>
  <w16cid:commentId w16cid:paraId="653A9F87" w16cid:durableId="25D258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30A3" w14:textId="77777777" w:rsidR="00DA3E82" w:rsidRDefault="00DA3E82" w:rsidP="00DA3E82">
      <w:pPr>
        <w:spacing w:after="0" w:line="240" w:lineRule="auto"/>
      </w:pPr>
      <w:r>
        <w:separator/>
      </w:r>
    </w:p>
  </w:endnote>
  <w:endnote w:type="continuationSeparator" w:id="0">
    <w:p w14:paraId="45C8E1A8" w14:textId="77777777" w:rsidR="00DA3E82" w:rsidRDefault="00DA3E82" w:rsidP="00DA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24877"/>
      <w:docPartObj>
        <w:docPartGallery w:val="Page Numbers (Bottom of Page)"/>
        <w:docPartUnique/>
      </w:docPartObj>
    </w:sdtPr>
    <w:sdtEndPr>
      <w:rPr>
        <w:b/>
        <w:noProof/>
      </w:rPr>
    </w:sdtEndPr>
    <w:sdtContent>
      <w:p w14:paraId="26178195" w14:textId="0313B40B" w:rsidR="00DA3E82" w:rsidRDefault="00DA3E82">
        <w:pPr>
          <w:pStyle w:val="Footer"/>
          <w:jc w:val="center"/>
          <w:rPr>
            <w:noProof/>
          </w:rPr>
        </w:pPr>
        <w:r>
          <w:fldChar w:fldCharType="begin"/>
        </w:r>
        <w:r>
          <w:instrText xml:space="preserve"> PAGE   \* MERGEFORMAT </w:instrText>
        </w:r>
        <w:r>
          <w:fldChar w:fldCharType="separate"/>
        </w:r>
        <w:r w:rsidR="00CF4E01">
          <w:rPr>
            <w:noProof/>
          </w:rPr>
          <w:t>5</w:t>
        </w:r>
        <w:r>
          <w:rPr>
            <w:noProof/>
          </w:rPr>
          <w:fldChar w:fldCharType="end"/>
        </w:r>
      </w:p>
      <w:p w14:paraId="0CD8FE24" w14:textId="01112DE9" w:rsidR="00DA3E82" w:rsidRPr="00366A4E" w:rsidRDefault="000B6595" w:rsidP="009D3B79">
        <w:pPr>
          <w:pStyle w:val="Footer"/>
          <w:rPr>
            <w:b/>
          </w:rPr>
        </w:pPr>
        <w:r w:rsidRPr="00366A4E">
          <w:rPr>
            <w:b/>
            <w:noProof/>
          </w:rPr>
          <w:t xml:space="preserve">Snapshot date </w:t>
        </w:r>
        <w:r w:rsidR="00DA3E82" w:rsidRPr="00366A4E">
          <w:rPr>
            <w:b/>
            <w:noProof/>
          </w:rPr>
          <w:t>March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1313" w14:textId="77777777" w:rsidR="00DA3E82" w:rsidRDefault="00DA3E82" w:rsidP="00DA3E82">
      <w:pPr>
        <w:spacing w:after="0" w:line="240" w:lineRule="auto"/>
      </w:pPr>
      <w:r>
        <w:separator/>
      </w:r>
    </w:p>
  </w:footnote>
  <w:footnote w:type="continuationSeparator" w:id="0">
    <w:p w14:paraId="70430E0B" w14:textId="77777777" w:rsidR="00DA3E82" w:rsidRDefault="00DA3E82" w:rsidP="00DA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F1"/>
    <w:multiLevelType w:val="hybridMultilevel"/>
    <w:tmpl w:val="6D1EB0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D9E7EC4"/>
    <w:multiLevelType w:val="hybridMultilevel"/>
    <w:tmpl w:val="053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45E8F"/>
    <w:multiLevelType w:val="multilevel"/>
    <w:tmpl w:val="A5A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83120"/>
    <w:multiLevelType w:val="hybridMultilevel"/>
    <w:tmpl w:val="AEDE1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6C458F"/>
    <w:multiLevelType w:val="hybridMultilevel"/>
    <w:tmpl w:val="A462B304"/>
    <w:lvl w:ilvl="0" w:tplc="08090003">
      <w:start w:val="1"/>
      <w:numFmt w:val="bullet"/>
      <w:lvlText w:val="o"/>
      <w:lvlJc w:val="left"/>
      <w:pPr>
        <w:ind w:left="2366" w:hanging="360"/>
      </w:pPr>
      <w:rPr>
        <w:rFonts w:ascii="Courier New" w:hAnsi="Courier New" w:cs="Courier New" w:hint="default"/>
      </w:rPr>
    </w:lvl>
    <w:lvl w:ilvl="1" w:tplc="08090003" w:tentative="1">
      <w:start w:val="1"/>
      <w:numFmt w:val="bullet"/>
      <w:lvlText w:val="o"/>
      <w:lvlJc w:val="left"/>
      <w:pPr>
        <w:ind w:left="3086" w:hanging="360"/>
      </w:pPr>
      <w:rPr>
        <w:rFonts w:ascii="Courier New" w:hAnsi="Courier New" w:cs="Courier New" w:hint="default"/>
      </w:rPr>
    </w:lvl>
    <w:lvl w:ilvl="2" w:tplc="08090005" w:tentative="1">
      <w:start w:val="1"/>
      <w:numFmt w:val="bullet"/>
      <w:lvlText w:val=""/>
      <w:lvlJc w:val="left"/>
      <w:pPr>
        <w:ind w:left="3806" w:hanging="360"/>
      </w:pPr>
      <w:rPr>
        <w:rFonts w:ascii="Wingdings" w:hAnsi="Wingdings" w:hint="default"/>
      </w:rPr>
    </w:lvl>
    <w:lvl w:ilvl="3" w:tplc="08090001" w:tentative="1">
      <w:start w:val="1"/>
      <w:numFmt w:val="bullet"/>
      <w:lvlText w:val=""/>
      <w:lvlJc w:val="left"/>
      <w:pPr>
        <w:ind w:left="4526" w:hanging="360"/>
      </w:pPr>
      <w:rPr>
        <w:rFonts w:ascii="Symbol" w:hAnsi="Symbol" w:hint="default"/>
      </w:rPr>
    </w:lvl>
    <w:lvl w:ilvl="4" w:tplc="08090003" w:tentative="1">
      <w:start w:val="1"/>
      <w:numFmt w:val="bullet"/>
      <w:lvlText w:val="o"/>
      <w:lvlJc w:val="left"/>
      <w:pPr>
        <w:ind w:left="5246" w:hanging="360"/>
      </w:pPr>
      <w:rPr>
        <w:rFonts w:ascii="Courier New" w:hAnsi="Courier New" w:cs="Courier New" w:hint="default"/>
      </w:rPr>
    </w:lvl>
    <w:lvl w:ilvl="5" w:tplc="08090005" w:tentative="1">
      <w:start w:val="1"/>
      <w:numFmt w:val="bullet"/>
      <w:lvlText w:val=""/>
      <w:lvlJc w:val="left"/>
      <w:pPr>
        <w:ind w:left="5966" w:hanging="360"/>
      </w:pPr>
      <w:rPr>
        <w:rFonts w:ascii="Wingdings" w:hAnsi="Wingdings" w:hint="default"/>
      </w:rPr>
    </w:lvl>
    <w:lvl w:ilvl="6" w:tplc="08090001" w:tentative="1">
      <w:start w:val="1"/>
      <w:numFmt w:val="bullet"/>
      <w:lvlText w:val=""/>
      <w:lvlJc w:val="left"/>
      <w:pPr>
        <w:ind w:left="6686" w:hanging="360"/>
      </w:pPr>
      <w:rPr>
        <w:rFonts w:ascii="Symbol" w:hAnsi="Symbol" w:hint="default"/>
      </w:rPr>
    </w:lvl>
    <w:lvl w:ilvl="7" w:tplc="08090003" w:tentative="1">
      <w:start w:val="1"/>
      <w:numFmt w:val="bullet"/>
      <w:lvlText w:val="o"/>
      <w:lvlJc w:val="left"/>
      <w:pPr>
        <w:ind w:left="7406" w:hanging="360"/>
      </w:pPr>
      <w:rPr>
        <w:rFonts w:ascii="Courier New" w:hAnsi="Courier New" w:cs="Courier New" w:hint="default"/>
      </w:rPr>
    </w:lvl>
    <w:lvl w:ilvl="8" w:tplc="08090005" w:tentative="1">
      <w:start w:val="1"/>
      <w:numFmt w:val="bullet"/>
      <w:lvlText w:val=""/>
      <w:lvlJc w:val="left"/>
      <w:pPr>
        <w:ind w:left="8126" w:hanging="360"/>
      </w:pPr>
      <w:rPr>
        <w:rFonts w:ascii="Wingdings" w:hAnsi="Wingdings" w:hint="default"/>
      </w:rPr>
    </w:lvl>
  </w:abstractNum>
  <w:abstractNum w:abstractNumId="5" w15:restartNumberingAfterBreak="0">
    <w:nsid w:val="68AB2B75"/>
    <w:multiLevelType w:val="hybridMultilevel"/>
    <w:tmpl w:val="A1166B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F3"/>
    <w:rsid w:val="0002782A"/>
    <w:rsid w:val="000B6595"/>
    <w:rsid w:val="000F1FB9"/>
    <w:rsid w:val="001218EE"/>
    <w:rsid w:val="001807C3"/>
    <w:rsid w:val="0018641D"/>
    <w:rsid w:val="001A4990"/>
    <w:rsid w:val="001A59D0"/>
    <w:rsid w:val="001E2E17"/>
    <w:rsid w:val="00241237"/>
    <w:rsid w:val="002E7385"/>
    <w:rsid w:val="00361143"/>
    <w:rsid w:val="00366A4E"/>
    <w:rsid w:val="00371090"/>
    <w:rsid w:val="003A4E07"/>
    <w:rsid w:val="003F58B2"/>
    <w:rsid w:val="00416655"/>
    <w:rsid w:val="00445AA0"/>
    <w:rsid w:val="00446F28"/>
    <w:rsid w:val="004F3C7B"/>
    <w:rsid w:val="00501D91"/>
    <w:rsid w:val="005B48A8"/>
    <w:rsid w:val="005C1373"/>
    <w:rsid w:val="005C29CA"/>
    <w:rsid w:val="005F2AFC"/>
    <w:rsid w:val="00691782"/>
    <w:rsid w:val="00693543"/>
    <w:rsid w:val="006948B5"/>
    <w:rsid w:val="007213F3"/>
    <w:rsid w:val="007272B2"/>
    <w:rsid w:val="00780621"/>
    <w:rsid w:val="0079305B"/>
    <w:rsid w:val="007A77F3"/>
    <w:rsid w:val="007D608C"/>
    <w:rsid w:val="008020FE"/>
    <w:rsid w:val="008308B7"/>
    <w:rsid w:val="00866C03"/>
    <w:rsid w:val="008B3AC1"/>
    <w:rsid w:val="008C3739"/>
    <w:rsid w:val="008D46DB"/>
    <w:rsid w:val="008E733C"/>
    <w:rsid w:val="009348A4"/>
    <w:rsid w:val="0096754B"/>
    <w:rsid w:val="00972F6D"/>
    <w:rsid w:val="00975BE9"/>
    <w:rsid w:val="00981793"/>
    <w:rsid w:val="009867C1"/>
    <w:rsid w:val="00992FBA"/>
    <w:rsid w:val="009D3B79"/>
    <w:rsid w:val="00A5212D"/>
    <w:rsid w:val="00A646FF"/>
    <w:rsid w:val="00AE68A7"/>
    <w:rsid w:val="00B15690"/>
    <w:rsid w:val="00B37FD0"/>
    <w:rsid w:val="00B73570"/>
    <w:rsid w:val="00B75073"/>
    <w:rsid w:val="00BB3FE6"/>
    <w:rsid w:val="00BC2D42"/>
    <w:rsid w:val="00C35455"/>
    <w:rsid w:val="00C37B11"/>
    <w:rsid w:val="00C87528"/>
    <w:rsid w:val="00CA3D3A"/>
    <w:rsid w:val="00CE6026"/>
    <w:rsid w:val="00CE607C"/>
    <w:rsid w:val="00CF4E01"/>
    <w:rsid w:val="00CF5FA4"/>
    <w:rsid w:val="00D12092"/>
    <w:rsid w:val="00D42DCA"/>
    <w:rsid w:val="00D51C36"/>
    <w:rsid w:val="00D531CF"/>
    <w:rsid w:val="00D74A62"/>
    <w:rsid w:val="00DA3E82"/>
    <w:rsid w:val="00DC4FC0"/>
    <w:rsid w:val="00DC5DBC"/>
    <w:rsid w:val="00DF3C1B"/>
    <w:rsid w:val="00F01F2E"/>
    <w:rsid w:val="00F252D9"/>
    <w:rsid w:val="00F73C72"/>
    <w:rsid w:val="00F7607E"/>
    <w:rsid w:val="00FB375D"/>
    <w:rsid w:val="00FC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A6BB4"/>
  <w15:chartTrackingRefBased/>
  <w15:docId w15:val="{0BB05F25-C0C5-4F58-9C83-482673EE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F3"/>
    <w:pPr>
      <w:ind w:left="720"/>
      <w:contextualSpacing/>
    </w:pPr>
  </w:style>
  <w:style w:type="paragraph" w:styleId="BalloonText">
    <w:name w:val="Balloon Text"/>
    <w:basedOn w:val="Normal"/>
    <w:link w:val="BalloonTextChar"/>
    <w:uiPriority w:val="99"/>
    <w:semiHidden/>
    <w:unhideWhenUsed/>
    <w:rsid w:val="001E2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E17"/>
    <w:rPr>
      <w:rFonts w:ascii="Segoe UI" w:hAnsi="Segoe UI" w:cs="Segoe UI"/>
      <w:sz w:val="18"/>
      <w:szCs w:val="18"/>
    </w:rPr>
  </w:style>
  <w:style w:type="paragraph" w:styleId="NormalWeb">
    <w:name w:val="Normal (Web)"/>
    <w:basedOn w:val="Normal"/>
    <w:uiPriority w:val="99"/>
    <w:unhideWhenUsed/>
    <w:rsid w:val="000278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E7385"/>
    <w:pPr>
      <w:spacing w:after="0" w:line="240" w:lineRule="auto"/>
    </w:pPr>
  </w:style>
  <w:style w:type="paragraph" w:styleId="Header">
    <w:name w:val="header"/>
    <w:basedOn w:val="Normal"/>
    <w:link w:val="HeaderChar"/>
    <w:uiPriority w:val="99"/>
    <w:unhideWhenUsed/>
    <w:rsid w:val="00DA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E82"/>
  </w:style>
  <w:style w:type="paragraph" w:styleId="Footer">
    <w:name w:val="footer"/>
    <w:basedOn w:val="Normal"/>
    <w:link w:val="FooterChar"/>
    <w:uiPriority w:val="99"/>
    <w:unhideWhenUsed/>
    <w:rsid w:val="00DA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E82"/>
  </w:style>
  <w:style w:type="character" w:styleId="CommentReference">
    <w:name w:val="annotation reference"/>
    <w:basedOn w:val="DefaultParagraphFont"/>
    <w:uiPriority w:val="99"/>
    <w:semiHidden/>
    <w:unhideWhenUsed/>
    <w:rsid w:val="00CF5FA4"/>
    <w:rPr>
      <w:sz w:val="16"/>
      <w:szCs w:val="16"/>
    </w:rPr>
  </w:style>
  <w:style w:type="paragraph" w:styleId="CommentText">
    <w:name w:val="annotation text"/>
    <w:basedOn w:val="Normal"/>
    <w:link w:val="CommentTextChar"/>
    <w:uiPriority w:val="99"/>
    <w:semiHidden/>
    <w:unhideWhenUsed/>
    <w:rsid w:val="00CF5FA4"/>
    <w:pPr>
      <w:spacing w:line="240" w:lineRule="auto"/>
    </w:pPr>
    <w:rPr>
      <w:sz w:val="20"/>
      <w:szCs w:val="20"/>
    </w:rPr>
  </w:style>
  <w:style w:type="character" w:customStyle="1" w:styleId="CommentTextChar">
    <w:name w:val="Comment Text Char"/>
    <w:basedOn w:val="DefaultParagraphFont"/>
    <w:link w:val="CommentText"/>
    <w:uiPriority w:val="99"/>
    <w:semiHidden/>
    <w:rsid w:val="00CF5FA4"/>
    <w:rPr>
      <w:sz w:val="20"/>
      <w:szCs w:val="20"/>
    </w:rPr>
  </w:style>
  <w:style w:type="paragraph" w:styleId="CommentSubject">
    <w:name w:val="annotation subject"/>
    <w:basedOn w:val="CommentText"/>
    <w:next w:val="CommentText"/>
    <w:link w:val="CommentSubjectChar"/>
    <w:uiPriority w:val="99"/>
    <w:semiHidden/>
    <w:unhideWhenUsed/>
    <w:rsid w:val="00CF5FA4"/>
    <w:rPr>
      <w:b/>
      <w:bCs/>
    </w:rPr>
  </w:style>
  <w:style w:type="character" w:customStyle="1" w:styleId="CommentSubjectChar">
    <w:name w:val="Comment Subject Char"/>
    <w:basedOn w:val="CommentTextChar"/>
    <w:link w:val="CommentSubject"/>
    <w:uiPriority w:val="99"/>
    <w:semiHidden/>
    <w:rsid w:val="00CF5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8279">
      <w:bodyDiv w:val="1"/>
      <w:marLeft w:val="0"/>
      <w:marRight w:val="0"/>
      <w:marTop w:val="0"/>
      <w:marBottom w:val="0"/>
      <w:divBdr>
        <w:top w:val="none" w:sz="0" w:space="0" w:color="auto"/>
        <w:left w:val="none" w:sz="0" w:space="0" w:color="auto"/>
        <w:bottom w:val="none" w:sz="0" w:space="0" w:color="auto"/>
        <w:right w:val="none" w:sz="0" w:space="0" w:color="auto"/>
      </w:divBdr>
    </w:div>
    <w:div w:id="636837307">
      <w:bodyDiv w:val="1"/>
      <w:marLeft w:val="0"/>
      <w:marRight w:val="0"/>
      <w:marTop w:val="0"/>
      <w:marBottom w:val="0"/>
      <w:divBdr>
        <w:top w:val="none" w:sz="0" w:space="0" w:color="auto"/>
        <w:left w:val="none" w:sz="0" w:space="0" w:color="auto"/>
        <w:bottom w:val="none" w:sz="0" w:space="0" w:color="auto"/>
        <w:right w:val="none" w:sz="0" w:space="0" w:color="auto"/>
      </w:divBdr>
    </w:div>
    <w:div w:id="775487930">
      <w:bodyDiv w:val="1"/>
      <w:marLeft w:val="0"/>
      <w:marRight w:val="0"/>
      <w:marTop w:val="0"/>
      <w:marBottom w:val="0"/>
      <w:divBdr>
        <w:top w:val="none" w:sz="0" w:space="0" w:color="auto"/>
        <w:left w:val="none" w:sz="0" w:space="0" w:color="auto"/>
        <w:bottom w:val="none" w:sz="0" w:space="0" w:color="auto"/>
        <w:right w:val="none" w:sz="0" w:space="0" w:color="auto"/>
      </w:divBdr>
    </w:div>
    <w:div w:id="961156214">
      <w:bodyDiv w:val="1"/>
      <w:marLeft w:val="0"/>
      <w:marRight w:val="0"/>
      <w:marTop w:val="0"/>
      <w:marBottom w:val="0"/>
      <w:divBdr>
        <w:top w:val="none" w:sz="0" w:space="0" w:color="auto"/>
        <w:left w:val="none" w:sz="0" w:space="0" w:color="auto"/>
        <w:bottom w:val="none" w:sz="0" w:space="0" w:color="auto"/>
        <w:right w:val="none" w:sz="0" w:space="0" w:color="auto"/>
      </w:divBdr>
    </w:div>
    <w:div w:id="1098141410">
      <w:bodyDiv w:val="1"/>
      <w:marLeft w:val="0"/>
      <w:marRight w:val="0"/>
      <w:marTop w:val="0"/>
      <w:marBottom w:val="0"/>
      <w:divBdr>
        <w:top w:val="none" w:sz="0" w:space="0" w:color="auto"/>
        <w:left w:val="none" w:sz="0" w:space="0" w:color="auto"/>
        <w:bottom w:val="none" w:sz="0" w:space="0" w:color="auto"/>
        <w:right w:val="none" w:sz="0" w:space="0" w:color="auto"/>
      </w:divBdr>
    </w:div>
    <w:div w:id="1193033095">
      <w:bodyDiv w:val="1"/>
      <w:marLeft w:val="0"/>
      <w:marRight w:val="0"/>
      <w:marTop w:val="0"/>
      <w:marBottom w:val="0"/>
      <w:divBdr>
        <w:top w:val="none" w:sz="0" w:space="0" w:color="auto"/>
        <w:left w:val="none" w:sz="0" w:space="0" w:color="auto"/>
        <w:bottom w:val="none" w:sz="0" w:space="0" w:color="auto"/>
        <w:right w:val="none" w:sz="0" w:space="0" w:color="auto"/>
      </w:divBdr>
    </w:div>
    <w:div w:id="1237589478">
      <w:bodyDiv w:val="1"/>
      <w:marLeft w:val="0"/>
      <w:marRight w:val="0"/>
      <w:marTop w:val="0"/>
      <w:marBottom w:val="0"/>
      <w:divBdr>
        <w:top w:val="none" w:sz="0" w:space="0" w:color="auto"/>
        <w:left w:val="none" w:sz="0" w:space="0" w:color="auto"/>
        <w:bottom w:val="none" w:sz="0" w:space="0" w:color="auto"/>
        <w:right w:val="none" w:sz="0" w:space="0" w:color="auto"/>
      </w:divBdr>
    </w:div>
    <w:div w:id="1968967649">
      <w:bodyDiv w:val="1"/>
      <w:marLeft w:val="0"/>
      <w:marRight w:val="0"/>
      <w:marTop w:val="0"/>
      <w:marBottom w:val="0"/>
      <w:divBdr>
        <w:top w:val="none" w:sz="0" w:space="0" w:color="auto"/>
        <w:left w:val="none" w:sz="0" w:space="0" w:color="auto"/>
        <w:bottom w:val="none" w:sz="0" w:space="0" w:color="auto"/>
        <w:right w:val="none" w:sz="0" w:space="0" w:color="auto"/>
      </w:divBdr>
    </w:div>
    <w:div w:id="21034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https://nealewadeacademy-my.sharepoint.com/personal/elaine_hammond_activelearningtrust_org/Documents/Reports/Gender%20Pay%20Gap%20Report/2021-22%20GPG/Quartile%20data%20-%20March%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ealewadeacademy-my.sharepoint.com/personal/elaine_hammond_activelearningtrust_org/Documents/Documents/ALT%20Schools%20HR/Equalities%20Reporting/Gender%20pay%20gap/2021-22%20GPG/Quartile%20data%20-%20March%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700" b="1"/>
              <a:t>Proportion of male and female employees according to quartile pay bands March 2022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12061675570297"/>
          <c:y val="0.20435786648164306"/>
          <c:w val="0.86187938324429703"/>
          <c:h val="0.42314049285505978"/>
        </c:manualLayout>
      </c:layout>
      <c:bar3DChart>
        <c:barDir val="col"/>
        <c:grouping val="clustered"/>
        <c:varyColors val="0"/>
        <c:ser>
          <c:idx val="0"/>
          <c:order val="0"/>
          <c:tx>
            <c:strRef>
              <c:f>'2022'!$A$2</c:f>
              <c:strCache>
                <c:ptCount val="1"/>
                <c:pt idx="0">
                  <c:v>Female</c:v>
                </c:pt>
              </c:strCache>
            </c:strRef>
          </c:tx>
          <c:spPr>
            <a:solidFill>
              <a:schemeClr val="accent1"/>
            </a:solidFill>
            <a:ln>
              <a:noFill/>
            </a:ln>
            <a:effectLst/>
            <a:sp3d/>
          </c:spPr>
          <c:invertIfNegative val="0"/>
          <c:cat>
            <c:strRef>
              <c:f>'2022'!$B$1:$E$1</c:f>
              <c:strCache>
                <c:ptCount val="4"/>
                <c:pt idx="0">
                  <c:v>Lower Quartile</c:v>
                </c:pt>
                <c:pt idx="1">
                  <c:v>Lower Mid Quartile</c:v>
                </c:pt>
                <c:pt idx="2">
                  <c:v>Upper Mid Quartile </c:v>
                </c:pt>
                <c:pt idx="3">
                  <c:v>Upper Quartile</c:v>
                </c:pt>
              </c:strCache>
            </c:strRef>
          </c:cat>
          <c:val>
            <c:numRef>
              <c:f>'2022'!$B$2:$E$2</c:f>
              <c:numCache>
                <c:formatCode>0.00%</c:formatCode>
                <c:ptCount val="4"/>
                <c:pt idx="0">
                  <c:v>0.876</c:v>
                </c:pt>
                <c:pt idx="1">
                  <c:v>0.88519999999999999</c:v>
                </c:pt>
                <c:pt idx="2" formatCode="0%">
                  <c:v>0.84</c:v>
                </c:pt>
                <c:pt idx="3">
                  <c:v>0.72799999999999998</c:v>
                </c:pt>
              </c:numCache>
            </c:numRef>
          </c:val>
          <c:extLst>
            <c:ext xmlns:c16="http://schemas.microsoft.com/office/drawing/2014/chart" uri="{C3380CC4-5D6E-409C-BE32-E72D297353CC}">
              <c16:uniqueId val="{00000000-E86F-493F-867E-B9D3DE2C86A5}"/>
            </c:ext>
          </c:extLst>
        </c:ser>
        <c:ser>
          <c:idx val="1"/>
          <c:order val="1"/>
          <c:tx>
            <c:strRef>
              <c:f>'2022'!$A$3</c:f>
              <c:strCache>
                <c:ptCount val="1"/>
                <c:pt idx="0">
                  <c:v>Male</c:v>
                </c:pt>
              </c:strCache>
            </c:strRef>
          </c:tx>
          <c:spPr>
            <a:solidFill>
              <a:schemeClr val="accent2"/>
            </a:solidFill>
            <a:ln>
              <a:noFill/>
            </a:ln>
            <a:effectLst/>
            <a:sp3d/>
          </c:spPr>
          <c:invertIfNegative val="0"/>
          <c:cat>
            <c:strRef>
              <c:f>'2022'!$B$1:$E$1</c:f>
              <c:strCache>
                <c:ptCount val="4"/>
                <c:pt idx="0">
                  <c:v>Lower Quartile</c:v>
                </c:pt>
                <c:pt idx="1">
                  <c:v>Lower Mid Quartile</c:v>
                </c:pt>
                <c:pt idx="2">
                  <c:v>Upper Mid Quartile </c:v>
                </c:pt>
                <c:pt idx="3">
                  <c:v>Upper Quartile</c:v>
                </c:pt>
              </c:strCache>
            </c:strRef>
          </c:cat>
          <c:val>
            <c:numRef>
              <c:f>'2022'!$B$3:$E$3</c:f>
              <c:numCache>
                <c:formatCode>0.00%</c:formatCode>
                <c:ptCount val="4"/>
                <c:pt idx="0">
                  <c:v>0.124</c:v>
                </c:pt>
                <c:pt idx="1">
                  <c:v>0.1148</c:v>
                </c:pt>
                <c:pt idx="2" formatCode="0%">
                  <c:v>0.16</c:v>
                </c:pt>
                <c:pt idx="3">
                  <c:v>0.27200000000000002</c:v>
                </c:pt>
              </c:numCache>
            </c:numRef>
          </c:val>
          <c:extLst>
            <c:ext xmlns:c16="http://schemas.microsoft.com/office/drawing/2014/chart" uri="{C3380CC4-5D6E-409C-BE32-E72D297353CC}">
              <c16:uniqueId val="{00000001-E86F-493F-867E-B9D3DE2C86A5}"/>
            </c:ext>
          </c:extLst>
        </c:ser>
        <c:dLbls>
          <c:showLegendKey val="0"/>
          <c:showVal val="0"/>
          <c:showCatName val="0"/>
          <c:showSerName val="0"/>
          <c:showPercent val="0"/>
          <c:showBubbleSize val="0"/>
        </c:dLbls>
        <c:gapWidth val="150"/>
        <c:shape val="box"/>
        <c:axId val="463939144"/>
        <c:axId val="463936520"/>
        <c:axId val="0"/>
      </c:bar3DChart>
      <c:catAx>
        <c:axId val="463939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936520"/>
        <c:crosses val="autoZero"/>
        <c:auto val="1"/>
        <c:lblAlgn val="ctr"/>
        <c:lblOffset val="100"/>
        <c:noMultiLvlLbl val="0"/>
      </c:catAx>
      <c:valAx>
        <c:axId val="463936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939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700"/>
              <a:t>Proportion of male and female employees according to quartile pay bands March 2021</a:t>
            </a:r>
            <a:endParaRPr lang="en-US" sz="1700"/>
          </a:p>
        </c:rich>
      </c:tx>
      <c:layout>
        <c:manualLayout>
          <c:xMode val="edge"/>
          <c:yMode val="edge"/>
          <c:x val="0.18040266841644792"/>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'[Quartile data - March 2021.xlsx]Sheet1'!$A$2</c:f>
              <c:strCache>
                <c:ptCount val="1"/>
                <c:pt idx="0">
                  <c:v>Female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'[Quartile data - March 2021.xlsx]Sheet1'!$B$1:$E$1</c:f>
              <c:strCache>
                <c:ptCount val="4"/>
                <c:pt idx="0">
                  <c:v>Lower Quartile</c:v>
                </c:pt>
                <c:pt idx="1">
                  <c:v>Lower Mid Quartile</c:v>
                </c:pt>
                <c:pt idx="2">
                  <c:v>Upper Mid Quartile </c:v>
                </c:pt>
                <c:pt idx="3">
                  <c:v>Upper Quartile</c:v>
                </c:pt>
              </c:strCache>
            </c:strRef>
          </c:cat>
          <c:val>
            <c:numRef>
              <c:f>'[Quartile data - March 2021.xlsx]Sheet1'!$B$2:$E$2</c:f>
              <c:numCache>
                <c:formatCode>0.00%</c:formatCode>
                <c:ptCount val="4"/>
                <c:pt idx="0">
                  <c:v>0.90910000000000002</c:v>
                </c:pt>
                <c:pt idx="1">
                  <c:v>0.87439999999999996</c:v>
                </c:pt>
                <c:pt idx="2">
                  <c:v>0.83020000000000005</c:v>
                </c:pt>
                <c:pt idx="3">
                  <c:v>0.76049999999999995</c:v>
                </c:pt>
              </c:numCache>
            </c:numRef>
          </c:val>
          <c:extLst>
            <c:ext xmlns:c16="http://schemas.microsoft.com/office/drawing/2014/chart" uri="{C3380CC4-5D6E-409C-BE32-E72D297353CC}">
              <c16:uniqueId val="{00000000-F89E-424E-848A-FCA051F2EE9A}"/>
            </c:ext>
          </c:extLst>
        </c:ser>
        <c:ser>
          <c:idx val="1"/>
          <c:order val="1"/>
          <c:tx>
            <c:strRef>
              <c:f>'[Quartile data - March 2021.xlsx]Sheet1'!$A$3</c:f>
              <c:strCache>
                <c:ptCount val="1"/>
                <c:pt idx="0">
                  <c:v>Male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'[Quartile data - March 2021.xlsx]Sheet1'!$B$1:$E$1</c:f>
              <c:strCache>
                <c:ptCount val="4"/>
                <c:pt idx="0">
                  <c:v>Lower Quartile</c:v>
                </c:pt>
                <c:pt idx="1">
                  <c:v>Lower Mid Quartile</c:v>
                </c:pt>
                <c:pt idx="2">
                  <c:v>Upper Mid Quartile </c:v>
                </c:pt>
                <c:pt idx="3">
                  <c:v>Upper Quartile</c:v>
                </c:pt>
              </c:strCache>
            </c:strRef>
          </c:cat>
          <c:val>
            <c:numRef>
              <c:f>'[Quartile data - March 2021.xlsx]Sheet1'!$B$3:$E$3</c:f>
              <c:numCache>
                <c:formatCode>0.00%</c:formatCode>
                <c:ptCount val="4"/>
                <c:pt idx="0">
                  <c:v>9.0899999999999995E-2</c:v>
                </c:pt>
                <c:pt idx="1">
                  <c:v>0.12559999999999999</c:v>
                </c:pt>
                <c:pt idx="2">
                  <c:v>0.16980000000000001</c:v>
                </c:pt>
                <c:pt idx="3">
                  <c:v>0.23949999999999999</c:v>
                </c:pt>
              </c:numCache>
            </c:numRef>
          </c:val>
          <c:extLst>
            <c:ext xmlns:c16="http://schemas.microsoft.com/office/drawing/2014/chart" uri="{C3380CC4-5D6E-409C-BE32-E72D297353CC}">
              <c16:uniqueId val="{00000001-F89E-424E-848A-FCA051F2EE9A}"/>
            </c:ext>
          </c:extLst>
        </c:ser>
        <c:dLbls>
          <c:showLegendKey val="0"/>
          <c:showVal val="0"/>
          <c:showCatName val="0"/>
          <c:showSerName val="0"/>
          <c:showPercent val="0"/>
          <c:showBubbleSize val="0"/>
        </c:dLbls>
        <c:gapWidth val="65"/>
        <c:shape val="box"/>
        <c:axId val="647895944"/>
        <c:axId val="647899224"/>
        <c:axId val="0"/>
        <c:extLst>
          <c:ext xmlns:c15="http://schemas.microsoft.com/office/drawing/2012/chart" uri="{02D57815-91ED-43cb-92C2-25804820EDAC}">
            <c15:filteredBarSeries>
              <c15:ser>
                <c:idx val="2"/>
                <c:order val="2"/>
                <c:tx>
                  <c:strRef>
                    <c:extLst>
                      <c:ext uri="{02D57815-91ED-43cb-92C2-25804820EDAC}">
                        <c15:formulaRef>
                          <c15:sqref>'[Quartile data - March 2021.xlsx]Sheet1'!$A$4</c15:sqref>
                        </c15:formulaRef>
                      </c:ext>
                    </c:extLst>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extLst>
                      <c:ext uri="{02D57815-91ED-43cb-92C2-25804820EDAC}">
                        <c15:formulaRef>
                          <c15:sqref>'[Quartile data - March 2021.xlsx]Sheet1'!$B$1:$E$1</c15:sqref>
                        </c15:formulaRef>
                      </c:ext>
                    </c:extLst>
                    <c:strCache>
                      <c:ptCount val="4"/>
                      <c:pt idx="0">
                        <c:v>Lower Quartile</c:v>
                      </c:pt>
                      <c:pt idx="1">
                        <c:v>Lower Mid Quartile</c:v>
                      </c:pt>
                      <c:pt idx="2">
                        <c:v>Upper Mid Quartile </c:v>
                      </c:pt>
                      <c:pt idx="3">
                        <c:v>Upper Quartile</c:v>
                      </c:pt>
                    </c:strCache>
                  </c:strRef>
                </c:cat>
                <c:val>
                  <c:numRef>
                    <c:extLst>
                      <c:ext uri="{02D57815-91ED-43cb-92C2-25804820EDAC}">
                        <c15:formulaRef>
                          <c15:sqref>'[Quartile data - March 2021.xlsx]Sheet1'!$B$4:$E$4</c15:sqref>
                        </c15:formulaRef>
                      </c:ext>
                    </c:extLst>
                    <c:numCache>
                      <c:formatCode>General</c:formatCode>
                      <c:ptCount val="4"/>
                    </c:numCache>
                  </c:numRef>
                </c:val>
                <c:extLst>
                  <c:ext xmlns:c16="http://schemas.microsoft.com/office/drawing/2014/chart" uri="{C3380CC4-5D6E-409C-BE32-E72D297353CC}">
                    <c16:uniqueId val="{00000002-F89E-424E-848A-FCA051F2EE9A}"/>
                  </c:ext>
                </c:extLst>
              </c15:ser>
            </c15:filteredBarSeries>
          </c:ext>
        </c:extLst>
      </c:bar3DChart>
      <c:catAx>
        <c:axId val="647895944"/>
        <c:scaling>
          <c:orientation val="minMax"/>
        </c:scaling>
        <c:delete val="1"/>
        <c:axPos val="b"/>
        <c:numFmt formatCode="General" sourceLinked="1"/>
        <c:majorTickMark val="none"/>
        <c:minorTickMark val="none"/>
        <c:tickLblPos val="nextTo"/>
        <c:crossAx val="647899224"/>
        <c:crosses val="autoZero"/>
        <c:auto val="1"/>
        <c:lblAlgn val="ctr"/>
        <c:lblOffset val="100"/>
        <c:noMultiLvlLbl val="0"/>
      </c:catAx>
      <c:valAx>
        <c:axId val="647899224"/>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4789594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0"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54ABC98CC544CA890302895171ED9" ma:contentTypeVersion="0" ma:contentTypeDescription="Create a new document." ma:contentTypeScope="" ma:versionID="b2b34110e141277297d92aceb839b9fd">
  <xsd:schema xmlns:xsd="http://www.w3.org/2001/XMLSchema" xmlns:xs="http://www.w3.org/2001/XMLSchema" xmlns:p="http://schemas.microsoft.com/office/2006/metadata/properties" targetNamespace="http://schemas.microsoft.com/office/2006/metadata/properties" ma:root="true" ma:fieldsID="0c2abe67aece085d303a5dba0aa217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759CB-A0C4-4F77-8B33-258F501CA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654672-9A70-40C1-B163-33F5AD965E6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EDCAF3-F42E-4381-9EC9-6FC6BC503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Steel</dc:creator>
  <cp:keywords/>
  <dc:description/>
  <cp:lastModifiedBy>Elaine Hammond</cp:lastModifiedBy>
  <cp:revision>9</cp:revision>
  <cp:lastPrinted>2021-01-27T12:32:00Z</cp:lastPrinted>
  <dcterms:created xsi:type="dcterms:W3CDTF">2022-09-05T10:46:00Z</dcterms:created>
  <dcterms:modified xsi:type="dcterms:W3CDTF">2022-09-05T20:05:00Z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0x010100AD554ABC98CC544CA890302895171ED9</vt:lpwstr>
  </property>
</Properties>
</file>