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52A00" w14:textId="5BA5A462" w:rsidR="007213F3" w:rsidRPr="00D51C36" w:rsidRDefault="004F3C7B" w:rsidP="007213F3">
      <w:pPr>
        <w:jc w:val="center"/>
        <w:rPr>
          <w:b/>
          <w:i/>
        </w:rPr>
      </w:pPr>
      <w:r w:rsidRPr="00440257">
        <w:rPr>
          <w:noProof/>
          <w:lang w:eastAsia="en-GB"/>
        </w:rPr>
        <w:drawing>
          <wp:anchor distT="0" distB="0" distL="114300" distR="114300" simplePos="0" relativeHeight="251659264" behindDoc="0" locked="0" layoutInCell="1" allowOverlap="1" wp14:anchorId="7CA03A96" wp14:editId="2B9F91E2">
            <wp:simplePos x="0" y="0"/>
            <wp:positionH relativeFrom="column">
              <wp:posOffset>4099560</wp:posOffset>
            </wp:positionH>
            <wp:positionV relativeFrom="paragraph">
              <wp:posOffset>-708660</wp:posOffset>
            </wp:positionV>
            <wp:extent cx="2267289" cy="1156677"/>
            <wp:effectExtent l="0" t="0" r="0" b="5715"/>
            <wp:wrapNone/>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2030" cy="1164197"/>
                    </a:xfrm>
                    <a:prstGeom prst="rect">
                      <a:avLst/>
                    </a:prstGeom>
                  </pic:spPr>
                </pic:pic>
              </a:graphicData>
            </a:graphic>
            <wp14:sizeRelH relativeFrom="page">
              <wp14:pctWidth>0</wp14:pctWidth>
            </wp14:sizeRelH>
            <wp14:sizeRelV relativeFrom="page">
              <wp14:pctHeight>0</wp14:pctHeight>
            </wp14:sizeRelV>
          </wp:anchor>
        </w:drawing>
      </w:r>
    </w:p>
    <w:p w14:paraId="2081274F" w14:textId="77777777" w:rsidR="00A15A80" w:rsidRDefault="00A15A80" w:rsidP="007213F3">
      <w:pPr>
        <w:jc w:val="center"/>
        <w:rPr>
          <w:b/>
          <w:sz w:val="32"/>
          <w:szCs w:val="32"/>
        </w:rPr>
      </w:pPr>
    </w:p>
    <w:p w14:paraId="11613D5D" w14:textId="77777777" w:rsidR="00A15A80" w:rsidRDefault="00A15A80" w:rsidP="007213F3">
      <w:pPr>
        <w:jc w:val="center"/>
        <w:rPr>
          <w:b/>
          <w:sz w:val="32"/>
          <w:szCs w:val="32"/>
        </w:rPr>
      </w:pPr>
    </w:p>
    <w:p w14:paraId="3318CC31" w14:textId="15CDC091" w:rsidR="007213F3" w:rsidRPr="00D51C36" w:rsidRDefault="007213F3" w:rsidP="007213F3">
      <w:pPr>
        <w:jc w:val="center"/>
        <w:rPr>
          <w:b/>
          <w:sz w:val="32"/>
          <w:szCs w:val="32"/>
        </w:rPr>
      </w:pPr>
      <w:r w:rsidRPr="00D51C36">
        <w:rPr>
          <w:b/>
          <w:sz w:val="32"/>
          <w:szCs w:val="32"/>
        </w:rPr>
        <w:t>ACTIVE LEARNING TRUST</w:t>
      </w:r>
    </w:p>
    <w:p w14:paraId="08B5A845" w14:textId="5187D14C" w:rsidR="0002782A" w:rsidRDefault="007213F3" w:rsidP="007213F3">
      <w:pPr>
        <w:jc w:val="center"/>
        <w:rPr>
          <w:b/>
          <w:sz w:val="32"/>
          <w:szCs w:val="32"/>
        </w:rPr>
      </w:pPr>
      <w:r w:rsidRPr="00D51C36">
        <w:rPr>
          <w:b/>
          <w:sz w:val="32"/>
          <w:szCs w:val="32"/>
        </w:rPr>
        <w:t>GENDER PAY GAP</w:t>
      </w:r>
      <w:r w:rsidR="00BB3FE6">
        <w:rPr>
          <w:b/>
          <w:sz w:val="32"/>
          <w:szCs w:val="32"/>
        </w:rPr>
        <w:t xml:space="preserve">: SNAPSHOT DATE </w:t>
      </w:r>
      <w:r w:rsidR="000F1FB9">
        <w:rPr>
          <w:b/>
          <w:sz w:val="32"/>
          <w:szCs w:val="32"/>
        </w:rPr>
        <w:t xml:space="preserve">31 </w:t>
      </w:r>
      <w:r w:rsidR="00DC4FC0">
        <w:rPr>
          <w:b/>
          <w:sz w:val="32"/>
          <w:szCs w:val="32"/>
        </w:rPr>
        <w:t>MARCH 202</w:t>
      </w:r>
      <w:r w:rsidR="008016B1">
        <w:rPr>
          <w:b/>
          <w:sz w:val="32"/>
          <w:szCs w:val="32"/>
        </w:rPr>
        <w:t>3</w:t>
      </w:r>
    </w:p>
    <w:p w14:paraId="048BD919" w14:textId="58EB97DE" w:rsidR="007213F3" w:rsidRPr="00D51C36" w:rsidRDefault="0002782A" w:rsidP="007213F3">
      <w:pPr>
        <w:jc w:val="center"/>
        <w:rPr>
          <w:b/>
          <w:sz w:val="32"/>
          <w:szCs w:val="32"/>
        </w:rPr>
      </w:pPr>
      <w:r>
        <w:rPr>
          <w:b/>
          <w:sz w:val="32"/>
          <w:szCs w:val="32"/>
        </w:rPr>
        <w:t>(</w:t>
      </w:r>
      <w:r w:rsidR="00E7705B">
        <w:rPr>
          <w:b/>
          <w:sz w:val="32"/>
          <w:szCs w:val="32"/>
        </w:rPr>
        <w:t xml:space="preserve">TRUSTEE </w:t>
      </w:r>
      <w:r w:rsidR="007213F3" w:rsidRPr="00D51C36">
        <w:rPr>
          <w:b/>
          <w:sz w:val="32"/>
          <w:szCs w:val="32"/>
        </w:rPr>
        <w:t xml:space="preserve">REPORT </w:t>
      </w:r>
      <w:r>
        <w:rPr>
          <w:b/>
          <w:sz w:val="32"/>
          <w:szCs w:val="32"/>
        </w:rPr>
        <w:t xml:space="preserve">DATE: </w:t>
      </w:r>
      <w:r w:rsidR="008016B1">
        <w:rPr>
          <w:b/>
          <w:sz w:val="32"/>
          <w:szCs w:val="32"/>
        </w:rPr>
        <w:t>JANUARY 2024</w:t>
      </w:r>
      <w:r>
        <w:rPr>
          <w:b/>
          <w:sz w:val="32"/>
          <w:szCs w:val="32"/>
        </w:rPr>
        <w:t>)</w:t>
      </w:r>
    </w:p>
    <w:p w14:paraId="25F738E6" w14:textId="071E9369" w:rsidR="00B40078" w:rsidRPr="00B40078" w:rsidRDefault="00B40078" w:rsidP="00B15690">
      <w:pPr>
        <w:pStyle w:val="NormalWeb"/>
        <w:rPr>
          <w:rFonts w:asciiTheme="minorHAnsi" w:hAnsiTheme="minorHAnsi" w:cstheme="minorHAnsi"/>
          <w:b/>
          <w:bCs/>
          <w:sz w:val="22"/>
          <w:szCs w:val="22"/>
          <w:u w:val="single"/>
        </w:rPr>
      </w:pPr>
      <w:r w:rsidRPr="00B40078">
        <w:rPr>
          <w:rFonts w:asciiTheme="minorHAnsi" w:hAnsiTheme="minorHAnsi" w:cstheme="minorHAnsi"/>
          <w:b/>
          <w:bCs/>
          <w:sz w:val="22"/>
          <w:szCs w:val="22"/>
          <w:u w:val="single"/>
        </w:rPr>
        <w:t>Background:</w:t>
      </w:r>
    </w:p>
    <w:p w14:paraId="1437FD21" w14:textId="33B4463C" w:rsidR="00B15690" w:rsidRPr="00B15690" w:rsidRDefault="007213F3" w:rsidP="00B15690">
      <w:pPr>
        <w:pStyle w:val="NormalWeb"/>
        <w:rPr>
          <w:rFonts w:asciiTheme="minorHAnsi" w:hAnsiTheme="minorHAnsi" w:cstheme="minorHAnsi"/>
          <w:sz w:val="22"/>
          <w:szCs w:val="22"/>
        </w:rPr>
      </w:pPr>
      <w:r w:rsidRPr="009D3B79">
        <w:rPr>
          <w:rFonts w:asciiTheme="minorHAnsi" w:hAnsiTheme="minorHAnsi" w:cstheme="minorHAnsi"/>
          <w:sz w:val="22"/>
          <w:szCs w:val="22"/>
        </w:rPr>
        <w:t xml:space="preserve">This Report contains the Active Learning Trust Statutory disclosure of the Gender Pay Gap </w:t>
      </w:r>
      <w:r w:rsidR="00CE6026" w:rsidRPr="009D3B79">
        <w:rPr>
          <w:rFonts w:asciiTheme="minorHAnsi" w:hAnsiTheme="minorHAnsi" w:cstheme="minorHAnsi"/>
          <w:sz w:val="22"/>
          <w:szCs w:val="22"/>
        </w:rPr>
        <w:t>for the annual reporting period and based on the public sector annual snapshot date</w:t>
      </w:r>
      <w:r w:rsidR="00C35455">
        <w:rPr>
          <w:rFonts w:asciiTheme="minorHAnsi" w:hAnsiTheme="minorHAnsi" w:cstheme="minorHAnsi"/>
          <w:sz w:val="22"/>
          <w:szCs w:val="22"/>
        </w:rPr>
        <w:t xml:space="preserve"> of 31 March 202</w:t>
      </w:r>
      <w:r w:rsidR="008016B1">
        <w:rPr>
          <w:rFonts w:asciiTheme="minorHAnsi" w:hAnsiTheme="minorHAnsi" w:cstheme="minorHAnsi"/>
          <w:sz w:val="22"/>
          <w:szCs w:val="22"/>
        </w:rPr>
        <w:t>3</w:t>
      </w:r>
      <w:r w:rsidR="00CE6026" w:rsidRPr="009D3B79">
        <w:rPr>
          <w:rFonts w:asciiTheme="minorHAnsi" w:hAnsiTheme="minorHAnsi" w:cstheme="minorHAnsi"/>
          <w:sz w:val="22"/>
          <w:szCs w:val="22"/>
        </w:rPr>
        <w:t xml:space="preserve">. </w:t>
      </w:r>
      <w:r w:rsidR="00B15690" w:rsidRPr="00B15690">
        <w:rPr>
          <w:rFonts w:asciiTheme="minorHAnsi" w:hAnsiTheme="minorHAnsi" w:cstheme="minorHAnsi"/>
          <w:sz w:val="22"/>
          <w:szCs w:val="22"/>
        </w:rPr>
        <w:t>The published information has been prepared from payroll dat</w:t>
      </w:r>
      <w:r w:rsidR="00B15690">
        <w:rPr>
          <w:rFonts w:asciiTheme="minorHAnsi" w:hAnsiTheme="minorHAnsi" w:cstheme="minorHAnsi"/>
          <w:sz w:val="22"/>
          <w:szCs w:val="22"/>
        </w:rPr>
        <w:t>a on that</w:t>
      </w:r>
      <w:r w:rsidR="00B15690" w:rsidRPr="00B15690">
        <w:rPr>
          <w:rFonts w:asciiTheme="minorHAnsi" w:hAnsiTheme="minorHAnsi" w:cstheme="minorHAnsi"/>
          <w:sz w:val="22"/>
          <w:szCs w:val="22"/>
        </w:rPr>
        <w:t xml:space="preserve"> snapshot date </w:t>
      </w:r>
      <w:r w:rsidR="00B15690">
        <w:rPr>
          <w:rFonts w:asciiTheme="minorHAnsi" w:hAnsiTheme="minorHAnsi" w:cstheme="minorHAnsi"/>
          <w:sz w:val="22"/>
          <w:szCs w:val="22"/>
        </w:rPr>
        <w:t>and</w:t>
      </w:r>
      <w:r w:rsidR="00B15690" w:rsidRPr="00B15690">
        <w:rPr>
          <w:rFonts w:asciiTheme="minorHAnsi" w:hAnsiTheme="minorHAnsi" w:cstheme="minorHAnsi"/>
          <w:sz w:val="22"/>
          <w:szCs w:val="22"/>
        </w:rPr>
        <w:t xml:space="preserve"> is accurate at the time of publication</w:t>
      </w:r>
      <w:r w:rsidR="00B40078">
        <w:rPr>
          <w:rFonts w:asciiTheme="minorHAnsi" w:hAnsiTheme="minorHAnsi" w:cstheme="minorHAnsi"/>
          <w:sz w:val="22"/>
          <w:szCs w:val="22"/>
        </w:rPr>
        <w:t>.  National and Education Sector data is included for benchmarking and context.</w:t>
      </w:r>
    </w:p>
    <w:p w14:paraId="3E3CC116" w14:textId="77777777" w:rsidR="00BB3FE6" w:rsidRDefault="007213F3" w:rsidP="00BB3FE6">
      <w:pPr>
        <w:rPr>
          <w:rFonts w:cstheme="minorHAnsi"/>
        </w:rPr>
      </w:pPr>
      <w:r w:rsidRPr="009D3B79">
        <w:rPr>
          <w:rFonts w:cstheme="minorHAnsi"/>
        </w:rPr>
        <w:t>Employers of more than 250 employees must publish the gap in pay between men and women by the Median (distribution of pay rates) and the Mean (average hourly salary) rates, and on the basis of four quartiles of pay</w:t>
      </w:r>
      <w:r w:rsidR="00D74A62" w:rsidRPr="009D3B79">
        <w:rPr>
          <w:rFonts w:cstheme="minorHAnsi"/>
        </w:rPr>
        <w:t xml:space="preserve"> value</w:t>
      </w:r>
      <w:r w:rsidRPr="009D3B79">
        <w:rPr>
          <w:rFonts w:cstheme="minorHAnsi"/>
        </w:rPr>
        <w:t xml:space="preserve"> distribution by gender. </w:t>
      </w:r>
    </w:p>
    <w:p w14:paraId="5E2667E6" w14:textId="18F57D72" w:rsidR="003C4A50" w:rsidRPr="003C4A50" w:rsidRDefault="003C4A50" w:rsidP="00BB3FE6">
      <w:pPr>
        <w:rPr>
          <w:rFonts w:cstheme="minorHAnsi"/>
          <w:b/>
          <w:bCs/>
          <w:u w:val="single"/>
        </w:rPr>
      </w:pPr>
      <w:r w:rsidRPr="003C4A50">
        <w:rPr>
          <w:rFonts w:cstheme="minorHAnsi"/>
          <w:b/>
          <w:bCs/>
          <w:u w:val="single"/>
        </w:rPr>
        <w:t>Active Learning Trust Data Return:</w:t>
      </w:r>
    </w:p>
    <w:p w14:paraId="0A3AA51C" w14:textId="634794A8" w:rsidR="00BB3FE6" w:rsidRDefault="00BB3FE6" w:rsidP="00BB3FE6">
      <w:pPr>
        <w:rPr>
          <w:rFonts w:cstheme="minorHAnsi"/>
          <w:b/>
        </w:rPr>
      </w:pPr>
      <w:r w:rsidRPr="009D3B79">
        <w:rPr>
          <w:rFonts w:cstheme="minorHAnsi"/>
          <w:b/>
        </w:rPr>
        <w:t>Gender representation at the reporting snapshot date</w:t>
      </w:r>
      <w:r w:rsidR="00566911">
        <w:rPr>
          <w:rFonts w:cstheme="minorHAnsi"/>
          <w:b/>
        </w:rPr>
        <w:t>.  It i</w:t>
      </w:r>
      <w:r w:rsidR="00C35455">
        <w:rPr>
          <w:rFonts w:cstheme="minorHAnsi"/>
          <w:b/>
        </w:rPr>
        <w:t>ncludes only those paid in March 202</w:t>
      </w:r>
      <w:r w:rsidR="00997727">
        <w:rPr>
          <w:rFonts w:cstheme="minorHAnsi"/>
          <w:b/>
        </w:rPr>
        <w:t>3</w:t>
      </w:r>
      <w:r w:rsidR="00566911">
        <w:rPr>
          <w:rFonts w:cstheme="minorHAnsi"/>
          <w:b/>
        </w:rPr>
        <w:t xml:space="preserve"> i.e. those classes as Relevant Employees*</w:t>
      </w:r>
      <w:r w:rsidR="00652B21">
        <w:rPr>
          <w:rFonts w:cstheme="minorHAnsi"/>
          <w:b/>
        </w:rPr>
        <w:t>.</w:t>
      </w:r>
    </w:p>
    <w:tbl>
      <w:tblPr>
        <w:tblStyle w:val="TableGrid"/>
        <w:tblW w:w="0" w:type="auto"/>
        <w:tblLook w:val="04A0" w:firstRow="1" w:lastRow="0" w:firstColumn="1" w:lastColumn="0" w:noHBand="0" w:noVBand="1"/>
      </w:tblPr>
      <w:tblGrid>
        <w:gridCol w:w="3123"/>
        <w:gridCol w:w="2667"/>
        <w:gridCol w:w="3226"/>
      </w:tblGrid>
      <w:tr w:rsidR="00BB3FE6" w:rsidRPr="00BB3FE6" w14:paraId="50DB2754" w14:textId="77777777" w:rsidTr="00997727">
        <w:tc>
          <w:tcPr>
            <w:tcW w:w="3123" w:type="dxa"/>
            <w:shd w:val="clear" w:color="auto" w:fill="D9D9D9" w:themeFill="background1" w:themeFillShade="D9"/>
          </w:tcPr>
          <w:p w14:paraId="06DCC8CA" w14:textId="0B1CB11E" w:rsidR="00BB3FE6" w:rsidRPr="00B37FD0" w:rsidRDefault="00BB3FE6" w:rsidP="00DB4615">
            <w:pPr>
              <w:rPr>
                <w:rFonts w:cstheme="minorHAnsi"/>
                <w:b/>
              </w:rPr>
            </w:pPr>
          </w:p>
        </w:tc>
        <w:tc>
          <w:tcPr>
            <w:tcW w:w="2667" w:type="dxa"/>
          </w:tcPr>
          <w:p w14:paraId="5F0FA7E6" w14:textId="77777777" w:rsidR="00BB3FE6" w:rsidRPr="00B37FD0" w:rsidRDefault="00BB3FE6" w:rsidP="00DB4615">
            <w:pPr>
              <w:rPr>
                <w:rFonts w:cstheme="minorHAnsi"/>
                <w:b/>
              </w:rPr>
            </w:pPr>
            <w:r w:rsidRPr="00B37FD0">
              <w:rPr>
                <w:rFonts w:cstheme="minorHAnsi"/>
                <w:b/>
              </w:rPr>
              <w:t>No of people</w:t>
            </w:r>
          </w:p>
        </w:tc>
        <w:tc>
          <w:tcPr>
            <w:tcW w:w="3226" w:type="dxa"/>
          </w:tcPr>
          <w:p w14:paraId="76A91D6F" w14:textId="77777777" w:rsidR="00BB3FE6" w:rsidRPr="00B37FD0" w:rsidRDefault="00BB3FE6" w:rsidP="00DB4615">
            <w:pPr>
              <w:rPr>
                <w:rFonts w:cstheme="minorHAnsi"/>
                <w:b/>
              </w:rPr>
            </w:pPr>
            <w:r w:rsidRPr="00B37FD0">
              <w:rPr>
                <w:rFonts w:cstheme="minorHAnsi"/>
                <w:b/>
              </w:rPr>
              <w:t>Gender split as a %</w:t>
            </w:r>
          </w:p>
        </w:tc>
      </w:tr>
      <w:tr w:rsidR="00BB3FE6" w:rsidRPr="00BB3FE6" w14:paraId="3E437375" w14:textId="77777777" w:rsidTr="00DB4615">
        <w:tc>
          <w:tcPr>
            <w:tcW w:w="3123" w:type="dxa"/>
          </w:tcPr>
          <w:p w14:paraId="0280B309" w14:textId="77777777" w:rsidR="00BB3FE6" w:rsidRPr="00B37FD0" w:rsidRDefault="00BB3FE6" w:rsidP="00DB4615">
            <w:pPr>
              <w:rPr>
                <w:rFonts w:cstheme="minorHAnsi"/>
                <w:b/>
              </w:rPr>
            </w:pPr>
            <w:r w:rsidRPr="00B37FD0">
              <w:rPr>
                <w:rFonts w:cstheme="minorHAnsi"/>
                <w:b/>
              </w:rPr>
              <w:t>Female</w:t>
            </w:r>
          </w:p>
        </w:tc>
        <w:tc>
          <w:tcPr>
            <w:tcW w:w="2667" w:type="dxa"/>
          </w:tcPr>
          <w:p w14:paraId="1E611ADE" w14:textId="2352C481" w:rsidR="00BB3FE6" w:rsidRPr="00B37FD0" w:rsidRDefault="00C35455" w:rsidP="00DB4615">
            <w:pPr>
              <w:rPr>
                <w:rFonts w:cstheme="minorHAnsi"/>
              </w:rPr>
            </w:pPr>
            <w:r>
              <w:rPr>
                <w:rFonts w:cstheme="minorHAnsi"/>
              </w:rPr>
              <w:t>12</w:t>
            </w:r>
            <w:r w:rsidR="00DD77CC">
              <w:rPr>
                <w:rFonts w:cstheme="minorHAnsi"/>
              </w:rPr>
              <w:t>56</w:t>
            </w:r>
          </w:p>
        </w:tc>
        <w:tc>
          <w:tcPr>
            <w:tcW w:w="3226" w:type="dxa"/>
          </w:tcPr>
          <w:p w14:paraId="10895AFF" w14:textId="77777777" w:rsidR="005D30D9" w:rsidRDefault="00EB2E5F" w:rsidP="00DB4615">
            <w:pPr>
              <w:rPr>
                <w:rFonts w:cstheme="minorHAnsi"/>
              </w:rPr>
            </w:pPr>
            <w:r>
              <w:rPr>
                <w:rFonts w:cstheme="minorHAnsi"/>
              </w:rPr>
              <w:t>84.18%</w:t>
            </w:r>
            <w:r w:rsidR="00C35455">
              <w:rPr>
                <w:rFonts w:cstheme="minorHAnsi"/>
              </w:rPr>
              <w:t xml:space="preserve"> </w:t>
            </w:r>
          </w:p>
          <w:p w14:paraId="0E506BC7" w14:textId="01A90D93" w:rsidR="00BB3FE6" w:rsidRPr="00B37FD0" w:rsidRDefault="00C35455" w:rsidP="00DB4615">
            <w:pPr>
              <w:rPr>
                <w:rFonts w:cstheme="minorHAnsi"/>
              </w:rPr>
            </w:pPr>
            <w:r>
              <w:rPr>
                <w:rFonts w:cstheme="minorHAnsi"/>
              </w:rPr>
              <w:t>(</w:t>
            </w:r>
            <w:r w:rsidR="00C83D33">
              <w:rPr>
                <w:rFonts w:cstheme="minorHAnsi"/>
              </w:rPr>
              <w:t>83.32%</w:t>
            </w:r>
            <w:r w:rsidR="005D30D9">
              <w:rPr>
                <w:rFonts w:cstheme="minorHAnsi"/>
              </w:rPr>
              <w:t xml:space="preserve"> </w:t>
            </w:r>
            <w:r w:rsidR="004F3E04">
              <w:rPr>
                <w:rFonts w:cstheme="minorHAnsi"/>
              </w:rPr>
              <w:t xml:space="preserve">in </w:t>
            </w:r>
            <w:r w:rsidR="00C83D33">
              <w:rPr>
                <w:rFonts w:cstheme="minorHAnsi"/>
              </w:rPr>
              <w:t>2022</w:t>
            </w:r>
            <w:r w:rsidR="00EB2E5F">
              <w:rPr>
                <w:rFonts w:cstheme="minorHAnsi"/>
              </w:rPr>
              <w:t xml:space="preserve">, </w:t>
            </w:r>
            <w:r w:rsidR="00EB2E5F" w:rsidRPr="00B37FD0">
              <w:rPr>
                <w:rFonts w:cstheme="minorHAnsi"/>
              </w:rPr>
              <w:t>84.35%</w:t>
            </w:r>
            <w:r w:rsidR="00EB2E5F">
              <w:rPr>
                <w:rFonts w:cstheme="minorHAnsi"/>
              </w:rPr>
              <w:t xml:space="preserve"> </w:t>
            </w:r>
            <w:r w:rsidR="004F3E04">
              <w:rPr>
                <w:rFonts w:cstheme="minorHAnsi"/>
              </w:rPr>
              <w:t xml:space="preserve">in </w:t>
            </w:r>
            <w:r w:rsidR="00EB2E5F">
              <w:rPr>
                <w:rFonts w:cstheme="minorHAnsi"/>
              </w:rPr>
              <w:t>2021</w:t>
            </w:r>
            <w:r>
              <w:rPr>
                <w:rFonts w:cstheme="minorHAnsi"/>
              </w:rPr>
              <w:t>)</w:t>
            </w:r>
          </w:p>
        </w:tc>
      </w:tr>
      <w:tr w:rsidR="00BB3FE6" w:rsidRPr="00BB3FE6" w14:paraId="1929BADB" w14:textId="77777777" w:rsidTr="00DB4615">
        <w:tc>
          <w:tcPr>
            <w:tcW w:w="3123" w:type="dxa"/>
          </w:tcPr>
          <w:p w14:paraId="3CB111E4" w14:textId="77777777" w:rsidR="00BB3FE6" w:rsidRPr="00B37FD0" w:rsidRDefault="00BB3FE6" w:rsidP="00DB4615">
            <w:pPr>
              <w:rPr>
                <w:rFonts w:cstheme="minorHAnsi"/>
                <w:b/>
              </w:rPr>
            </w:pPr>
            <w:r w:rsidRPr="00B37FD0">
              <w:rPr>
                <w:rFonts w:cstheme="minorHAnsi"/>
                <w:b/>
              </w:rPr>
              <w:t xml:space="preserve">Male     </w:t>
            </w:r>
          </w:p>
        </w:tc>
        <w:tc>
          <w:tcPr>
            <w:tcW w:w="2667" w:type="dxa"/>
          </w:tcPr>
          <w:p w14:paraId="70082F1E" w14:textId="13980283" w:rsidR="00BB3FE6" w:rsidRPr="00B37FD0" w:rsidRDefault="00C35455" w:rsidP="00DB4615">
            <w:pPr>
              <w:rPr>
                <w:rFonts w:cstheme="minorHAnsi"/>
              </w:rPr>
            </w:pPr>
            <w:r>
              <w:rPr>
                <w:rFonts w:cstheme="minorHAnsi"/>
              </w:rPr>
              <w:t>2</w:t>
            </w:r>
            <w:r w:rsidR="001E0126">
              <w:rPr>
                <w:rFonts w:cstheme="minorHAnsi"/>
              </w:rPr>
              <w:t>36</w:t>
            </w:r>
          </w:p>
        </w:tc>
        <w:tc>
          <w:tcPr>
            <w:tcW w:w="3226" w:type="dxa"/>
          </w:tcPr>
          <w:p w14:paraId="035B4A37" w14:textId="77777777" w:rsidR="005D30D9" w:rsidRDefault="00A53585" w:rsidP="00DB4615">
            <w:pPr>
              <w:rPr>
                <w:rFonts w:cstheme="minorHAnsi"/>
              </w:rPr>
            </w:pPr>
            <w:r>
              <w:rPr>
                <w:rFonts w:cstheme="minorHAnsi"/>
              </w:rPr>
              <w:t>15.8</w:t>
            </w:r>
            <w:r w:rsidR="00E94014">
              <w:rPr>
                <w:rFonts w:cstheme="minorHAnsi"/>
              </w:rPr>
              <w:t>2</w:t>
            </w:r>
            <w:r>
              <w:rPr>
                <w:rFonts w:cstheme="minorHAnsi"/>
              </w:rPr>
              <w:t xml:space="preserve">% </w:t>
            </w:r>
          </w:p>
          <w:p w14:paraId="05048332" w14:textId="3533FF0A" w:rsidR="00BB3FE6" w:rsidRPr="00B37FD0" w:rsidRDefault="00EB2E5F" w:rsidP="00DB4615">
            <w:pPr>
              <w:rPr>
                <w:rFonts w:cstheme="minorHAnsi"/>
              </w:rPr>
            </w:pPr>
            <w:r>
              <w:rPr>
                <w:rFonts w:cstheme="minorHAnsi"/>
              </w:rPr>
              <w:t>(</w:t>
            </w:r>
            <w:r w:rsidR="00C35455">
              <w:rPr>
                <w:rFonts w:cstheme="minorHAnsi"/>
              </w:rPr>
              <w:t>16.68%</w:t>
            </w:r>
            <w:r>
              <w:rPr>
                <w:rFonts w:cstheme="minorHAnsi"/>
              </w:rPr>
              <w:t xml:space="preserve"> </w:t>
            </w:r>
            <w:r w:rsidR="004F3E04">
              <w:rPr>
                <w:rFonts w:cstheme="minorHAnsi"/>
              </w:rPr>
              <w:t xml:space="preserve">in </w:t>
            </w:r>
            <w:r>
              <w:rPr>
                <w:rFonts w:cstheme="minorHAnsi"/>
              </w:rPr>
              <w:t xml:space="preserve">2022, </w:t>
            </w:r>
            <w:r w:rsidR="00BB3FE6" w:rsidRPr="00B37FD0">
              <w:rPr>
                <w:rFonts w:cstheme="minorHAnsi"/>
              </w:rPr>
              <w:t>15.65%</w:t>
            </w:r>
            <w:r w:rsidR="00C35455">
              <w:rPr>
                <w:rFonts w:cstheme="minorHAnsi"/>
              </w:rPr>
              <w:t xml:space="preserve"> </w:t>
            </w:r>
            <w:r w:rsidR="004F3E04">
              <w:rPr>
                <w:rFonts w:cstheme="minorHAnsi"/>
              </w:rPr>
              <w:t>in</w:t>
            </w:r>
            <w:r w:rsidR="005D30D9">
              <w:rPr>
                <w:rFonts w:cstheme="minorHAnsi"/>
              </w:rPr>
              <w:t xml:space="preserve"> </w:t>
            </w:r>
            <w:r w:rsidR="003F58B2">
              <w:rPr>
                <w:rFonts w:cstheme="minorHAnsi"/>
              </w:rPr>
              <w:t>2</w:t>
            </w:r>
            <w:r w:rsidR="00C35455">
              <w:rPr>
                <w:rFonts w:cstheme="minorHAnsi"/>
              </w:rPr>
              <w:t>021</w:t>
            </w:r>
            <w:r w:rsidR="003F58B2">
              <w:rPr>
                <w:rFonts w:cstheme="minorHAnsi"/>
              </w:rPr>
              <w:t>)</w:t>
            </w:r>
          </w:p>
        </w:tc>
      </w:tr>
      <w:tr w:rsidR="00BB3FE6" w:rsidRPr="00BB3FE6" w14:paraId="7E132C8F" w14:textId="77777777" w:rsidTr="00DB4615">
        <w:tc>
          <w:tcPr>
            <w:tcW w:w="3123" w:type="dxa"/>
          </w:tcPr>
          <w:p w14:paraId="70F2250B" w14:textId="77777777" w:rsidR="00BB3FE6" w:rsidRPr="00B37FD0" w:rsidRDefault="00BB3FE6" w:rsidP="00DB4615">
            <w:pPr>
              <w:rPr>
                <w:rFonts w:cstheme="minorHAnsi"/>
                <w:b/>
              </w:rPr>
            </w:pPr>
            <w:r w:rsidRPr="00B37FD0">
              <w:rPr>
                <w:rFonts w:cstheme="minorHAnsi"/>
                <w:b/>
              </w:rPr>
              <w:t>Total</w:t>
            </w:r>
          </w:p>
        </w:tc>
        <w:tc>
          <w:tcPr>
            <w:tcW w:w="2667" w:type="dxa"/>
          </w:tcPr>
          <w:p w14:paraId="14840DC3" w14:textId="3E2298A8" w:rsidR="00BB3FE6" w:rsidRPr="00B37FD0" w:rsidRDefault="00C35455" w:rsidP="00DB4615">
            <w:pPr>
              <w:rPr>
                <w:rFonts w:cstheme="minorHAnsi"/>
                <w:b/>
              </w:rPr>
            </w:pPr>
            <w:r>
              <w:rPr>
                <w:rFonts w:cstheme="minorHAnsi"/>
                <w:b/>
              </w:rPr>
              <w:t>1</w:t>
            </w:r>
            <w:r w:rsidR="007D569E">
              <w:rPr>
                <w:rFonts w:cstheme="minorHAnsi"/>
                <w:b/>
              </w:rPr>
              <w:t>492</w:t>
            </w:r>
          </w:p>
        </w:tc>
        <w:tc>
          <w:tcPr>
            <w:tcW w:w="3226" w:type="dxa"/>
          </w:tcPr>
          <w:p w14:paraId="2910A192" w14:textId="77777777" w:rsidR="00BB3FE6" w:rsidRPr="00B37FD0" w:rsidRDefault="00BB3FE6" w:rsidP="00DB4615">
            <w:pPr>
              <w:rPr>
                <w:rFonts w:cstheme="minorHAnsi"/>
                <w:b/>
              </w:rPr>
            </w:pPr>
            <w:r w:rsidRPr="00B37FD0">
              <w:rPr>
                <w:rFonts w:cstheme="minorHAnsi"/>
                <w:b/>
              </w:rPr>
              <w:t>100%</w:t>
            </w:r>
          </w:p>
        </w:tc>
      </w:tr>
    </w:tbl>
    <w:p w14:paraId="6C772598" w14:textId="79672AB4" w:rsidR="00BB3FE6" w:rsidRDefault="00BB3FE6">
      <w:pPr>
        <w:rPr>
          <w:rFonts w:cstheme="minorHAnsi"/>
        </w:rPr>
      </w:pPr>
    </w:p>
    <w:tbl>
      <w:tblPr>
        <w:tblStyle w:val="TableGrid"/>
        <w:tblW w:w="0" w:type="auto"/>
        <w:tblLook w:val="04A0" w:firstRow="1" w:lastRow="0" w:firstColumn="1" w:lastColumn="0" w:noHBand="0" w:noVBand="1"/>
      </w:tblPr>
      <w:tblGrid>
        <w:gridCol w:w="2268"/>
        <w:gridCol w:w="2835"/>
        <w:gridCol w:w="2035"/>
        <w:gridCol w:w="1878"/>
      </w:tblGrid>
      <w:tr w:rsidR="00B73570" w14:paraId="4839CAC2" w14:textId="77777777" w:rsidTr="00844AEE">
        <w:tc>
          <w:tcPr>
            <w:tcW w:w="2268" w:type="dxa"/>
            <w:tcBorders>
              <w:top w:val="nil"/>
              <w:left w:val="nil"/>
              <w:bottom w:val="nil"/>
              <w:right w:val="single" w:sz="4" w:space="0" w:color="auto"/>
            </w:tcBorders>
            <w:shd w:val="clear" w:color="auto" w:fill="auto"/>
          </w:tcPr>
          <w:p w14:paraId="239F8A2E" w14:textId="77777777" w:rsidR="00B73570" w:rsidRPr="00D42DCA" w:rsidRDefault="00B73570" w:rsidP="00550A71">
            <w:pPr>
              <w:rPr>
                <w:rFonts w:cstheme="minorHAnsi"/>
              </w:rPr>
            </w:pPr>
          </w:p>
        </w:tc>
        <w:tc>
          <w:tcPr>
            <w:tcW w:w="2835" w:type="dxa"/>
            <w:vMerge w:val="restart"/>
            <w:tcBorders>
              <w:left w:val="single" w:sz="4" w:space="0" w:color="auto"/>
            </w:tcBorders>
            <w:shd w:val="clear" w:color="auto" w:fill="auto"/>
          </w:tcPr>
          <w:p w14:paraId="43449A41" w14:textId="77777777" w:rsidR="00B73570" w:rsidRDefault="00B73570" w:rsidP="00550A71">
            <w:pPr>
              <w:rPr>
                <w:rFonts w:cstheme="minorHAnsi"/>
                <w:b/>
              </w:rPr>
            </w:pPr>
            <w:r w:rsidRPr="00D42DCA">
              <w:rPr>
                <w:rFonts w:cstheme="minorHAnsi"/>
                <w:b/>
              </w:rPr>
              <w:t>P</w:t>
            </w:r>
            <w:r>
              <w:rPr>
                <w:rFonts w:cstheme="minorHAnsi"/>
                <w:b/>
              </w:rPr>
              <w:t>ercentage of W</w:t>
            </w:r>
            <w:r w:rsidRPr="00D42DCA">
              <w:rPr>
                <w:rFonts w:cstheme="minorHAnsi"/>
                <w:b/>
              </w:rPr>
              <w:t>orkforce</w:t>
            </w:r>
          </w:p>
          <w:p w14:paraId="3A84CBDF" w14:textId="59E0D88B" w:rsidR="00844AEE" w:rsidRPr="00D42DCA" w:rsidRDefault="00844AEE" w:rsidP="00550A71">
            <w:pPr>
              <w:rPr>
                <w:rFonts w:cstheme="minorHAnsi"/>
                <w:b/>
              </w:rPr>
            </w:pPr>
            <w:r>
              <w:rPr>
                <w:rFonts w:cstheme="minorHAnsi"/>
                <w:b/>
              </w:rPr>
              <w:t>(1703 separate assignments)</w:t>
            </w:r>
          </w:p>
        </w:tc>
        <w:tc>
          <w:tcPr>
            <w:tcW w:w="3913" w:type="dxa"/>
            <w:gridSpan w:val="2"/>
          </w:tcPr>
          <w:p w14:paraId="138DF697" w14:textId="77777777" w:rsidR="00B73570" w:rsidRDefault="00B73570" w:rsidP="00550A71">
            <w:pPr>
              <w:jc w:val="center"/>
              <w:rPr>
                <w:rFonts w:cstheme="minorHAnsi"/>
                <w:b/>
              </w:rPr>
            </w:pPr>
            <w:r>
              <w:rPr>
                <w:rFonts w:cstheme="minorHAnsi"/>
                <w:b/>
              </w:rPr>
              <w:t>Percentage of Total Workforce</w:t>
            </w:r>
          </w:p>
        </w:tc>
      </w:tr>
      <w:tr w:rsidR="00B73570" w:rsidRPr="00D42DCA" w14:paraId="0502173D" w14:textId="77777777" w:rsidTr="00844AEE">
        <w:tc>
          <w:tcPr>
            <w:tcW w:w="2268" w:type="dxa"/>
            <w:tcBorders>
              <w:top w:val="nil"/>
              <w:left w:val="nil"/>
              <w:bottom w:val="single" w:sz="4" w:space="0" w:color="auto"/>
              <w:right w:val="single" w:sz="4" w:space="0" w:color="auto"/>
            </w:tcBorders>
            <w:shd w:val="clear" w:color="auto" w:fill="auto"/>
          </w:tcPr>
          <w:p w14:paraId="6C244E63" w14:textId="77777777" w:rsidR="00B73570" w:rsidRPr="00D42DCA" w:rsidRDefault="00B73570" w:rsidP="00550A71">
            <w:pPr>
              <w:rPr>
                <w:rFonts w:cstheme="minorHAnsi"/>
                <w:b/>
              </w:rPr>
            </w:pPr>
          </w:p>
        </w:tc>
        <w:tc>
          <w:tcPr>
            <w:tcW w:w="2835" w:type="dxa"/>
            <w:vMerge/>
            <w:tcBorders>
              <w:left w:val="single" w:sz="4" w:space="0" w:color="auto"/>
            </w:tcBorders>
            <w:shd w:val="clear" w:color="auto" w:fill="auto"/>
          </w:tcPr>
          <w:p w14:paraId="47E02AF8" w14:textId="77777777" w:rsidR="00B73570" w:rsidRDefault="00B73570" w:rsidP="00550A71">
            <w:pPr>
              <w:rPr>
                <w:rFonts w:cstheme="minorHAnsi"/>
              </w:rPr>
            </w:pPr>
          </w:p>
        </w:tc>
        <w:tc>
          <w:tcPr>
            <w:tcW w:w="2035" w:type="dxa"/>
          </w:tcPr>
          <w:p w14:paraId="7DDD416F" w14:textId="77777777" w:rsidR="00B73570" w:rsidRPr="00D42DCA" w:rsidRDefault="00B73570" w:rsidP="00550A71">
            <w:pPr>
              <w:rPr>
                <w:rFonts w:cstheme="minorHAnsi"/>
                <w:b/>
              </w:rPr>
            </w:pPr>
            <w:r w:rsidRPr="00D42DCA">
              <w:rPr>
                <w:rFonts w:cstheme="minorHAnsi"/>
                <w:b/>
              </w:rPr>
              <w:t>Females</w:t>
            </w:r>
          </w:p>
        </w:tc>
        <w:tc>
          <w:tcPr>
            <w:tcW w:w="1878" w:type="dxa"/>
          </w:tcPr>
          <w:p w14:paraId="2C243B42" w14:textId="77777777" w:rsidR="00B73570" w:rsidRPr="00D42DCA" w:rsidRDefault="00B73570" w:rsidP="00550A71">
            <w:pPr>
              <w:rPr>
                <w:rFonts w:cstheme="minorHAnsi"/>
                <w:b/>
              </w:rPr>
            </w:pPr>
            <w:r w:rsidRPr="00D42DCA">
              <w:rPr>
                <w:rFonts w:cstheme="minorHAnsi"/>
                <w:b/>
              </w:rPr>
              <w:t>Males</w:t>
            </w:r>
          </w:p>
        </w:tc>
      </w:tr>
      <w:tr w:rsidR="00B73570" w14:paraId="2D4BA970" w14:textId="77777777" w:rsidTr="00844AEE">
        <w:tc>
          <w:tcPr>
            <w:tcW w:w="2268" w:type="dxa"/>
            <w:tcBorders>
              <w:top w:val="single" w:sz="4" w:space="0" w:color="auto"/>
            </w:tcBorders>
          </w:tcPr>
          <w:p w14:paraId="3C4244D8" w14:textId="77777777" w:rsidR="00B73570" w:rsidRPr="00D42DCA" w:rsidRDefault="00B73570" w:rsidP="00550A71">
            <w:pPr>
              <w:rPr>
                <w:rFonts w:cstheme="minorHAnsi"/>
                <w:b/>
              </w:rPr>
            </w:pPr>
            <w:r w:rsidRPr="00D42DCA">
              <w:rPr>
                <w:rFonts w:cstheme="minorHAnsi"/>
                <w:b/>
              </w:rPr>
              <w:t>Support</w:t>
            </w:r>
          </w:p>
        </w:tc>
        <w:tc>
          <w:tcPr>
            <w:tcW w:w="2835" w:type="dxa"/>
          </w:tcPr>
          <w:p w14:paraId="3A4DCF19" w14:textId="77777777" w:rsidR="007A3D6B" w:rsidRDefault="004D300B" w:rsidP="00550A71">
            <w:pPr>
              <w:rPr>
                <w:rFonts w:cstheme="minorHAnsi"/>
              </w:rPr>
            </w:pPr>
            <w:r>
              <w:rPr>
                <w:rFonts w:cstheme="minorHAnsi"/>
              </w:rPr>
              <w:t xml:space="preserve">65.18% </w:t>
            </w:r>
          </w:p>
          <w:p w14:paraId="5557E976" w14:textId="6DBE5849" w:rsidR="00B73570" w:rsidRDefault="004D300B" w:rsidP="00550A71">
            <w:pPr>
              <w:rPr>
                <w:rFonts w:cstheme="minorHAnsi"/>
              </w:rPr>
            </w:pPr>
            <w:r>
              <w:rPr>
                <w:rFonts w:cstheme="minorHAnsi"/>
              </w:rPr>
              <w:t>(</w:t>
            </w:r>
            <w:r w:rsidR="00B73570">
              <w:rPr>
                <w:rFonts w:cstheme="minorHAnsi"/>
              </w:rPr>
              <w:t>64.72%</w:t>
            </w:r>
            <w:r>
              <w:rPr>
                <w:rFonts w:cstheme="minorHAnsi"/>
              </w:rPr>
              <w:t xml:space="preserve"> in 2022)</w:t>
            </w:r>
          </w:p>
        </w:tc>
        <w:tc>
          <w:tcPr>
            <w:tcW w:w="2035" w:type="dxa"/>
          </w:tcPr>
          <w:p w14:paraId="48EE018D" w14:textId="77777777" w:rsidR="007A3D6B" w:rsidRDefault="003434CE" w:rsidP="00550A71">
            <w:pPr>
              <w:rPr>
                <w:rFonts w:cstheme="minorHAnsi"/>
              </w:rPr>
            </w:pPr>
            <w:r>
              <w:rPr>
                <w:rFonts w:cstheme="minorHAnsi"/>
              </w:rPr>
              <w:t xml:space="preserve">57.9% </w:t>
            </w:r>
          </w:p>
          <w:p w14:paraId="28A4294A" w14:textId="131287BC" w:rsidR="00B73570" w:rsidRDefault="003434CE" w:rsidP="00550A71">
            <w:pPr>
              <w:rPr>
                <w:rFonts w:cstheme="minorHAnsi"/>
              </w:rPr>
            </w:pPr>
            <w:r>
              <w:rPr>
                <w:rFonts w:cstheme="minorHAnsi"/>
              </w:rPr>
              <w:t>(</w:t>
            </w:r>
            <w:r w:rsidR="00B73570">
              <w:rPr>
                <w:rFonts w:cstheme="minorHAnsi"/>
              </w:rPr>
              <w:t>57.21%</w:t>
            </w:r>
            <w:r>
              <w:rPr>
                <w:rFonts w:cstheme="minorHAnsi"/>
              </w:rPr>
              <w:t xml:space="preserve"> in 2022)</w:t>
            </w:r>
          </w:p>
        </w:tc>
        <w:tc>
          <w:tcPr>
            <w:tcW w:w="1878" w:type="dxa"/>
          </w:tcPr>
          <w:p w14:paraId="7A470EDF" w14:textId="77777777" w:rsidR="007A3D6B" w:rsidRDefault="007A3D6B" w:rsidP="00550A71">
            <w:pPr>
              <w:rPr>
                <w:rFonts w:cstheme="minorHAnsi"/>
              </w:rPr>
            </w:pPr>
            <w:r>
              <w:rPr>
                <w:rFonts w:cstheme="minorHAnsi"/>
              </w:rPr>
              <w:t xml:space="preserve">7.22% </w:t>
            </w:r>
          </w:p>
          <w:p w14:paraId="3CD0B20E" w14:textId="5682FD95" w:rsidR="00B73570" w:rsidRDefault="007A3D6B" w:rsidP="00550A71">
            <w:pPr>
              <w:rPr>
                <w:rFonts w:cstheme="minorHAnsi"/>
              </w:rPr>
            </w:pPr>
            <w:r>
              <w:rPr>
                <w:rFonts w:cstheme="minorHAnsi"/>
              </w:rPr>
              <w:t>(</w:t>
            </w:r>
            <w:r w:rsidR="00B73570">
              <w:rPr>
                <w:rFonts w:cstheme="minorHAnsi"/>
              </w:rPr>
              <w:t>7.52%</w:t>
            </w:r>
            <w:r>
              <w:rPr>
                <w:rFonts w:cstheme="minorHAnsi"/>
              </w:rPr>
              <w:t xml:space="preserve"> in 2022)</w:t>
            </w:r>
          </w:p>
        </w:tc>
      </w:tr>
      <w:tr w:rsidR="00B73570" w14:paraId="6465EDCA" w14:textId="77777777" w:rsidTr="00844AEE">
        <w:tc>
          <w:tcPr>
            <w:tcW w:w="2268" w:type="dxa"/>
          </w:tcPr>
          <w:p w14:paraId="4AB00C2C" w14:textId="77777777" w:rsidR="00B73570" w:rsidRPr="00D42DCA" w:rsidRDefault="00B73570" w:rsidP="00550A71">
            <w:pPr>
              <w:rPr>
                <w:rFonts w:cstheme="minorHAnsi"/>
                <w:b/>
              </w:rPr>
            </w:pPr>
            <w:r w:rsidRPr="00D42DCA">
              <w:rPr>
                <w:rFonts w:cstheme="minorHAnsi"/>
                <w:b/>
              </w:rPr>
              <w:t>Teachers</w:t>
            </w:r>
          </w:p>
        </w:tc>
        <w:tc>
          <w:tcPr>
            <w:tcW w:w="2835" w:type="dxa"/>
          </w:tcPr>
          <w:p w14:paraId="5589FA01" w14:textId="77777777" w:rsidR="00566911" w:rsidRDefault="00F20563" w:rsidP="00550A71">
            <w:pPr>
              <w:rPr>
                <w:rFonts w:cstheme="minorHAnsi"/>
              </w:rPr>
            </w:pPr>
            <w:r>
              <w:rPr>
                <w:rFonts w:cstheme="minorHAnsi"/>
              </w:rPr>
              <w:t xml:space="preserve">29.65% </w:t>
            </w:r>
          </w:p>
          <w:p w14:paraId="5ECFCFB2" w14:textId="4398BCA6" w:rsidR="00B73570" w:rsidRDefault="00F20563" w:rsidP="00550A71">
            <w:pPr>
              <w:rPr>
                <w:rFonts w:cstheme="minorHAnsi"/>
              </w:rPr>
            </w:pPr>
            <w:r>
              <w:rPr>
                <w:rFonts w:cstheme="minorHAnsi"/>
              </w:rPr>
              <w:t>(</w:t>
            </w:r>
            <w:r w:rsidR="00B73570">
              <w:rPr>
                <w:rFonts w:cstheme="minorHAnsi"/>
              </w:rPr>
              <w:t>30.14%</w:t>
            </w:r>
            <w:r>
              <w:rPr>
                <w:rFonts w:cstheme="minorHAnsi"/>
              </w:rPr>
              <w:t xml:space="preserve"> in 2022)</w:t>
            </w:r>
          </w:p>
        </w:tc>
        <w:tc>
          <w:tcPr>
            <w:tcW w:w="2035" w:type="dxa"/>
          </w:tcPr>
          <w:p w14:paraId="6C712744" w14:textId="77777777" w:rsidR="00877F3F" w:rsidRDefault="00877F3F" w:rsidP="00550A71">
            <w:pPr>
              <w:rPr>
                <w:rFonts w:cstheme="minorHAnsi"/>
              </w:rPr>
            </w:pPr>
            <w:r>
              <w:rPr>
                <w:rFonts w:cstheme="minorHAnsi"/>
              </w:rPr>
              <w:t xml:space="preserve">23.31% </w:t>
            </w:r>
          </w:p>
          <w:p w14:paraId="655FC617" w14:textId="484927E3" w:rsidR="00B73570" w:rsidRDefault="00877F3F" w:rsidP="00550A71">
            <w:pPr>
              <w:rPr>
                <w:rFonts w:cstheme="minorHAnsi"/>
              </w:rPr>
            </w:pPr>
            <w:r>
              <w:rPr>
                <w:rFonts w:cstheme="minorHAnsi"/>
              </w:rPr>
              <w:t>(</w:t>
            </w:r>
            <w:r w:rsidR="00B73570">
              <w:rPr>
                <w:rFonts w:cstheme="minorHAnsi"/>
              </w:rPr>
              <w:t>23.43%</w:t>
            </w:r>
            <w:r>
              <w:rPr>
                <w:rFonts w:cstheme="minorHAnsi"/>
              </w:rPr>
              <w:t xml:space="preserve"> in 2022)</w:t>
            </w:r>
          </w:p>
        </w:tc>
        <w:tc>
          <w:tcPr>
            <w:tcW w:w="1878" w:type="dxa"/>
          </w:tcPr>
          <w:p w14:paraId="51CCBDD5" w14:textId="77777777" w:rsidR="00853B40" w:rsidRDefault="00853B40" w:rsidP="00550A71">
            <w:pPr>
              <w:rPr>
                <w:rFonts w:cstheme="minorHAnsi"/>
              </w:rPr>
            </w:pPr>
            <w:r>
              <w:rPr>
                <w:rFonts w:cstheme="minorHAnsi"/>
              </w:rPr>
              <w:t>6.34%</w:t>
            </w:r>
          </w:p>
          <w:p w14:paraId="263F45CF" w14:textId="76974FDB" w:rsidR="00B73570" w:rsidRDefault="00853B40" w:rsidP="00550A71">
            <w:pPr>
              <w:rPr>
                <w:rFonts w:cstheme="minorHAnsi"/>
              </w:rPr>
            </w:pPr>
            <w:r>
              <w:rPr>
                <w:rFonts w:cstheme="minorHAnsi"/>
              </w:rPr>
              <w:t>(</w:t>
            </w:r>
            <w:r w:rsidR="00B73570">
              <w:rPr>
                <w:rFonts w:cstheme="minorHAnsi"/>
              </w:rPr>
              <w:t>6.70%</w:t>
            </w:r>
            <w:r>
              <w:rPr>
                <w:rFonts w:cstheme="minorHAnsi"/>
              </w:rPr>
              <w:t xml:space="preserve"> in 2022)</w:t>
            </w:r>
          </w:p>
        </w:tc>
      </w:tr>
      <w:tr w:rsidR="00B73570" w14:paraId="60D2AF11" w14:textId="77777777" w:rsidTr="00844AEE">
        <w:tc>
          <w:tcPr>
            <w:tcW w:w="2268" w:type="dxa"/>
          </w:tcPr>
          <w:p w14:paraId="3560452F" w14:textId="77777777" w:rsidR="00B73570" w:rsidRPr="00D42DCA" w:rsidRDefault="00B73570" w:rsidP="00550A71">
            <w:pPr>
              <w:rPr>
                <w:rFonts w:cstheme="minorHAnsi"/>
                <w:b/>
              </w:rPr>
            </w:pPr>
            <w:r w:rsidRPr="00D42DCA">
              <w:rPr>
                <w:rFonts w:cstheme="minorHAnsi"/>
                <w:b/>
              </w:rPr>
              <w:t>Leadership</w:t>
            </w:r>
            <w:r>
              <w:rPr>
                <w:rFonts w:cstheme="minorHAnsi"/>
                <w:b/>
              </w:rPr>
              <w:t xml:space="preserve"> (Teachers terms and conditions)</w:t>
            </w:r>
          </w:p>
        </w:tc>
        <w:tc>
          <w:tcPr>
            <w:tcW w:w="2835" w:type="dxa"/>
          </w:tcPr>
          <w:p w14:paraId="6180518C" w14:textId="77777777" w:rsidR="004F3E04" w:rsidRDefault="00F20563" w:rsidP="00550A71">
            <w:pPr>
              <w:rPr>
                <w:rFonts w:cstheme="minorHAnsi"/>
              </w:rPr>
            </w:pPr>
            <w:r>
              <w:rPr>
                <w:rFonts w:cstheme="minorHAnsi"/>
              </w:rPr>
              <w:t xml:space="preserve">5.17% </w:t>
            </w:r>
          </w:p>
          <w:p w14:paraId="494AFE01" w14:textId="72B9EB2F" w:rsidR="00B73570" w:rsidRDefault="00F20563" w:rsidP="00550A71">
            <w:pPr>
              <w:rPr>
                <w:rFonts w:cstheme="minorHAnsi"/>
              </w:rPr>
            </w:pPr>
            <w:r>
              <w:rPr>
                <w:rFonts w:cstheme="minorHAnsi"/>
              </w:rPr>
              <w:t>(</w:t>
            </w:r>
            <w:r w:rsidR="00B73570">
              <w:rPr>
                <w:rFonts w:cstheme="minorHAnsi"/>
              </w:rPr>
              <w:t>5.14%</w:t>
            </w:r>
            <w:r>
              <w:rPr>
                <w:rFonts w:cstheme="minorHAnsi"/>
              </w:rPr>
              <w:t xml:space="preserve"> in 2022)</w:t>
            </w:r>
          </w:p>
        </w:tc>
        <w:tc>
          <w:tcPr>
            <w:tcW w:w="2035" w:type="dxa"/>
          </w:tcPr>
          <w:p w14:paraId="3662CE3C" w14:textId="77777777" w:rsidR="009C478F" w:rsidRDefault="009C478F" w:rsidP="00550A71">
            <w:pPr>
              <w:rPr>
                <w:rFonts w:cstheme="minorHAnsi"/>
              </w:rPr>
            </w:pPr>
            <w:r>
              <w:rPr>
                <w:rFonts w:cstheme="minorHAnsi"/>
              </w:rPr>
              <w:t xml:space="preserve">3.76% </w:t>
            </w:r>
          </w:p>
          <w:p w14:paraId="5CFF55B6" w14:textId="22AF33CC" w:rsidR="00B73570" w:rsidRDefault="009C478F" w:rsidP="00550A71">
            <w:pPr>
              <w:rPr>
                <w:rFonts w:cstheme="minorHAnsi"/>
              </w:rPr>
            </w:pPr>
            <w:r>
              <w:rPr>
                <w:rFonts w:cstheme="minorHAnsi"/>
              </w:rPr>
              <w:t>(</w:t>
            </w:r>
            <w:r w:rsidR="00B73570">
              <w:rPr>
                <w:rFonts w:cstheme="minorHAnsi"/>
              </w:rPr>
              <w:t>3.82%</w:t>
            </w:r>
            <w:r>
              <w:rPr>
                <w:rFonts w:cstheme="minorHAnsi"/>
              </w:rPr>
              <w:t xml:space="preserve"> in 2022)</w:t>
            </w:r>
          </w:p>
        </w:tc>
        <w:tc>
          <w:tcPr>
            <w:tcW w:w="1878" w:type="dxa"/>
          </w:tcPr>
          <w:p w14:paraId="0F45DE5A" w14:textId="77777777" w:rsidR="00844AEE" w:rsidRDefault="00844AEE" w:rsidP="00550A71">
            <w:pPr>
              <w:rPr>
                <w:rFonts w:cstheme="minorHAnsi"/>
              </w:rPr>
            </w:pPr>
            <w:r>
              <w:rPr>
                <w:rFonts w:cstheme="minorHAnsi"/>
              </w:rPr>
              <w:t>1.41%</w:t>
            </w:r>
          </w:p>
          <w:p w14:paraId="4A880FCB" w14:textId="635DF1FF" w:rsidR="00B73570" w:rsidRDefault="00844AEE" w:rsidP="00550A71">
            <w:pPr>
              <w:rPr>
                <w:rFonts w:cstheme="minorHAnsi"/>
              </w:rPr>
            </w:pPr>
            <w:r>
              <w:rPr>
                <w:rFonts w:cstheme="minorHAnsi"/>
              </w:rPr>
              <w:t>(</w:t>
            </w:r>
            <w:r w:rsidR="00B73570">
              <w:rPr>
                <w:rFonts w:cstheme="minorHAnsi"/>
              </w:rPr>
              <w:t>1.32%</w:t>
            </w:r>
            <w:r>
              <w:rPr>
                <w:rFonts w:cstheme="minorHAnsi"/>
              </w:rPr>
              <w:t xml:space="preserve"> in 2022)</w:t>
            </w:r>
          </w:p>
        </w:tc>
      </w:tr>
    </w:tbl>
    <w:p w14:paraId="15222C82" w14:textId="77777777" w:rsidR="004F3E04" w:rsidRDefault="004F3E04">
      <w:pPr>
        <w:rPr>
          <w:rFonts w:cstheme="minorHAnsi"/>
          <w:b/>
        </w:rPr>
      </w:pPr>
    </w:p>
    <w:p w14:paraId="6666E5BF" w14:textId="77777777" w:rsidR="004F3E04" w:rsidRDefault="004F3E04">
      <w:pPr>
        <w:rPr>
          <w:rFonts w:cstheme="minorHAnsi"/>
          <w:b/>
        </w:rPr>
      </w:pPr>
      <w:r>
        <w:rPr>
          <w:rFonts w:cstheme="minorHAnsi"/>
          <w:b/>
        </w:rPr>
        <w:br w:type="page"/>
      </w:r>
    </w:p>
    <w:p w14:paraId="147AD12D" w14:textId="5B12417B" w:rsidR="00BB3FE6" w:rsidRPr="009D3B79" w:rsidRDefault="00BB3FE6">
      <w:pPr>
        <w:rPr>
          <w:rFonts w:cstheme="minorHAnsi"/>
          <w:b/>
        </w:rPr>
      </w:pPr>
      <w:r w:rsidRPr="009D3B79">
        <w:rPr>
          <w:rFonts w:cstheme="minorHAnsi"/>
          <w:b/>
        </w:rPr>
        <w:lastRenderedPageBreak/>
        <w:t>Median and Mean Hourly Rates</w:t>
      </w:r>
    </w:p>
    <w:p w14:paraId="79F5CDD0" w14:textId="74F6EDD0" w:rsidR="007213F3" w:rsidRDefault="007213F3">
      <w:pPr>
        <w:rPr>
          <w:rFonts w:cstheme="minorHAnsi"/>
        </w:rPr>
      </w:pPr>
      <w:r w:rsidRPr="009D3B79">
        <w:rPr>
          <w:rFonts w:cstheme="minorHAnsi"/>
        </w:rPr>
        <w:t>The</w:t>
      </w:r>
      <w:r w:rsidR="00BB3FE6">
        <w:rPr>
          <w:rFonts w:cstheme="minorHAnsi"/>
        </w:rPr>
        <w:t xml:space="preserve"> data relating to the median and mean hourly rates by gender and the overall percentage gaps by gender is shown below: </w:t>
      </w:r>
    </w:p>
    <w:p w14:paraId="21D58C2A" w14:textId="19B1F345" w:rsidR="0041191A" w:rsidRPr="0041191A" w:rsidRDefault="0041191A">
      <w:pPr>
        <w:rPr>
          <w:rFonts w:cstheme="minorHAnsi"/>
          <w:b/>
          <w:bCs/>
        </w:rPr>
      </w:pPr>
      <w:r w:rsidRPr="0041191A">
        <w:rPr>
          <w:rFonts w:cstheme="minorHAnsi"/>
          <w:b/>
          <w:bCs/>
        </w:rPr>
        <w:t>2023 data</w:t>
      </w:r>
    </w:p>
    <w:tbl>
      <w:tblPr>
        <w:tblStyle w:val="TableGrid"/>
        <w:tblW w:w="9067" w:type="dxa"/>
        <w:tblLook w:val="04A0" w:firstRow="1" w:lastRow="0" w:firstColumn="1" w:lastColumn="0" w:noHBand="0" w:noVBand="1"/>
      </w:tblPr>
      <w:tblGrid>
        <w:gridCol w:w="1271"/>
        <w:gridCol w:w="3119"/>
        <w:gridCol w:w="1417"/>
        <w:gridCol w:w="3260"/>
      </w:tblGrid>
      <w:tr w:rsidR="0041191A" w:rsidRPr="00501D91" w14:paraId="4451ACB5" w14:textId="77777777" w:rsidTr="0012289A">
        <w:trPr>
          <w:trHeight w:val="199"/>
        </w:trPr>
        <w:tc>
          <w:tcPr>
            <w:tcW w:w="1271" w:type="dxa"/>
            <w:shd w:val="clear" w:color="auto" w:fill="D9D9D9" w:themeFill="background1" w:themeFillShade="D9"/>
          </w:tcPr>
          <w:p w14:paraId="36B04D73" w14:textId="77777777" w:rsidR="0041191A" w:rsidRPr="009D3B79" w:rsidRDefault="0041191A" w:rsidP="005F64B3">
            <w:pPr>
              <w:rPr>
                <w:rFonts w:cstheme="minorHAnsi"/>
                <w:b/>
              </w:rPr>
            </w:pPr>
          </w:p>
        </w:tc>
        <w:tc>
          <w:tcPr>
            <w:tcW w:w="3119" w:type="dxa"/>
          </w:tcPr>
          <w:p w14:paraId="249805B4" w14:textId="77777777" w:rsidR="0041191A" w:rsidRPr="009D3B79" w:rsidRDefault="0041191A" w:rsidP="005F64B3">
            <w:pPr>
              <w:rPr>
                <w:rFonts w:cstheme="minorHAnsi"/>
                <w:b/>
              </w:rPr>
            </w:pPr>
            <w:r w:rsidRPr="009D3B79">
              <w:rPr>
                <w:rFonts w:cstheme="minorHAnsi"/>
                <w:b/>
              </w:rPr>
              <w:t>Median Hourly Rate</w:t>
            </w:r>
          </w:p>
        </w:tc>
        <w:tc>
          <w:tcPr>
            <w:tcW w:w="1417" w:type="dxa"/>
            <w:shd w:val="clear" w:color="auto" w:fill="D9D9D9" w:themeFill="background1" w:themeFillShade="D9"/>
          </w:tcPr>
          <w:p w14:paraId="771F8475" w14:textId="77777777" w:rsidR="0041191A" w:rsidRPr="009D3B79" w:rsidRDefault="0041191A" w:rsidP="005F64B3">
            <w:pPr>
              <w:rPr>
                <w:rFonts w:cstheme="minorHAnsi"/>
                <w:b/>
              </w:rPr>
            </w:pPr>
          </w:p>
        </w:tc>
        <w:tc>
          <w:tcPr>
            <w:tcW w:w="3260" w:type="dxa"/>
          </w:tcPr>
          <w:p w14:paraId="0F2973F1" w14:textId="77777777" w:rsidR="0041191A" w:rsidRPr="009D3B79" w:rsidRDefault="0041191A" w:rsidP="005F64B3">
            <w:pPr>
              <w:rPr>
                <w:rFonts w:cstheme="minorHAnsi"/>
                <w:b/>
              </w:rPr>
            </w:pPr>
            <w:r w:rsidRPr="009D3B79">
              <w:rPr>
                <w:rFonts w:cstheme="minorHAnsi"/>
                <w:b/>
              </w:rPr>
              <w:t>Mean Hourly Rate</w:t>
            </w:r>
          </w:p>
        </w:tc>
      </w:tr>
      <w:tr w:rsidR="0041191A" w:rsidRPr="00501D91" w14:paraId="328CF9AA" w14:textId="77777777" w:rsidTr="0012289A">
        <w:trPr>
          <w:trHeight w:val="65"/>
        </w:trPr>
        <w:tc>
          <w:tcPr>
            <w:tcW w:w="1271" w:type="dxa"/>
          </w:tcPr>
          <w:p w14:paraId="0C5B7286" w14:textId="77777777" w:rsidR="0041191A" w:rsidRPr="009D3B79" w:rsidRDefault="0041191A" w:rsidP="005F64B3">
            <w:pPr>
              <w:rPr>
                <w:rFonts w:cstheme="minorHAnsi"/>
                <w:b/>
              </w:rPr>
            </w:pPr>
            <w:r w:rsidRPr="009D3B79">
              <w:rPr>
                <w:rFonts w:cstheme="minorHAnsi"/>
                <w:b/>
              </w:rPr>
              <w:t>Female</w:t>
            </w:r>
          </w:p>
        </w:tc>
        <w:tc>
          <w:tcPr>
            <w:tcW w:w="3119" w:type="dxa"/>
          </w:tcPr>
          <w:p w14:paraId="58445D77" w14:textId="781C9458" w:rsidR="0041191A" w:rsidRDefault="0012289A" w:rsidP="005F64B3">
            <w:pPr>
              <w:rPr>
                <w:rFonts w:ascii="Segoe UI" w:hAnsi="Segoe UI" w:cs="Segoe UI"/>
                <w:color w:val="000000"/>
                <w:sz w:val="20"/>
                <w:szCs w:val="20"/>
              </w:rPr>
            </w:pPr>
            <w:r>
              <w:rPr>
                <w:rFonts w:ascii="Segoe UI" w:hAnsi="Segoe UI" w:cs="Segoe UI"/>
                <w:color w:val="000000"/>
                <w:sz w:val="20"/>
                <w:szCs w:val="20"/>
              </w:rPr>
              <w:t>£12.52</w:t>
            </w:r>
          </w:p>
          <w:p w14:paraId="2B453F32" w14:textId="55F9278A" w:rsidR="0041191A" w:rsidRPr="009D3B79" w:rsidRDefault="0041191A" w:rsidP="005F64B3">
            <w:pPr>
              <w:rPr>
                <w:rFonts w:cstheme="minorHAnsi"/>
              </w:rPr>
            </w:pPr>
            <w:r>
              <w:rPr>
                <w:rFonts w:ascii="Segoe UI" w:hAnsi="Segoe UI" w:cs="Segoe UI"/>
                <w:color w:val="000000"/>
                <w:sz w:val="20"/>
                <w:szCs w:val="20"/>
              </w:rPr>
              <w:t xml:space="preserve">(£13.33 </w:t>
            </w:r>
            <w:r w:rsidR="0012289A">
              <w:rPr>
                <w:rFonts w:ascii="Segoe UI" w:hAnsi="Segoe UI" w:cs="Segoe UI"/>
                <w:color w:val="000000"/>
                <w:sz w:val="20"/>
                <w:szCs w:val="20"/>
              </w:rPr>
              <w:t xml:space="preserve">in </w:t>
            </w:r>
            <w:r>
              <w:rPr>
                <w:rFonts w:ascii="Segoe UI" w:hAnsi="Segoe UI" w:cs="Segoe UI"/>
                <w:color w:val="000000"/>
                <w:sz w:val="20"/>
                <w:szCs w:val="20"/>
              </w:rPr>
              <w:t xml:space="preserve">2022, </w:t>
            </w:r>
            <w:r w:rsidRPr="009D3B79">
              <w:rPr>
                <w:rFonts w:cstheme="minorHAnsi"/>
              </w:rPr>
              <w:t>£11.25</w:t>
            </w:r>
            <w:r>
              <w:rPr>
                <w:rFonts w:cstheme="minorHAnsi"/>
              </w:rPr>
              <w:t xml:space="preserve"> </w:t>
            </w:r>
            <w:r w:rsidR="0012289A">
              <w:rPr>
                <w:rFonts w:cstheme="minorHAnsi"/>
              </w:rPr>
              <w:t xml:space="preserve">in </w:t>
            </w:r>
            <w:r>
              <w:rPr>
                <w:rFonts w:cstheme="minorHAnsi"/>
              </w:rPr>
              <w:t>2021)</w:t>
            </w:r>
          </w:p>
        </w:tc>
        <w:tc>
          <w:tcPr>
            <w:tcW w:w="1417" w:type="dxa"/>
          </w:tcPr>
          <w:p w14:paraId="1A9623B4" w14:textId="77777777" w:rsidR="0041191A" w:rsidRPr="000B6595" w:rsidRDefault="0041191A" w:rsidP="005F64B3">
            <w:pPr>
              <w:rPr>
                <w:rFonts w:ascii="Segoe UI" w:hAnsi="Segoe UI" w:cs="Segoe UI"/>
                <w:b/>
                <w:color w:val="000000"/>
                <w:sz w:val="20"/>
                <w:szCs w:val="20"/>
              </w:rPr>
            </w:pPr>
            <w:r w:rsidRPr="000B6595">
              <w:rPr>
                <w:rFonts w:ascii="Segoe UI" w:hAnsi="Segoe UI" w:cs="Segoe UI"/>
                <w:b/>
                <w:color w:val="000000"/>
                <w:sz w:val="20"/>
                <w:szCs w:val="20"/>
              </w:rPr>
              <w:t>Female</w:t>
            </w:r>
          </w:p>
        </w:tc>
        <w:tc>
          <w:tcPr>
            <w:tcW w:w="3260" w:type="dxa"/>
          </w:tcPr>
          <w:p w14:paraId="2FA3D786" w14:textId="2CDB1557" w:rsidR="007B3D19" w:rsidRDefault="007B3D19" w:rsidP="007B3D19">
            <w:pPr>
              <w:rPr>
                <w:rFonts w:ascii="Segoe UI" w:hAnsi="Segoe UI" w:cs="Segoe UI"/>
                <w:color w:val="000000"/>
                <w:sz w:val="20"/>
                <w:szCs w:val="20"/>
              </w:rPr>
            </w:pPr>
            <w:r>
              <w:rPr>
                <w:rFonts w:ascii="Segoe UI" w:hAnsi="Segoe UI" w:cs="Segoe UI"/>
                <w:color w:val="000000"/>
                <w:sz w:val="20"/>
                <w:szCs w:val="20"/>
              </w:rPr>
              <w:t>£19.13</w:t>
            </w:r>
          </w:p>
          <w:p w14:paraId="0CE46F42" w14:textId="63B0AF9A" w:rsidR="0041191A" w:rsidRPr="009D3B79" w:rsidRDefault="00192A42" w:rsidP="005F64B3">
            <w:pPr>
              <w:rPr>
                <w:rFonts w:cstheme="minorHAnsi"/>
              </w:rPr>
            </w:pPr>
            <w:r>
              <w:rPr>
                <w:rFonts w:ascii="Segoe UI" w:hAnsi="Segoe UI" w:cs="Segoe UI"/>
                <w:color w:val="000000"/>
                <w:sz w:val="20"/>
                <w:szCs w:val="20"/>
              </w:rPr>
              <w:t>(</w:t>
            </w:r>
            <w:r w:rsidR="0041191A">
              <w:rPr>
                <w:rFonts w:ascii="Segoe UI" w:hAnsi="Segoe UI" w:cs="Segoe UI"/>
                <w:color w:val="000000"/>
                <w:sz w:val="20"/>
                <w:szCs w:val="20"/>
              </w:rPr>
              <w:t>£16.23</w:t>
            </w:r>
            <w:r>
              <w:rPr>
                <w:rFonts w:ascii="Segoe UI" w:hAnsi="Segoe UI" w:cs="Segoe UI"/>
                <w:color w:val="000000"/>
                <w:sz w:val="20"/>
                <w:szCs w:val="20"/>
              </w:rPr>
              <w:t xml:space="preserve"> in 2022, </w:t>
            </w:r>
            <w:r w:rsidR="0041191A" w:rsidRPr="009D3B79">
              <w:rPr>
                <w:rFonts w:cstheme="minorHAnsi"/>
              </w:rPr>
              <w:t>£14.78</w:t>
            </w:r>
            <w:r w:rsidR="0041191A">
              <w:rPr>
                <w:rFonts w:cstheme="minorHAnsi"/>
              </w:rPr>
              <w:t xml:space="preserve"> </w:t>
            </w:r>
            <w:r>
              <w:rPr>
                <w:rFonts w:cstheme="minorHAnsi"/>
              </w:rPr>
              <w:t xml:space="preserve">in </w:t>
            </w:r>
            <w:r w:rsidR="0041191A">
              <w:rPr>
                <w:rFonts w:cstheme="minorHAnsi"/>
              </w:rPr>
              <w:t>2021)</w:t>
            </w:r>
          </w:p>
        </w:tc>
      </w:tr>
      <w:tr w:rsidR="0041191A" w:rsidRPr="00501D91" w14:paraId="5DED4067" w14:textId="77777777" w:rsidTr="0012289A">
        <w:trPr>
          <w:trHeight w:val="65"/>
        </w:trPr>
        <w:tc>
          <w:tcPr>
            <w:tcW w:w="1271" w:type="dxa"/>
          </w:tcPr>
          <w:p w14:paraId="6552BB8F" w14:textId="77777777" w:rsidR="0041191A" w:rsidRPr="009D3B79" w:rsidRDefault="0041191A" w:rsidP="005F64B3">
            <w:pPr>
              <w:rPr>
                <w:rFonts w:cstheme="minorHAnsi"/>
                <w:b/>
              </w:rPr>
            </w:pPr>
            <w:r w:rsidRPr="009D3B79">
              <w:rPr>
                <w:rFonts w:cstheme="minorHAnsi"/>
                <w:b/>
              </w:rPr>
              <w:t>Male</w:t>
            </w:r>
          </w:p>
        </w:tc>
        <w:tc>
          <w:tcPr>
            <w:tcW w:w="3119" w:type="dxa"/>
          </w:tcPr>
          <w:p w14:paraId="2D202560" w14:textId="5B618541" w:rsidR="0041191A" w:rsidRDefault="0037782B" w:rsidP="005F64B3">
            <w:pPr>
              <w:rPr>
                <w:rFonts w:ascii="Segoe UI" w:hAnsi="Segoe UI" w:cs="Segoe UI"/>
                <w:color w:val="000000"/>
                <w:sz w:val="20"/>
                <w:szCs w:val="20"/>
              </w:rPr>
            </w:pPr>
            <w:r>
              <w:rPr>
                <w:rFonts w:ascii="Segoe UI" w:hAnsi="Segoe UI" w:cs="Segoe UI"/>
                <w:color w:val="000000"/>
                <w:sz w:val="20"/>
                <w:szCs w:val="20"/>
              </w:rPr>
              <w:t>£17.60</w:t>
            </w:r>
          </w:p>
          <w:p w14:paraId="31F23DC2" w14:textId="45468E05" w:rsidR="0041191A" w:rsidRPr="009D3B79" w:rsidRDefault="0041191A" w:rsidP="005F64B3">
            <w:pPr>
              <w:rPr>
                <w:rFonts w:cstheme="minorHAnsi"/>
              </w:rPr>
            </w:pPr>
            <w:r>
              <w:rPr>
                <w:rFonts w:ascii="Segoe UI" w:hAnsi="Segoe UI" w:cs="Segoe UI"/>
                <w:color w:val="000000"/>
                <w:sz w:val="20"/>
                <w:szCs w:val="20"/>
              </w:rPr>
              <w:t xml:space="preserve">(£17.39 2022, </w:t>
            </w:r>
            <w:r w:rsidRPr="009D3B79">
              <w:rPr>
                <w:rFonts w:cstheme="minorHAnsi"/>
              </w:rPr>
              <w:t>£16.30</w:t>
            </w:r>
            <w:r>
              <w:rPr>
                <w:rFonts w:cstheme="minorHAnsi"/>
              </w:rPr>
              <w:t xml:space="preserve"> 2021)</w:t>
            </w:r>
          </w:p>
        </w:tc>
        <w:tc>
          <w:tcPr>
            <w:tcW w:w="1417" w:type="dxa"/>
          </w:tcPr>
          <w:p w14:paraId="35380907" w14:textId="77777777" w:rsidR="0041191A" w:rsidRPr="000B6595" w:rsidRDefault="0041191A" w:rsidP="005F64B3">
            <w:pPr>
              <w:rPr>
                <w:rFonts w:ascii="Segoe UI" w:hAnsi="Segoe UI" w:cs="Segoe UI"/>
                <w:b/>
                <w:color w:val="000000"/>
                <w:sz w:val="20"/>
                <w:szCs w:val="20"/>
              </w:rPr>
            </w:pPr>
            <w:r w:rsidRPr="000B6595">
              <w:rPr>
                <w:rFonts w:ascii="Segoe UI" w:hAnsi="Segoe UI" w:cs="Segoe UI"/>
                <w:b/>
                <w:color w:val="000000"/>
                <w:sz w:val="20"/>
                <w:szCs w:val="20"/>
              </w:rPr>
              <w:t>Male</w:t>
            </w:r>
          </w:p>
        </w:tc>
        <w:tc>
          <w:tcPr>
            <w:tcW w:w="3260" w:type="dxa"/>
          </w:tcPr>
          <w:p w14:paraId="76B3656D" w14:textId="4630662A" w:rsidR="00E1262C" w:rsidRDefault="00E1262C" w:rsidP="00E1262C">
            <w:pPr>
              <w:rPr>
                <w:rFonts w:ascii="Segoe UI" w:hAnsi="Segoe UI" w:cs="Segoe UI"/>
                <w:color w:val="000000"/>
                <w:sz w:val="20"/>
                <w:szCs w:val="20"/>
              </w:rPr>
            </w:pPr>
            <w:r>
              <w:rPr>
                <w:rFonts w:ascii="Segoe UI" w:hAnsi="Segoe UI" w:cs="Segoe UI"/>
                <w:color w:val="000000"/>
                <w:sz w:val="20"/>
                <w:szCs w:val="20"/>
              </w:rPr>
              <w:t>£20.71</w:t>
            </w:r>
          </w:p>
          <w:p w14:paraId="41BF2B4F" w14:textId="483ED40A" w:rsidR="0041191A" w:rsidRPr="009D3B79" w:rsidRDefault="007B3D19" w:rsidP="005F64B3">
            <w:pPr>
              <w:rPr>
                <w:rFonts w:cstheme="minorHAnsi"/>
              </w:rPr>
            </w:pPr>
            <w:r>
              <w:rPr>
                <w:rFonts w:ascii="Segoe UI" w:hAnsi="Segoe UI" w:cs="Segoe UI"/>
                <w:color w:val="000000"/>
                <w:sz w:val="20"/>
                <w:szCs w:val="20"/>
              </w:rPr>
              <w:t>(</w:t>
            </w:r>
            <w:r w:rsidR="0041191A">
              <w:rPr>
                <w:rFonts w:ascii="Segoe UI" w:hAnsi="Segoe UI" w:cs="Segoe UI"/>
                <w:color w:val="000000"/>
                <w:sz w:val="20"/>
                <w:szCs w:val="20"/>
              </w:rPr>
              <w:t>£20.66</w:t>
            </w:r>
            <w:r>
              <w:rPr>
                <w:rFonts w:ascii="Segoe UI" w:hAnsi="Segoe UI" w:cs="Segoe UI"/>
                <w:color w:val="000000"/>
                <w:sz w:val="20"/>
                <w:szCs w:val="20"/>
              </w:rPr>
              <w:t xml:space="preserve"> in 2022, </w:t>
            </w:r>
            <w:r w:rsidR="0041191A" w:rsidRPr="009D3B79">
              <w:rPr>
                <w:rFonts w:cstheme="minorHAnsi"/>
              </w:rPr>
              <w:t>£19.53</w:t>
            </w:r>
            <w:r w:rsidR="0041191A">
              <w:rPr>
                <w:rFonts w:cstheme="minorHAnsi"/>
              </w:rPr>
              <w:t xml:space="preserve"> </w:t>
            </w:r>
            <w:r>
              <w:rPr>
                <w:rFonts w:cstheme="minorHAnsi"/>
              </w:rPr>
              <w:t xml:space="preserve">in </w:t>
            </w:r>
            <w:r w:rsidR="0041191A">
              <w:rPr>
                <w:rFonts w:cstheme="minorHAnsi"/>
              </w:rPr>
              <w:t>2021)</w:t>
            </w:r>
          </w:p>
        </w:tc>
      </w:tr>
    </w:tbl>
    <w:p w14:paraId="74AD0C2E" w14:textId="77777777" w:rsidR="000B6595" w:rsidRDefault="000B6595">
      <w:pPr>
        <w:rPr>
          <w:rFonts w:cstheme="minorHAnsi"/>
          <w:b/>
        </w:rPr>
      </w:pPr>
    </w:p>
    <w:p w14:paraId="0DE0D401" w14:textId="6C3CBA80" w:rsidR="003D08E5" w:rsidRPr="00863DD1" w:rsidRDefault="003D08E5">
      <w:pPr>
        <w:rPr>
          <w:rFonts w:cstheme="minorHAnsi"/>
          <w:bCs/>
        </w:rPr>
      </w:pPr>
      <w:r w:rsidRPr="00863DD1">
        <w:rPr>
          <w:rFonts w:cstheme="minorHAnsi"/>
          <w:bCs/>
        </w:rPr>
        <w:t>The median gender pay gap is the difference between the middle of the distribution in the hourly earnings of men and women (the middle being when half men/women earn more and half less than the median)</w:t>
      </w:r>
      <w:r w:rsidR="00863DD1">
        <w:rPr>
          <w:rFonts w:cstheme="minorHAnsi"/>
          <w:bCs/>
        </w:rPr>
        <w:t>.</w:t>
      </w:r>
    </w:p>
    <w:p w14:paraId="19B7731E" w14:textId="3FA5BC5E" w:rsidR="0065255A" w:rsidRDefault="0065255A">
      <w:pPr>
        <w:rPr>
          <w:rFonts w:cstheme="minorHAnsi"/>
          <w:bCs/>
        </w:rPr>
      </w:pPr>
      <w:r w:rsidRPr="0065255A">
        <w:rPr>
          <w:rFonts w:cstheme="minorHAnsi"/>
          <w:bCs/>
        </w:rPr>
        <w:t>The mean gender pay gap is the difference between the average hourly earnings of men and women.</w:t>
      </w:r>
    </w:p>
    <w:p w14:paraId="3ACAB5CC" w14:textId="77777777" w:rsidR="00D2129C" w:rsidRPr="009D3B79" w:rsidRDefault="00D2129C" w:rsidP="00D2129C">
      <w:pPr>
        <w:rPr>
          <w:rFonts w:cstheme="minorHAnsi"/>
        </w:rPr>
      </w:pPr>
      <w:r w:rsidRPr="009D3B79">
        <w:rPr>
          <w:rFonts w:cstheme="minorHAnsi"/>
        </w:rPr>
        <w:t xml:space="preserve">The Trust can report </w:t>
      </w:r>
      <w:r>
        <w:rPr>
          <w:rFonts w:cstheme="minorHAnsi"/>
        </w:rPr>
        <w:t xml:space="preserve">an overall </w:t>
      </w:r>
      <w:r w:rsidRPr="009D3B79">
        <w:rPr>
          <w:rFonts w:cstheme="minorHAnsi"/>
        </w:rPr>
        <w:t xml:space="preserve">decrease in the gender pay gap median </w:t>
      </w:r>
      <w:r>
        <w:rPr>
          <w:rFonts w:cstheme="minorHAnsi"/>
        </w:rPr>
        <w:t>and mean hourly gap since starting to record that data, with a significant reduction in the mean hourly gap</w:t>
      </w:r>
      <w:r w:rsidRPr="009D3B79">
        <w:rPr>
          <w:rFonts w:cstheme="minorHAnsi"/>
        </w:rPr>
        <w:t>:</w:t>
      </w:r>
    </w:p>
    <w:tbl>
      <w:tblPr>
        <w:tblStyle w:val="TableGrid"/>
        <w:tblW w:w="0" w:type="auto"/>
        <w:tblLook w:val="04A0" w:firstRow="1" w:lastRow="0" w:firstColumn="1" w:lastColumn="0" w:noHBand="0" w:noVBand="1"/>
      </w:tblPr>
      <w:tblGrid>
        <w:gridCol w:w="1510"/>
        <w:gridCol w:w="1635"/>
        <w:gridCol w:w="1563"/>
        <w:gridCol w:w="1563"/>
        <w:gridCol w:w="1444"/>
        <w:gridCol w:w="1301"/>
      </w:tblGrid>
      <w:tr w:rsidR="00D2129C" w14:paraId="781C9A4B" w14:textId="77777777" w:rsidTr="00540BEB">
        <w:tc>
          <w:tcPr>
            <w:tcW w:w="1510" w:type="dxa"/>
            <w:shd w:val="clear" w:color="auto" w:fill="D9D9D9" w:themeFill="background1" w:themeFillShade="D9"/>
          </w:tcPr>
          <w:p w14:paraId="0DAD2FE0" w14:textId="77777777" w:rsidR="00D2129C" w:rsidRDefault="00D2129C" w:rsidP="00540BEB">
            <w:pPr>
              <w:rPr>
                <w:rFonts w:cstheme="minorHAnsi"/>
                <w:b/>
              </w:rPr>
            </w:pPr>
          </w:p>
        </w:tc>
        <w:tc>
          <w:tcPr>
            <w:tcW w:w="1635" w:type="dxa"/>
          </w:tcPr>
          <w:p w14:paraId="481252E8" w14:textId="77777777" w:rsidR="00D2129C" w:rsidRDefault="00D2129C" w:rsidP="00540BEB">
            <w:pPr>
              <w:jc w:val="center"/>
              <w:rPr>
                <w:rFonts w:cstheme="minorHAnsi"/>
                <w:b/>
              </w:rPr>
            </w:pPr>
            <w:r>
              <w:rPr>
                <w:rFonts w:cstheme="minorHAnsi"/>
                <w:b/>
              </w:rPr>
              <w:t>2019</w:t>
            </w:r>
          </w:p>
        </w:tc>
        <w:tc>
          <w:tcPr>
            <w:tcW w:w="1563" w:type="dxa"/>
          </w:tcPr>
          <w:p w14:paraId="02036068" w14:textId="77777777" w:rsidR="00D2129C" w:rsidRDefault="00D2129C" w:rsidP="00540BEB">
            <w:pPr>
              <w:jc w:val="center"/>
              <w:rPr>
                <w:rFonts w:cstheme="minorHAnsi"/>
                <w:b/>
              </w:rPr>
            </w:pPr>
            <w:r>
              <w:rPr>
                <w:rFonts w:cstheme="minorHAnsi"/>
                <w:b/>
              </w:rPr>
              <w:t>2020</w:t>
            </w:r>
          </w:p>
        </w:tc>
        <w:tc>
          <w:tcPr>
            <w:tcW w:w="1563" w:type="dxa"/>
          </w:tcPr>
          <w:p w14:paraId="56962C41" w14:textId="77777777" w:rsidR="00D2129C" w:rsidRDefault="00D2129C" w:rsidP="00540BEB">
            <w:pPr>
              <w:jc w:val="center"/>
              <w:rPr>
                <w:rFonts w:cstheme="minorHAnsi"/>
                <w:b/>
              </w:rPr>
            </w:pPr>
            <w:r>
              <w:rPr>
                <w:rFonts w:cstheme="minorHAnsi"/>
                <w:b/>
              </w:rPr>
              <w:t>2021</w:t>
            </w:r>
          </w:p>
        </w:tc>
        <w:tc>
          <w:tcPr>
            <w:tcW w:w="1444" w:type="dxa"/>
          </w:tcPr>
          <w:p w14:paraId="5A2C957A" w14:textId="77777777" w:rsidR="00D2129C" w:rsidRDefault="00D2129C" w:rsidP="00540BEB">
            <w:pPr>
              <w:jc w:val="center"/>
              <w:rPr>
                <w:rFonts w:cstheme="minorHAnsi"/>
                <w:b/>
              </w:rPr>
            </w:pPr>
            <w:r>
              <w:rPr>
                <w:rFonts w:cstheme="minorHAnsi"/>
                <w:b/>
              </w:rPr>
              <w:t>2022</w:t>
            </w:r>
          </w:p>
        </w:tc>
        <w:tc>
          <w:tcPr>
            <w:tcW w:w="1301" w:type="dxa"/>
          </w:tcPr>
          <w:p w14:paraId="7B6F4E52" w14:textId="77777777" w:rsidR="00D2129C" w:rsidRDefault="00D2129C" w:rsidP="00540BEB">
            <w:pPr>
              <w:jc w:val="center"/>
              <w:rPr>
                <w:rFonts w:cstheme="minorHAnsi"/>
                <w:b/>
              </w:rPr>
            </w:pPr>
            <w:r>
              <w:rPr>
                <w:rFonts w:cstheme="minorHAnsi"/>
                <w:b/>
              </w:rPr>
              <w:t>2023</w:t>
            </w:r>
          </w:p>
        </w:tc>
      </w:tr>
      <w:tr w:rsidR="00D2129C" w14:paraId="41949468" w14:textId="77777777" w:rsidTr="00540BEB">
        <w:tc>
          <w:tcPr>
            <w:tcW w:w="1510" w:type="dxa"/>
          </w:tcPr>
          <w:p w14:paraId="7C582ED8" w14:textId="77777777" w:rsidR="00D2129C" w:rsidRPr="00D12092" w:rsidRDefault="00D2129C" w:rsidP="00540BEB">
            <w:pPr>
              <w:rPr>
                <w:rFonts w:cstheme="minorHAnsi"/>
                <w:b/>
                <w:sz w:val="20"/>
                <w:szCs w:val="20"/>
              </w:rPr>
            </w:pPr>
            <w:r w:rsidRPr="00D12092">
              <w:rPr>
                <w:rFonts w:cstheme="minorHAnsi"/>
                <w:b/>
                <w:sz w:val="20"/>
                <w:szCs w:val="20"/>
              </w:rPr>
              <w:t>Median Hourly Gap %</w:t>
            </w:r>
          </w:p>
        </w:tc>
        <w:tc>
          <w:tcPr>
            <w:tcW w:w="1635" w:type="dxa"/>
          </w:tcPr>
          <w:p w14:paraId="5E0A218F" w14:textId="77777777" w:rsidR="00D2129C" w:rsidRDefault="00D2129C" w:rsidP="00540BEB">
            <w:pPr>
              <w:jc w:val="center"/>
              <w:rPr>
                <w:rFonts w:cstheme="minorHAnsi"/>
                <w:b/>
              </w:rPr>
            </w:pPr>
            <w:r>
              <w:rPr>
                <w:rFonts w:cstheme="minorHAnsi"/>
                <w:b/>
              </w:rPr>
              <w:t>39.96%</w:t>
            </w:r>
          </w:p>
        </w:tc>
        <w:tc>
          <w:tcPr>
            <w:tcW w:w="1563" w:type="dxa"/>
          </w:tcPr>
          <w:p w14:paraId="45B645FD" w14:textId="77777777" w:rsidR="00D2129C" w:rsidRDefault="00D2129C" w:rsidP="00540BEB">
            <w:pPr>
              <w:jc w:val="center"/>
              <w:rPr>
                <w:rFonts w:cstheme="minorHAnsi"/>
                <w:b/>
              </w:rPr>
            </w:pPr>
            <w:r>
              <w:rPr>
                <w:rFonts w:cstheme="minorHAnsi"/>
                <w:b/>
              </w:rPr>
              <w:t>34%</w:t>
            </w:r>
          </w:p>
        </w:tc>
        <w:tc>
          <w:tcPr>
            <w:tcW w:w="1563" w:type="dxa"/>
          </w:tcPr>
          <w:p w14:paraId="7CA7C8FB" w14:textId="77777777" w:rsidR="00D2129C" w:rsidRDefault="00D2129C" w:rsidP="00540BEB">
            <w:pPr>
              <w:jc w:val="center"/>
              <w:rPr>
                <w:rFonts w:cstheme="minorHAnsi"/>
                <w:b/>
              </w:rPr>
            </w:pPr>
            <w:r>
              <w:rPr>
                <w:rFonts w:cstheme="minorHAnsi"/>
                <w:b/>
              </w:rPr>
              <w:t>31%</w:t>
            </w:r>
          </w:p>
        </w:tc>
        <w:tc>
          <w:tcPr>
            <w:tcW w:w="1444" w:type="dxa"/>
          </w:tcPr>
          <w:p w14:paraId="4BD64FBA" w14:textId="77777777" w:rsidR="00D2129C" w:rsidRDefault="00D2129C" w:rsidP="00540BEB">
            <w:pPr>
              <w:jc w:val="center"/>
              <w:rPr>
                <w:rFonts w:cstheme="minorHAnsi"/>
                <w:b/>
              </w:rPr>
            </w:pPr>
            <w:r>
              <w:rPr>
                <w:rFonts w:cstheme="minorHAnsi"/>
                <w:b/>
              </w:rPr>
              <w:t>23.3%</w:t>
            </w:r>
          </w:p>
        </w:tc>
        <w:tc>
          <w:tcPr>
            <w:tcW w:w="1301" w:type="dxa"/>
          </w:tcPr>
          <w:p w14:paraId="77BD66DD" w14:textId="77777777" w:rsidR="00D2129C" w:rsidRPr="001F6A24" w:rsidRDefault="00D2129C" w:rsidP="00540BEB">
            <w:pPr>
              <w:jc w:val="center"/>
              <w:rPr>
                <w:rFonts w:cstheme="minorHAnsi"/>
                <w:b/>
              </w:rPr>
            </w:pPr>
            <w:r w:rsidRPr="001F6A24">
              <w:rPr>
                <w:rFonts w:cstheme="minorHAnsi"/>
                <w:b/>
              </w:rPr>
              <w:t>28.9%</w:t>
            </w:r>
          </w:p>
          <w:p w14:paraId="38201363" w14:textId="77777777" w:rsidR="00D2129C" w:rsidRDefault="00D2129C" w:rsidP="00540BEB">
            <w:pPr>
              <w:jc w:val="center"/>
              <w:rPr>
                <w:rFonts w:cstheme="minorHAnsi"/>
                <w:b/>
              </w:rPr>
            </w:pPr>
          </w:p>
        </w:tc>
      </w:tr>
      <w:tr w:rsidR="00D2129C" w14:paraId="1F555823" w14:textId="77777777" w:rsidTr="00540BEB">
        <w:tc>
          <w:tcPr>
            <w:tcW w:w="1510" w:type="dxa"/>
          </w:tcPr>
          <w:p w14:paraId="7C0E32A5" w14:textId="77777777" w:rsidR="00D2129C" w:rsidRPr="00D12092" w:rsidRDefault="00D2129C" w:rsidP="00540BEB">
            <w:pPr>
              <w:rPr>
                <w:rFonts w:cstheme="minorHAnsi"/>
                <w:b/>
                <w:sz w:val="20"/>
                <w:szCs w:val="20"/>
              </w:rPr>
            </w:pPr>
            <w:r w:rsidRPr="00D12092">
              <w:rPr>
                <w:rFonts w:cstheme="minorHAnsi"/>
                <w:b/>
                <w:sz w:val="20"/>
                <w:szCs w:val="20"/>
              </w:rPr>
              <w:t>Mean Hourly Gap %</w:t>
            </w:r>
          </w:p>
        </w:tc>
        <w:tc>
          <w:tcPr>
            <w:tcW w:w="1635" w:type="dxa"/>
          </w:tcPr>
          <w:p w14:paraId="47B9CE1D" w14:textId="77777777" w:rsidR="00D2129C" w:rsidRDefault="00D2129C" w:rsidP="00540BEB">
            <w:pPr>
              <w:jc w:val="center"/>
              <w:rPr>
                <w:rFonts w:cstheme="minorHAnsi"/>
                <w:b/>
              </w:rPr>
            </w:pPr>
            <w:r>
              <w:rPr>
                <w:rFonts w:cstheme="minorHAnsi"/>
                <w:b/>
              </w:rPr>
              <w:t>29.3%</w:t>
            </w:r>
          </w:p>
        </w:tc>
        <w:tc>
          <w:tcPr>
            <w:tcW w:w="1563" w:type="dxa"/>
          </w:tcPr>
          <w:p w14:paraId="3E251736" w14:textId="77777777" w:rsidR="00D2129C" w:rsidRDefault="00D2129C" w:rsidP="00540BEB">
            <w:pPr>
              <w:jc w:val="center"/>
              <w:rPr>
                <w:rFonts w:cstheme="minorHAnsi"/>
                <w:b/>
              </w:rPr>
            </w:pPr>
            <w:r>
              <w:rPr>
                <w:rFonts w:cstheme="minorHAnsi"/>
                <w:b/>
              </w:rPr>
              <w:t>24.3%</w:t>
            </w:r>
          </w:p>
        </w:tc>
        <w:tc>
          <w:tcPr>
            <w:tcW w:w="1563" w:type="dxa"/>
          </w:tcPr>
          <w:p w14:paraId="2FF842F1" w14:textId="77777777" w:rsidR="00D2129C" w:rsidRDefault="00D2129C" w:rsidP="00540BEB">
            <w:pPr>
              <w:jc w:val="center"/>
              <w:rPr>
                <w:rFonts w:cstheme="minorHAnsi"/>
                <w:b/>
              </w:rPr>
            </w:pPr>
            <w:r>
              <w:rPr>
                <w:rFonts w:cstheme="minorHAnsi"/>
                <w:b/>
              </w:rPr>
              <w:t>24.3%</w:t>
            </w:r>
          </w:p>
        </w:tc>
        <w:tc>
          <w:tcPr>
            <w:tcW w:w="1444" w:type="dxa"/>
          </w:tcPr>
          <w:p w14:paraId="622CE699" w14:textId="77777777" w:rsidR="00D2129C" w:rsidRDefault="00D2129C" w:rsidP="00540BEB">
            <w:pPr>
              <w:jc w:val="center"/>
              <w:rPr>
                <w:rFonts w:cstheme="minorHAnsi"/>
                <w:b/>
              </w:rPr>
            </w:pPr>
            <w:r>
              <w:rPr>
                <w:rFonts w:cstheme="minorHAnsi"/>
                <w:b/>
              </w:rPr>
              <w:t>21.4%</w:t>
            </w:r>
          </w:p>
        </w:tc>
        <w:tc>
          <w:tcPr>
            <w:tcW w:w="1301" w:type="dxa"/>
          </w:tcPr>
          <w:p w14:paraId="6F976D9F" w14:textId="77777777" w:rsidR="00D2129C" w:rsidRDefault="00D2129C" w:rsidP="00540BEB">
            <w:pPr>
              <w:jc w:val="center"/>
              <w:rPr>
                <w:rFonts w:cstheme="minorHAnsi"/>
                <w:b/>
              </w:rPr>
            </w:pPr>
            <w:r>
              <w:rPr>
                <w:rFonts w:cstheme="minorHAnsi"/>
                <w:b/>
              </w:rPr>
              <w:t>7.6%</w:t>
            </w:r>
          </w:p>
        </w:tc>
      </w:tr>
    </w:tbl>
    <w:p w14:paraId="5D2A4CA1" w14:textId="77777777" w:rsidR="00D2129C" w:rsidRPr="0065255A" w:rsidRDefault="00D2129C">
      <w:pPr>
        <w:rPr>
          <w:rFonts w:cstheme="minorHAnsi"/>
          <w:bCs/>
        </w:rPr>
      </w:pPr>
    </w:p>
    <w:p w14:paraId="4E1776BF" w14:textId="646AEA58" w:rsidR="00BB3FE6" w:rsidRPr="009D3B79" w:rsidRDefault="00BB3FE6">
      <w:pPr>
        <w:rPr>
          <w:rFonts w:cstheme="minorHAnsi"/>
          <w:b/>
        </w:rPr>
      </w:pPr>
      <w:r w:rsidRPr="009D3B79">
        <w:rPr>
          <w:rFonts w:cstheme="minorHAnsi"/>
          <w:b/>
        </w:rPr>
        <w:t xml:space="preserve">Bonus Payments </w:t>
      </w:r>
    </w:p>
    <w:p w14:paraId="6A1D5594" w14:textId="48CCCED1" w:rsidR="00B37FD0" w:rsidRPr="000B6595" w:rsidRDefault="00B37FD0">
      <w:pPr>
        <w:rPr>
          <w:rFonts w:cstheme="minorHAnsi"/>
        </w:rPr>
      </w:pPr>
      <w:r w:rsidRPr="00B37FD0">
        <w:rPr>
          <w:color w:val="000000"/>
        </w:rPr>
        <w:t>Th</w:t>
      </w:r>
      <w:r w:rsidR="009867C1" w:rsidRPr="00B37FD0">
        <w:rPr>
          <w:color w:val="000000"/>
        </w:rPr>
        <w:t>e Active L</w:t>
      </w:r>
      <w:r w:rsidR="009867C1" w:rsidRPr="009867C1">
        <w:rPr>
          <w:color w:val="000000"/>
        </w:rPr>
        <w:t>earning Trust does not pay bonuses to any</w:t>
      </w:r>
      <w:r w:rsidR="009867C1">
        <w:rPr>
          <w:color w:val="000000"/>
        </w:rPr>
        <w:t xml:space="preserve"> staff; therefore, the t</w:t>
      </w:r>
      <w:r w:rsidR="009867C1" w:rsidRPr="009867C1">
        <w:rPr>
          <w:color w:val="000000"/>
        </w:rPr>
        <w:t xml:space="preserve">hree statutory calculations </w:t>
      </w:r>
      <w:r w:rsidR="009867C1">
        <w:rPr>
          <w:color w:val="000000"/>
        </w:rPr>
        <w:t xml:space="preserve">relating to bonuses </w:t>
      </w:r>
      <w:r w:rsidR="009867C1" w:rsidRPr="009867C1">
        <w:rPr>
          <w:color w:val="000000"/>
        </w:rPr>
        <w:t>of the mean bonus gender pay gap, the median bonus gender pay gap and the proportion of males and females receiving a bonus payment are not applicable.</w:t>
      </w:r>
      <w:r w:rsidR="00BB3FE6" w:rsidRPr="009867C1">
        <w:rPr>
          <w:rFonts w:cstheme="minorHAnsi"/>
        </w:rPr>
        <w:t xml:space="preserve"> </w:t>
      </w:r>
    </w:p>
    <w:p w14:paraId="67A6EEB7" w14:textId="77777777" w:rsidR="004935F5" w:rsidRDefault="004935F5">
      <w:pPr>
        <w:rPr>
          <w:rFonts w:cstheme="minorHAnsi"/>
          <w:b/>
        </w:rPr>
      </w:pPr>
      <w:r>
        <w:rPr>
          <w:rFonts w:cstheme="minorHAnsi"/>
          <w:b/>
        </w:rPr>
        <w:br w:type="page"/>
      </w:r>
    </w:p>
    <w:p w14:paraId="72716698" w14:textId="4691EFBD" w:rsidR="00D74A62" w:rsidRPr="009D3B79" w:rsidRDefault="00BB3FE6">
      <w:pPr>
        <w:rPr>
          <w:rFonts w:cstheme="minorHAnsi"/>
          <w:b/>
        </w:rPr>
      </w:pPr>
      <w:r w:rsidRPr="009D3B79">
        <w:rPr>
          <w:rFonts w:cstheme="minorHAnsi"/>
          <w:b/>
        </w:rPr>
        <w:lastRenderedPageBreak/>
        <w:t>Gender Representation in the Pay Bands</w:t>
      </w:r>
    </w:p>
    <w:p w14:paraId="6EE0C63F" w14:textId="312E00CC" w:rsidR="00D74A62" w:rsidRDefault="00D74A62">
      <w:pPr>
        <w:rPr>
          <w:rFonts w:cstheme="minorHAnsi"/>
        </w:rPr>
      </w:pPr>
      <w:r w:rsidRPr="009D3B79">
        <w:rPr>
          <w:rFonts w:cstheme="minorHAnsi"/>
        </w:rPr>
        <w:t xml:space="preserve">The proportion of male and female staff in each of the four quartile pay </w:t>
      </w:r>
      <w:r w:rsidR="00FB375D" w:rsidRPr="009D3B79">
        <w:rPr>
          <w:rFonts w:cstheme="minorHAnsi"/>
        </w:rPr>
        <w:t>band</w:t>
      </w:r>
      <w:r w:rsidR="00CA3D3A" w:rsidRPr="009D3B79">
        <w:rPr>
          <w:rFonts w:cstheme="minorHAnsi"/>
        </w:rPr>
        <w:t>s</w:t>
      </w:r>
      <w:r w:rsidR="001218EE">
        <w:rPr>
          <w:rFonts w:cstheme="minorHAnsi"/>
        </w:rPr>
        <w:t xml:space="preserve"> on the snapshot date</w:t>
      </w:r>
      <w:r w:rsidR="00B37FD0">
        <w:rPr>
          <w:rFonts w:cstheme="minorHAnsi"/>
        </w:rPr>
        <w:t xml:space="preserve"> is illustrated in the chart</w:t>
      </w:r>
      <w:r w:rsidR="001218EE">
        <w:rPr>
          <w:rFonts w:cstheme="minorHAnsi"/>
        </w:rPr>
        <w:t xml:space="preserve"> below</w:t>
      </w:r>
      <w:r w:rsidR="005C4ED7">
        <w:rPr>
          <w:rFonts w:cstheme="minorHAnsi"/>
        </w:rPr>
        <w:t>, along with charts for the two previous annual assessments</w:t>
      </w:r>
      <w:r w:rsidR="00CA3D3A" w:rsidRPr="009D3B79">
        <w:rPr>
          <w:rFonts w:cstheme="minorHAnsi"/>
        </w:rPr>
        <w:t>:</w:t>
      </w:r>
    </w:p>
    <w:p w14:paraId="4C40B73A" w14:textId="3544EEC6" w:rsidR="002159E7" w:rsidRDefault="00DE1B3C">
      <w:pPr>
        <w:rPr>
          <w:rFonts w:cstheme="minorHAnsi"/>
        </w:rPr>
      </w:pPr>
      <w:r>
        <w:rPr>
          <w:noProof/>
        </w:rPr>
        <w:drawing>
          <wp:inline distT="0" distB="0" distL="0" distR="0" wp14:anchorId="3088FA1F" wp14:editId="596CFC80">
            <wp:extent cx="4808220" cy="3009900"/>
            <wp:effectExtent l="0" t="0" r="11430" b="0"/>
            <wp:docPr id="1848401014"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AD69A1" w14:textId="3E17826D" w:rsidR="000B6595" w:rsidRPr="00F5662C" w:rsidRDefault="002A61D8">
      <w:pPr>
        <w:rPr>
          <w:rFonts w:cstheme="minorHAnsi"/>
          <w:color w:val="FFFFFF" w:themeColor="background1"/>
          <w14:textFill>
            <w14:solidFill>
              <w14:schemeClr w14:val="bg1">
                <w14:alpha w14:val="100000"/>
              </w14:schemeClr>
            </w14:solidFill>
          </w14:textFill>
        </w:rPr>
      </w:pPr>
      <w:r>
        <w:rPr>
          <w:noProof/>
          <w:lang w:eastAsia="en-GB"/>
        </w:rPr>
        <w:drawing>
          <wp:inline distT="0" distB="0" distL="0" distR="0" wp14:anchorId="26F36910" wp14:editId="31BA76D1">
            <wp:extent cx="4808220" cy="3444240"/>
            <wp:effectExtent l="0" t="0" r="11430" b="38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921F72" w14:textId="5E061297" w:rsidR="009867C1" w:rsidRDefault="00D12092">
      <w:pPr>
        <w:rPr>
          <w:rFonts w:cstheme="minorHAnsi"/>
          <w:b/>
        </w:rPr>
      </w:pPr>
      <w:r>
        <w:rPr>
          <w:noProof/>
          <w:lang w:eastAsia="en-GB"/>
        </w:rPr>
        <w:lastRenderedPageBreak/>
        <w:drawing>
          <wp:inline distT="0" distB="0" distL="0" distR="0" wp14:anchorId="335CF129" wp14:editId="43410DC7">
            <wp:extent cx="4701540" cy="2948940"/>
            <wp:effectExtent l="0" t="0" r="3810" b="38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lang w:eastAsia="en-GB"/>
        </w:rPr>
        <w:t xml:space="preserve">  </w:t>
      </w:r>
    </w:p>
    <w:p w14:paraId="058EAF07" w14:textId="77777777" w:rsidR="00366A4E" w:rsidRDefault="00366A4E">
      <w:pPr>
        <w:rPr>
          <w:rFonts w:cstheme="minorHAnsi"/>
          <w:b/>
        </w:rPr>
      </w:pPr>
    </w:p>
    <w:p w14:paraId="48D5E969" w14:textId="77777777" w:rsidR="00A74ADC" w:rsidRDefault="00A74ADC">
      <w:pPr>
        <w:rPr>
          <w:rFonts w:cstheme="minorHAnsi"/>
          <w:b/>
        </w:rPr>
      </w:pPr>
      <w:r>
        <w:rPr>
          <w:rFonts w:cstheme="minorHAnsi"/>
          <w:b/>
        </w:rPr>
        <w:br w:type="page"/>
      </w:r>
    </w:p>
    <w:p w14:paraId="0B7A1152" w14:textId="1EB2B4FC" w:rsidR="00DA3E82" w:rsidRPr="009D3B79" w:rsidRDefault="00DA3E82">
      <w:pPr>
        <w:rPr>
          <w:rFonts w:cstheme="minorHAnsi"/>
          <w:b/>
        </w:rPr>
      </w:pPr>
      <w:r w:rsidRPr="009D3B79">
        <w:rPr>
          <w:rFonts w:cstheme="minorHAnsi"/>
          <w:b/>
        </w:rPr>
        <w:lastRenderedPageBreak/>
        <w:t xml:space="preserve">Trust Commentary: </w:t>
      </w:r>
    </w:p>
    <w:p w14:paraId="74B9F440" w14:textId="4061A617" w:rsidR="00D531CF" w:rsidRPr="009D3B79" w:rsidRDefault="00B73570">
      <w:pPr>
        <w:rPr>
          <w:rFonts w:cstheme="minorHAnsi"/>
        </w:rPr>
      </w:pPr>
      <w:r>
        <w:rPr>
          <w:rFonts w:cstheme="minorHAnsi"/>
        </w:rPr>
        <w:t>The Trust welcomes</w:t>
      </w:r>
      <w:r w:rsidR="007213F3" w:rsidRPr="009D3B79">
        <w:rPr>
          <w:rFonts w:cstheme="minorHAnsi"/>
        </w:rPr>
        <w:t xml:space="preserve"> Gender Pay Gap reporting and offers the following commentary</w:t>
      </w:r>
      <w:r w:rsidR="00D531CF" w:rsidRPr="009D3B79">
        <w:rPr>
          <w:rFonts w:cstheme="minorHAnsi"/>
        </w:rPr>
        <w:t xml:space="preserve">. </w:t>
      </w:r>
    </w:p>
    <w:p w14:paraId="051472BE" w14:textId="439D6177" w:rsidR="00371090" w:rsidRPr="00D12092" w:rsidRDefault="00FB375D">
      <w:pPr>
        <w:rPr>
          <w:rFonts w:cstheme="minorHAnsi"/>
          <w:sz w:val="10"/>
          <w:szCs w:val="10"/>
        </w:rPr>
      </w:pPr>
      <w:r w:rsidRPr="009D3B79">
        <w:rPr>
          <w:rFonts w:cstheme="minorHAnsi"/>
        </w:rPr>
        <w:t xml:space="preserve">It should be noted that the gender pay gap is </w:t>
      </w:r>
      <w:r w:rsidRPr="009D3B79">
        <w:rPr>
          <w:rFonts w:cstheme="minorHAnsi"/>
          <w:u w:val="single"/>
        </w:rPr>
        <w:t>not</w:t>
      </w:r>
      <w:r w:rsidRPr="009D3B79">
        <w:rPr>
          <w:rFonts w:cstheme="minorHAnsi"/>
        </w:rPr>
        <w:t xml:space="preserve"> the same thing as the provision of Equal Pay for work of</w:t>
      </w:r>
      <w:r w:rsidR="00371090" w:rsidRPr="009D3B79">
        <w:rPr>
          <w:rFonts w:cstheme="minorHAnsi"/>
        </w:rPr>
        <w:t xml:space="preserve"> e</w:t>
      </w:r>
      <w:r w:rsidRPr="009D3B79">
        <w:rPr>
          <w:rFonts w:cstheme="minorHAnsi"/>
        </w:rPr>
        <w:t xml:space="preserve">qual value regardless of gender. The Trust </w:t>
      </w:r>
      <w:r w:rsidRPr="009D3B79">
        <w:rPr>
          <w:rFonts w:cstheme="minorHAnsi"/>
          <w:u w:val="single"/>
        </w:rPr>
        <w:t>is</w:t>
      </w:r>
      <w:r w:rsidRPr="009D3B79">
        <w:rPr>
          <w:rFonts w:cstheme="minorHAnsi"/>
        </w:rPr>
        <w:t xml:space="preserve"> an equal opportunities employer and </w:t>
      </w:r>
      <w:r w:rsidR="00371090" w:rsidRPr="009D3B79">
        <w:rPr>
          <w:rFonts w:cstheme="minorHAnsi"/>
        </w:rPr>
        <w:t>ensures that men and women receive equal pay for:</w:t>
      </w:r>
    </w:p>
    <w:p w14:paraId="0577BCB1" w14:textId="77777777" w:rsidR="00371090" w:rsidRPr="009D3B79" w:rsidRDefault="00371090" w:rsidP="00371090">
      <w:pPr>
        <w:numPr>
          <w:ilvl w:val="0"/>
          <w:numId w:val="4"/>
        </w:numPr>
        <w:shd w:val="clear" w:color="auto" w:fill="FFFFFF"/>
        <w:spacing w:before="100" w:beforeAutospacing="1" w:after="100" w:afterAutospacing="1" w:line="240" w:lineRule="auto"/>
        <w:rPr>
          <w:rFonts w:eastAsia="Times New Roman" w:cstheme="minorHAnsi"/>
          <w:color w:val="4A4A4A"/>
          <w:lang w:eastAsia="en-GB"/>
        </w:rPr>
      </w:pPr>
      <w:r w:rsidRPr="009D3B79">
        <w:rPr>
          <w:rFonts w:eastAsia="Times New Roman" w:cstheme="minorHAnsi"/>
          <w:color w:val="4A4A4A"/>
          <w:lang w:eastAsia="en-GB"/>
        </w:rPr>
        <w:t>the same or broadly similar work;</w:t>
      </w:r>
    </w:p>
    <w:p w14:paraId="514AC9DA" w14:textId="4E8E5F88" w:rsidR="00371090" w:rsidRPr="009D3B79" w:rsidRDefault="00371090" w:rsidP="009D3B79">
      <w:pPr>
        <w:numPr>
          <w:ilvl w:val="0"/>
          <w:numId w:val="4"/>
        </w:numPr>
        <w:shd w:val="clear" w:color="auto" w:fill="FFFFFF"/>
        <w:spacing w:before="100" w:beforeAutospacing="1" w:after="100" w:afterAutospacing="1" w:line="240" w:lineRule="auto"/>
        <w:rPr>
          <w:rFonts w:eastAsia="Times New Roman" w:cstheme="minorHAnsi"/>
          <w:color w:val="4A4A4A"/>
          <w:lang w:eastAsia="en-GB"/>
        </w:rPr>
      </w:pPr>
      <w:r w:rsidRPr="009D3B79">
        <w:rPr>
          <w:rFonts w:eastAsia="Times New Roman" w:cstheme="minorHAnsi"/>
          <w:color w:val="4A4A4A"/>
          <w:lang w:eastAsia="en-GB"/>
        </w:rPr>
        <w:t>work rated as equivalent under a job evaluation scheme;</w:t>
      </w:r>
      <w:r w:rsidR="00366A4E">
        <w:rPr>
          <w:rFonts w:eastAsia="Times New Roman" w:cstheme="minorHAnsi"/>
          <w:color w:val="4A4A4A"/>
          <w:lang w:eastAsia="en-GB"/>
        </w:rPr>
        <w:t xml:space="preserve"> and</w:t>
      </w:r>
    </w:p>
    <w:p w14:paraId="3A8F2A42" w14:textId="4DD7DD4A" w:rsidR="00371090" w:rsidRPr="009D3B79" w:rsidRDefault="00371090" w:rsidP="009D3B79">
      <w:pPr>
        <w:numPr>
          <w:ilvl w:val="0"/>
          <w:numId w:val="4"/>
        </w:numPr>
        <w:shd w:val="clear" w:color="auto" w:fill="FFFFFF"/>
        <w:spacing w:before="100" w:beforeAutospacing="1" w:after="100" w:afterAutospacing="1" w:line="240" w:lineRule="auto"/>
        <w:rPr>
          <w:rFonts w:eastAsia="Times New Roman" w:cstheme="minorHAnsi"/>
          <w:color w:val="4A4A4A"/>
          <w:lang w:eastAsia="en-GB"/>
        </w:rPr>
      </w:pPr>
      <w:r w:rsidRPr="009D3B79">
        <w:rPr>
          <w:rFonts w:eastAsia="Times New Roman" w:cstheme="minorHAnsi"/>
          <w:color w:val="4A4A4A"/>
          <w:lang w:eastAsia="en-GB"/>
        </w:rPr>
        <w:t>work of equal value.</w:t>
      </w:r>
    </w:p>
    <w:p w14:paraId="7F1ABD37" w14:textId="77777777" w:rsidR="00D12092" w:rsidRDefault="00371090">
      <w:pPr>
        <w:rPr>
          <w:rFonts w:cstheme="minorHAnsi"/>
        </w:rPr>
      </w:pPr>
      <w:r w:rsidRPr="009D3B79">
        <w:rPr>
          <w:rFonts w:cstheme="minorHAnsi"/>
        </w:rPr>
        <w:t>M</w:t>
      </w:r>
      <w:r w:rsidR="00FB375D" w:rsidRPr="009D3B79">
        <w:rPr>
          <w:rFonts w:cstheme="minorHAnsi"/>
        </w:rPr>
        <w:t>en and women are</w:t>
      </w:r>
      <w:r w:rsidR="00C87528" w:rsidRPr="009D3B79">
        <w:rPr>
          <w:rFonts w:cstheme="minorHAnsi"/>
        </w:rPr>
        <w:t xml:space="preserve"> thereby</w:t>
      </w:r>
      <w:r w:rsidR="00FB375D" w:rsidRPr="009D3B79">
        <w:rPr>
          <w:rFonts w:cstheme="minorHAnsi"/>
        </w:rPr>
        <w:t xml:space="preserve"> pa</w:t>
      </w:r>
      <w:r w:rsidR="00866C03" w:rsidRPr="009D3B79">
        <w:rPr>
          <w:rFonts w:cstheme="minorHAnsi"/>
        </w:rPr>
        <w:t>i</w:t>
      </w:r>
      <w:r w:rsidR="00FB375D" w:rsidRPr="009D3B79">
        <w:rPr>
          <w:rFonts w:cstheme="minorHAnsi"/>
        </w:rPr>
        <w:t>d the same for like work</w:t>
      </w:r>
      <w:r w:rsidRPr="009D3B79">
        <w:rPr>
          <w:rFonts w:cstheme="minorHAnsi"/>
        </w:rPr>
        <w:t xml:space="preserve">.  This is </w:t>
      </w:r>
      <w:r w:rsidR="00FB375D" w:rsidRPr="009D3B79">
        <w:rPr>
          <w:rFonts w:cstheme="minorHAnsi"/>
        </w:rPr>
        <w:t>subject to contractual factors including any transfer of undertakings from previous employment</w:t>
      </w:r>
      <w:r w:rsidR="00C87528" w:rsidRPr="009D3B79">
        <w:rPr>
          <w:rFonts w:cstheme="minorHAnsi"/>
        </w:rPr>
        <w:t>.</w:t>
      </w:r>
      <w:r w:rsidR="00FB375D" w:rsidRPr="009D3B79">
        <w:rPr>
          <w:rFonts w:cstheme="minorHAnsi"/>
        </w:rPr>
        <w:t xml:space="preserve">  </w:t>
      </w:r>
    </w:p>
    <w:p w14:paraId="04BE9C89" w14:textId="12270C97" w:rsidR="00B15690" w:rsidRPr="009D3B79" w:rsidRDefault="00B15690">
      <w:pPr>
        <w:rPr>
          <w:rFonts w:cstheme="minorHAnsi"/>
        </w:rPr>
      </w:pPr>
      <w:r>
        <w:rPr>
          <w:rFonts w:cstheme="minorHAnsi"/>
        </w:rPr>
        <w:t xml:space="preserve">The Trust is </w:t>
      </w:r>
      <w:r>
        <w:t>confident that the pay gap shown is due to the structure of the workforce rather than any gender differences in recruitment, pay or opportunity.</w:t>
      </w:r>
    </w:p>
    <w:p w14:paraId="4F2CF92B" w14:textId="07A4D7D5" w:rsidR="00371090" w:rsidRDefault="00B37FD0">
      <w:pPr>
        <w:rPr>
          <w:rFonts w:cstheme="minorHAnsi"/>
          <w:b/>
        </w:rPr>
      </w:pPr>
      <w:r w:rsidRPr="00D42DCA">
        <w:rPr>
          <w:rFonts w:cstheme="minorHAnsi"/>
          <w:b/>
        </w:rPr>
        <w:t>Relevant information and context</w:t>
      </w:r>
      <w:r w:rsidR="00371090" w:rsidRPr="00D42DCA">
        <w:rPr>
          <w:rFonts w:cstheme="minorHAnsi"/>
          <w:b/>
        </w:rPr>
        <w:t xml:space="preserve"> to consider:</w:t>
      </w:r>
    </w:p>
    <w:p w14:paraId="2616DE9C" w14:textId="313E35A0" w:rsidR="0041412C" w:rsidRDefault="00A81FC5">
      <w:pPr>
        <w:rPr>
          <w:rFonts w:cstheme="minorHAnsi"/>
          <w:b/>
        </w:rPr>
      </w:pPr>
      <w:r>
        <w:rPr>
          <w:rFonts w:cstheme="minorHAnsi"/>
          <w:b/>
        </w:rPr>
        <w:t>National and Education Sector Data:</w:t>
      </w:r>
    </w:p>
    <w:p w14:paraId="74078EA0" w14:textId="77777777" w:rsidR="00D2060C" w:rsidRDefault="00A81FC5" w:rsidP="006F1BC0">
      <w:pPr>
        <w:rPr>
          <w:rFonts w:cstheme="minorHAnsi"/>
          <w:bCs/>
        </w:rPr>
      </w:pPr>
      <w:r>
        <w:rPr>
          <w:rFonts w:cstheme="minorHAnsi"/>
          <w:bCs/>
        </w:rPr>
        <w:t xml:space="preserve">The </w:t>
      </w:r>
      <w:r w:rsidR="008B2B9E">
        <w:rPr>
          <w:rFonts w:cstheme="minorHAnsi"/>
          <w:bCs/>
        </w:rPr>
        <w:t xml:space="preserve">national </w:t>
      </w:r>
      <w:r>
        <w:rPr>
          <w:rFonts w:cstheme="minorHAnsi"/>
          <w:bCs/>
        </w:rPr>
        <w:t xml:space="preserve">headline median gender pay gap </w:t>
      </w:r>
      <w:r w:rsidR="003B3C97">
        <w:rPr>
          <w:rFonts w:cstheme="minorHAnsi"/>
          <w:bCs/>
        </w:rPr>
        <w:t xml:space="preserve">in </w:t>
      </w:r>
      <w:r w:rsidR="003B3C97" w:rsidRPr="00D2060C">
        <w:rPr>
          <w:rFonts w:cstheme="minorHAnsi"/>
          <w:b/>
          <w:u w:val="single"/>
        </w:rPr>
        <w:t>all sectors</w:t>
      </w:r>
      <w:r w:rsidR="003B3C97">
        <w:rPr>
          <w:rFonts w:cstheme="minorHAnsi"/>
          <w:bCs/>
        </w:rPr>
        <w:t xml:space="preserve"> in 2022 </w:t>
      </w:r>
      <w:r>
        <w:rPr>
          <w:rFonts w:cstheme="minorHAnsi"/>
          <w:bCs/>
        </w:rPr>
        <w:t xml:space="preserve">for full-time employees was 7.7% according to </w:t>
      </w:r>
      <w:r w:rsidR="003B3C97">
        <w:rPr>
          <w:rFonts w:cstheme="minorHAnsi"/>
          <w:bCs/>
        </w:rPr>
        <w:t>the</w:t>
      </w:r>
      <w:r w:rsidR="00240D72">
        <w:rPr>
          <w:rFonts w:cstheme="minorHAnsi"/>
          <w:bCs/>
        </w:rPr>
        <w:t xml:space="preserve"> </w:t>
      </w:r>
      <w:r>
        <w:rPr>
          <w:rFonts w:cstheme="minorHAnsi"/>
          <w:bCs/>
        </w:rPr>
        <w:t xml:space="preserve">Office for National </w:t>
      </w:r>
      <w:r w:rsidR="00EA15BD">
        <w:rPr>
          <w:rFonts w:cstheme="minorHAnsi"/>
          <w:bCs/>
        </w:rPr>
        <w:t xml:space="preserve">Statistics.  The gap for part-time employees is -3.3%, indicating that </w:t>
      </w:r>
      <w:r w:rsidR="008B2B9E">
        <w:rPr>
          <w:rFonts w:cstheme="minorHAnsi"/>
          <w:bCs/>
        </w:rPr>
        <w:t>women are paid more than men.</w:t>
      </w:r>
      <w:r w:rsidR="00240D72">
        <w:rPr>
          <w:rFonts w:cstheme="minorHAnsi"/>
          <w:bCs/>
        </w:rPr>
        <w:t xml:space="preserve"> </w:t>
      </w:r>
    </w:p>
    <w:p w14:paraId="12241264" w14:textId="40E5AA3E" w:rsidR="00D2060C" w:rsidRDefault="00240D72" w:rsidP="006F1BC0">
      <w:pPr>
        <w:rPr>
          <w:rFonts w:cstheme="minorHAnsi"/>
          <w:bCs/>
        </w:rPr>
      </w:pPr>
      <w:r>
        <w:rPr>
          <w:rFonts w:cstheme="minorHAnsi"/>
          <w:bCs/>
        </w:rPr>
        <w:t xml:space="preserve">Employer Link research in 2022 </w:t>
      </w:r>
      <w:r w:rsidR="005E4CFB">
        <w:rPr>
          <w:rFonts w:cstheme="minorHAnsi"/>
          <w:bCs/>
        </w:rPr>
        <w:t xml:space="preserve">(815 employers) </w:t>
      </w:r>
      <w:r>
        <w:rPr>
          <w:rFonts w:cstheme="minorHAnsi"/>
          <w:bCs/>
        </w:rPr>
        <w:t xml:space="preserve">shows that the </w:t>
      </w:r>
      <w:r w:rsidR="00A81FC5" w:rsidRPr="006F1BC0">
        <w:rPr>
          <w:rFonts w:cstheme="minorHAnsi"/>
          <w:bCs/>
        </w:rPr>
        <w:t xml:space="preserve">headline mean gender pay gap for </w:t>
      </w:r>
      <w:r w:rsidR="002E355E" w:rsidRPr="002E355E">
        <w:rPr>
          <w:rFonts w:cstheme="minorHAnsi"/>
          <w:b/>
          <w:u w:val="single"/>
        </w:rPr>
        <w:t xml:space="preserve">education </w:t>
      </w:r>
      <w:r w:rsidR="00A81FC5" w:rsidRPr="002E355E">
        <w:rPr>
          <w:rFonts w:cstheme="minorHAnsi"/>
          <w:b/>
          <w:u w:val="single"/>
        </w:rPr>
        <w:t>sector</w:t>
      </w:r>
      <w:r w:rsidR="00A81FC5" w:rsidRPr="006F1BC0">
        <w:rPr>
          <w:rFonts w:cstheme="minorHAnsi"/>
          <w:bCs/>
        </w:rPr>
        <w:t xml:space="preserve"> employers </w:t>
      </w:r>
      <w:r w:rsidRPr="006F1BC0">
        <w:rPr>
          <w:rFonts w:cstheme="minorHAnsi"/>
          <w:bCs/>
        </w:rPr>
        <w:t>was</w:t>
      </w:r>
      <w:r w:rsidR="00A81FC5" w:rsidRPr="006F1BC0">
        <w:rPr>
          <w:rFonts w:cstheme="minorHAnsi"/>
          <w:bCs/>
        </w:rPr>
        <w:t xml:space="preserve"> 17.9</w:t>
      </w:r>
      <w:r w:rsidRPr="006F1BC0">
        <w:rPr>
          <w:rFonts w:cstheme="minorHAnsi"/>
          <w:bCs/>
        </w:rPr>
        <w:t>%</w:t>
      </w:r>
      <w:r w:rsidR="00E836A3" w:rsidRPr="006F1BC0">
        <w:rPr>
          <w:rFonts w:cstheme="minorHAnsi"/>
          <w:bCs/>
        </w:rPr>
        <w:t xml:space="preserve"> (Active Learning Trust was 21.4</w:t>
      </w:r>
      <w:r w:rsidR="0075542F" w:rsidRPr="006F1BC0">
        <w:rPr>
          <w:rFonts w:cstheme="minorHAnsi"/>
          <w:bCs/>
        </w:rPr>
        <w:t>%</w:t>
      </w:r>
      <w:r w:rsidR="00E836A3" w:rsidRPr="006F1BC0">
        <w:rPr>
          <w:rFonts w:cstheme="minorHAnsi"/>
          <w:bCs/>
        </w:rPr>
        <w:t xml:space="preserve"> in 2022)</w:t>
      </w:r>
      <w:r w:rsidR="00A81FC5" w:rsidRPr="006F1BC0">
        <w:rPr>
          <w:rFonts w:cstheme="minorHAnsi"/>
          <w:bCs/>
        </w:rPr>
        <w:t>, and the median 27.6</w:t>
      </w:r>
      <w:r w:rsidRPr="006F1BC0">
        <w:rPr>
          <w:rFonts w:cstheme="minorHAnsi"/>
          <w:bCs/>
        </w:rPr>
        <w:t>%</w:t>
      </w:r>
      <w:r w:rsidR="0075542F" w:rsidRPr="006F1BC0">
        <w:rPr>
          <w:rFonts w:cstheme="minorHAnsi"/>
          <w:bCs/>
        </w:rPr>
        <w:t xml:space="preserve"> (Active Learning Trust was 23.3% in 2022)</w:t>
      </w:r>
      <w:r w:rsidR="00A81FC5" w:rsidRPr="006F1BC0">
        <w:rPr>
          <w:rFonts w:cstheme="minorHAnsi"/>
          <w:bCs/>
        </w:rPr>
        <w:t xml:space="preserve">. </w:t>
      </w:r>
    </w:p>
    <w:p w14:paraId="5D0FCE2C" w14:textId="21CA216A" w:rsidR="00D2060C" w:rsidRDefault="00D2060C" w:rsidP="006F1BC0">
      <w:pPr>
        <w:rPr>
          <w:rFonts w:cstheme="minorHAnsi"/>
          <w:bCs/>
        </w:rPr>
      </w:pPr>
      <w:r>
        <w:rPr>
          <w:rFonts w:cstheme="minorHAnsi"/>
          <w:bCs/>
        </w:rPr>
        <w:t>Of the 815 returns in the education sector, the</w:t>
      </w:r>
      <w:r w:rsidRPr="00D2060C">
        <w:rPr>
          <w:rFonts w:cstheme="minorHAnsi"/>
          <w:bCs/>
        </w:rPr>
        <w:t xml:space="preserve">re was no median gender pay gap in </w:t>
      </w:r>
      <w:r w:rsidR="00A15A80" w:rsidRPr="00D2060C">
        <w:rPr>
          <w:rFonts w:cstheme="minorHAnsi"/>
          <w:bCs/>
        </w:rPr>
        <w:t>nine</w:t>
      </w:r>
      <w:r w:rsidRPr="00D2060C">
        <w:rPr>
          <w:rFonts w:cstheme="minorHAnsi"/>
          <w:bCs/>
        </w:rPr>
        <w:t xml:space="preserve"> organisations, but women were, on average paid less than men in 775 of the 815 organisations (95.1</w:t>
      </w:r>
      <w:r w:rsidR="00E2263F">
        <w:rPr>
          <w:rFonts w:cstheme="minorHAnsi"/>
          <w:bCs/>
        </w:rPr>
        <w:t>%</w:t>
      </w:r>
      <w:r w:rsidRPr="00D2060C">
        <w:rPr>
          <w:rFonts w:cstheme="minorHAnsi"/>
          <w:bCs/>
        </w:rPr>
        <w:t>); in 31 organisations the reverse was true.</w:t>
      </w:r>
    </w:p>
    <w:p w14:paraId="002CCB2B" w14:textId="3074EAF1" w:rsidR="00F046DF" w:rsidRDefault="00744E00" w:rsidP="00F046DF">
      <w:pPr>
        <w:shd w:val="clear" w:color="auto" w:fill="FFFFFF"/>
        <w:spacing w:after="0" w:line="240" w:lineRule="auto"/>
        <w:rPr>
          <w:rFonts w:cstheme="minorHAnsi"/>
          <w:bCs/>
        </w:rPr>
      </w:pPr>
      <w:r w:rsidRPr="00744E00">
        <w:rPr>
          <w:rFonts w:cstheme="minorHAnsi"/>
          <w:bCs/>
        </w:rPr>
        <w:t xml:space="preserve">Both mean and median gender pay gaps are lower in the secondary phase than the primary phase. </w:t>
      </w:r>
    </w:p>
    <w:p w14:paraId="7268066F" w14:textId="77777777" w:rsidR="00F046DF" w:rsidRDefault="00F046DF" w:rsidP="00F046DF">
      <w:pPr>
        <w:shd w:val="clear" w:color="auto" w:fill="FFFFFF"/>
        <w:spacing w:after="0" w:line="240" w:lineRule="auto"/>
        <w:rPr>
          <w:rFonts w:cstheme="minorHAnsi"/>
          <w:bCs/>
        </w:rPr>
      </w:pPr>
    </w:p>
    <w:p w14:paraId="36B00E79" w14:textId="517AE31F" w:rsidR="00CC0AEF" w:rsidRDefault="00744E00" w:rsidP="00F046DF">
      <w:pPr>
        <w:shd w:val="clear" w:color="auto" w:fill="FFFFFF"/>
        <w:spacing w:after="0" w:line="240" w:lineRule="auto"/>
        <w:rPr>
          <w:rFonts w:cstheme="minorHAnsi"/>
          <w:bCs/>
        </w:rPr>
      </w:pPr>
      <w:r w:rsidRPr="00744E00">
        <w:rPr>
          <w:rFonts w:cstheme="minorHAnsi"/>
          <w:bCs/>
        </w:rPr>
        <w:t xml:space="preserve">There is a general trend of a reduced gender pay gap in the secondary phase, although the median gender pay gap in the secondary phase marginally increased by 0.4 percent in 2022/23. </w:t>
      </w:r>
    </w:p>
    <w:p w14:paraId="73AA0C9E" w14:textId="77777777" w:rsidR="00F046DF" w:rsidRPr="00F046DF" w:rsidRDefault="00F046DF" w:rsidP="00F046DF">
      <w:pPr>
        <w:shd w:val="clear" w:color="auto" w:fill="FFFFFF"/>
        <w:spacing w:after="0" w:line="240" w:lineRule="auto"/>
        <w:rPr>
          <w:rFonts w:cstheme="minorHAnsi"/>
          <w:bCs/>
        </w:rPr>
      </w:pPr>
    </w:p>
    <w:p w14:paraId="2CEC23AE" w14:textId="4F3A0772" w:rsidR="00CC0AEF" w:rsidRDefault="00744E00" w:rsidP="00F046DF">
      <w:pPr>
        <w:shd w:val="clear" w:color="auto" w:fill="FFFFFF"/>
        <w:spacing w:after="0" w:line="240" w:lineRule="auto"/>
        <w:rPr>
          <w:rFonts w:cstheme="minorHAnsi"/>
          <w:bCs/>
        </w:rPr>
      </w:pPr>
      <w:r w:rsidRPr="00744E00">
        <w:rPr>
          <w:rFonts w:cstheme="minorHAnsi"/>
          <w:bCs/>
        </w:rPr>
        <w:t xml:space="preserve">The </w:t>
      </w:r>
      <w:r w:rsidRPr="00744E00">
        <w:rPr>
          <w:rFonts w:cstheme="minorHAnsi"/>
          <w:b/>
          <w:u w:val="single"/>
        </w:rPr>
        <w:t>mean average</w:t>
      </w:r>
      <w:r w:rsidRPr="00744E00">
        <w:rPr>
          <w:rFonts w:cstheme="minorHAnsi"/>
          <w:bCs/>
        </w:rPr>
        <w:t xml:space="preserve"> in the secondary phase is 15</w:t>
      </w:r>
      <w:r w:rsidR="00E2263F">
        <w:rPr>
          <w:rFonts w:cstheme="minorHAnsi"/>
          <w:bCs/>
        </w:rPr>
        <w:t>%</w:t>
      </w:r>
      <w:r w:rsidRPr="00744E00">
        <w:rPr>
          <w:rFonts w:cstheme="minorHAnsi"/>
          <w:bCs/>
        </w:rPr>
        <w:t>, and it is 21.3</w:t>
      </w:r>
      <w:r w:rsidR="00E2263F">
        <w:rPr>
          <w:rFonts w:cstheme="minorHAnsi"/>
          <w:bCs/>
        </w:rPr>
        <w:t>%</w:t>
      </w:r>
      <w:r w:rsidRPr="00744E00">
        <w:rPr>
          <w:rFonts w:cstheme="minorHAnsi"/>
          <w:bCs/>
        </w:rPr>
        <w:t xml:space="preserve"> in the primary phase</w:t>
      </w:r>
      <w:r w:rsidR="00863DB1">
        <w:rPr>
          <w:rFonts w:cstheme="minorHAnsi"/>
          <w:bCs/>
        </w:rPr>
        <w:t xml:space="preserve">.  </w:t>
      </w:r>
      <w:r w:rsidRPr="00744E00">
        <w:rPr>
          <w:rFonts w:cstheme="minorHAnsi"/>
          <w:bCs/>
        </w:rPr>
        <w:t xml:space="preserve">The </w:t>
      </w:r>
      <w:r w:rsidRPr="00744E00">
        <w:rPr>
          <w:rFonts w:cstheme="minorHAnsi"/>
          <w:b/>
          <w:u w:val="single"/>
        </w:rPr>
        <w:t xml:space="preserve">median average </w:t>
      </w:r>
      <w:r w:rsidRPr="00744E00">
        <w:rPr>
          <w:rFonts w:cstheme="minorHAnsi"/>
          <w:bCs/>
        </w:rPr>
        <w:t>in the secondary phase is 23.2</w:t>
      </w:r>
      <w:r w:rsidR="00E2263F">
        <w:rPr>
          <w:rFonts w:cstheme="minorHAnsi"/>
          <w:bCs/>
        </w:rPr>
        <w:t>%</w:t>
      </w:r>
      <w:r w:rsidRPr="00744E00">
        <w:rPr>
          <w:rFonts w:cstheme="minorHAnsi"/>
          <w:bCs/>
        </w:rPr>
        <w:t>, and it is 30.2</w:t>
      </w:r>
      <w:r w:rsidR="00E2263F">
        <w:rPr>
          <w:rFonts w:cstheme="minorHAnsi"/>
          <w:bCs/>
        </w:rPr>
        <w:t>%</w:t>
      </w:r>
      <w:r w:rsidRPr="00744E00">
        <w:rPr>
          <w:rFonts w:cstheme="minorHAnsi"/>
          <w:bCs/>
        </w:rPr>
        <w:t xml:space="preserve"> in the primary phase</w:t>
      </w:r>
    </w:p>
    <w:p w14:paraId="59ABCBAB" w14:textId="77777777" w:rsidR="00F046DF" w:rsidRPr="00F046DF" w:rsidRDefault="00F046DF" w:rsidP="00F046DF">
      <w:pPr>
        <w:shd w:val="clear" w:color="auto" w:fill="FFFFFF"/>
        <w:spacing w:after="0" w:line="240" w:lineRule="auto"/>
        <w:rPr>
          <w:rFonts w:cstheme="minorHAnsi"/>
          <w:bCs/>
        </w:rPr>
      </w:pPr>
    </w:p>
    <w:p w14:paraId="37B65182" w14:textId="20F377D5" w:rsidR="00D14C43" w:rsidRDefault="001569E6" w:rsidP="00F046DF">
      <w:pPr>
        <w:shd w:val="clear" w:color="auto" w:fill="FFFFFF"/>
        <w:spacing w:after="0" w:line="240" w:lineRule="auto"/>
        <w:rPr>
          <w:rFonts w:cstheme="minorHAnsi"/>
          <w:bCs/>
        </w:rPr>
      </w:pPr>
      <w:r>
        <w:rPr>
          <w:rFonts w:cstheme="minorHAnsi"/>
          <w:bCs/>
        </w:rPr>
        <w:t>E</w:t>
      </w:r>
      <w:r w:rsidR="00744E00" w:rsidRPr="00744E00">
        <w:rPr>
          <w:rFonts w:cstheme="minorHAnsi"/>
          <w:bCs/>
        </w:rPr>
        <w:t>mployers who operate across both phases report a mean average of 18.78</w:t>
      </w:r>
      <w:r>
        <w:rPr>
          <w:rFonts w:cstheme="minorHAnsi"/>
          <w:bCs/>
        </w:rPr>
        <w:t>%</w:t>
      </w:r>
      <w:r w:rsidR="00744E00" w:rsidRPr="00744E00">
        <w:rPr>
          <w:rFonts w:cstheme="minorHAnsi"/>
          <w:bCs/>
        </w:rPr>
        <w:t xml:space="preserve"> and a median 30.19</w:t>
      </w:r>
      <w:r>
        <w:rPr>
          <w:rFonts w:cstheme="minorHAnsi"/>
          <w:bCs/>
        </w:rPr>
        <w:t>%</w:t>
      </w:r>
      <w:r w:rsidR="00744E00" w:rsidRPr="00744E00">
        <w:rPr>
          <w:rFonts w:cstheme="minorHAnsi"/>
          <w:bCs/>
        </w:rPr>
        <w:t>. The pay gap being closer to the primary phase may indicate that there are more primaries in their multi-academy trust than secondaries.</w:t>
      </w:r>
      <w:r w:rsidR="00F046DF">
        <w:rPr>
          <w:rFonts w:cstheme="minorHAnsi"/>
          <w:bCs/>
        </w:rPr>
        <w:t xml:space="preserve">  Active Learning Trust </w:t>
      </w:r>
      <w:r w:rsidR="003D3C6D">
        <w:rPr>
          <w:rFonts w:cstheme="minorHAnsi"/>
          <w:bCs/>
        </w:rPr>
        <w:t xml:space="preserve">employee numbers are split </w:t>
      </w:r>
      <w:r w:rsidR="00037939">
        <w:rPr>
          <w:rFonts w:cstheme="minorHAnsi"/>
          <w:bCs/>
        </w:rPr>
        <w:t xml:space="preserve">11.3% special, 32% secondary (including all of Cromwell All-Through employees) and 56.7% </w:t>
      </w:r>
      <w:r w:rsidR="00B708F4">
        <w:rPr>
          <w:rFonts w:cstheme="minorHAnsi"/>
          <w:bCs/>
        </w:rPr>
        <w:t xml:space="preserve">primary.  </w:t>
      </w:r>
    </w:p>
    <w:p w14:paraId="08D4DE0F" w14:textId="77777777" w:rsidR="00D14C43" w:rsidRDefault="00D14C43" w:rsidP="00F046DF">
      <w:pPr>
        <w:shd w:val="clear" w:color="auto" w:fill="FFFFFF"/>
        <w:spacing w:after="0" w:line="240" w:lineRule="auto"/>
        <w:rPr>
          <w:rFonts w:cstheme="minorHAnsi"/>
          <w:bCs/>
        </w:rPr>
      </w:pPr>
    </w:p>
    <w:p w14:paraId="357BE0ED" w14:textId="0E013FA3" w:rsidR="00744E00" w:rsidRDefault="00753C0F" w:rsidP="00C3541C">
      <w:pPr>
        <w:shd w:val="clear" w:color="auto" w:fill="FFFFFF"/>
        <w:spacing w:after="0" w:line="240" w:lineRule="auto"/>
        <w:rPr>
          <w:rFonts w:cstheme="minorHAnsi"/>
          <w:bCs/>
        </w:rPr>
      </w:pPr>
      <w:r>
        <w:rPr>
          <w:rFonts w:cstheme="minorHAnsi"/>
          <w:bCs/>
        </w:rPr>
        <w:t>Active Learning Trust had a high</w:t>
      </w:r>
      <w:r w:rsidR="003A7C9A">
        <w:rPr>
          <w:rFonts w:cstheme="minorHAnsi"/>
          <w:bCs/>
        </w:rPr>
        <w:t>er than average</w:t>
      </w:r>
      <w:r>
        <w:rPr>
          <w:rFonts w:cstheme="minorHAnsi"/>
          <w:bCs/>
        </w:rPr>
        <w:t xml:space="preserve"> mean </w:t>
      </w:r>
      <w:r w:rsidR="003A7C9A">
        <w:rPr>
          <w:rFonts w:cstheme="minorHAnsi"/>
          <w:bCs/>
        </w:rPr>
        <w:t xml:space="preserve">pay gap </w:t>
      </w:r>
      <w:r>
        <w:rPr>
          <w:rFonts w:cstheme="minorHAnsi"/>
          <w:bCs/>
        </w:rPr>
        <w:t>for 2022 (21.4%) but this has significantly reduced (7.6%) in 2023</w:t>
      </w:r>
      <w:r w:rsidR="003A7C9A">
        <w:rPr>
          <w:rFonts w:cstheme="minorHAnsi"/>
          <w:bCs/>
        </w:rPr>
        <w:t xml:space="preserve">.  This </w:t>
      </w:r>
      <w:r w:rsidR="0036569F">
        <w:rPr>
          <w:rFonts w:cstheme="minorHAnsi"/>
          <w:bCs/>
        </w:rPr>
        <w:t>could well be due to the</w:t>
      </w:r>
      <w:r w:rsidR="008C7AF3">
        <w:rPr>
          <w:rFonts w:cstheme="minorHAnsi"/>
          <w:bCs/>
        </w:rPr>
        <w:t xml:space="preserve"> higher pay uplifts at the bottom end of the pay scale</w:t>
      </w:r>
      <w:r w:rsidR="00401554">
        <w:rPr>
          <w:rFonts w:cstheme="minorHAnsi"/>
          <w:bCs/>
        </w:rPr>
        <w:t xml:space="preserve">.  The 2023 national data analysis will be </w:t>
      </w:r>
      <w:r w:rsidR="00935CB5">
        <w:rPr>
          <w:rFonts w:cstheme="minorHAnsi"/>
          <w:bCs/>
        </w:rPr>
        <w:t xml:space="preserve">reviewed with interest to see if this is a trend across the sector.  </w:t>
      </w:r>
      <w:r w:rsidR="00D14C43">
        <w:rPr>
          <w:rFonts w:cstheme="minorHAnsi"/>
          <w:bCs/>
        </w:rPr>
        <w:t xml:space="preserve">The Trust’s median pay gap for 2022 (23.3%) </w:t>
      </w:r>
      <w:r w:rsidR="008B6ECE">
        <w:rPr>
          <w:rFonts w:cstheme="minorHAnsi"/>
          <w:bCs/>
        </w:rPr>
        <w:t>is consi</w:t>
      </w:r>
      <w:r w:rsidR="007B6F2A">
        <w:rPr>
          <w:rFonts w:cstheme="minorHAnsi"/>
          <w:bCs/>
        </w:rPr>
        <w:t xml:space="preserve">dered low for the sector average with the mixed </w:t>
      </w:r>
      <w:r w:rsidR="00C3541C">
        <w:rPr>
          <w:rFonts w:cstheme="minorHAnsi"/>
          <w:bCs/>
        </w:rPr>
        <w:t>phased schools, but there needs to be work on reducing this overall headline.</w:t>
      </w:r>
    </w:p>
    <w:p w14:paraId="0FC6498A" w14:textId="77777777" w:rsidR="007F659B" w:rsidRDefault="007F659B" w:rsidP="00C3541C">
      <w:pPr>
        <w:shd w:val="clear" w:color="auto" w:fill="FFFFFF"/>
        <w:spacing w:after="0" w:line="240" w:lineRule="auto"/>
        <w:rPr>
          <w:rFonts w:cstheme="minorHAnsi"/>
          <w:bCs/>
        </w:rPr>
      </w:pPr>
    </w:p>
    <w:p w14:paraId="03E23273" w14:textId="227FBE8E" w:rsidR="00E7705B" w:rsidRDefault="00A6783E" w:rsidP="008E63C9">
      <w:pPr>
        <w:shd w:val="clear" w:color="auto" w:fill="FFFFFF"/>
        <w:spacing w:after="0" w:line="240" w:lineRule="auto"/>
        <w:rPr>
          <w:rFonts w:cstheme="minorHAnsi"/>
          <w:bCs/>
        </w:rPr>
      </w:pPr>
      <w:r>
        <w:rPr>
          <w:rFonts w:cstheme="minorHAnsi"/>
          <w:bCs/>
        </w:rPr>
        <w:t>Nationally</w:t>
      </w:r>
      <w:r w:rsidR="006D372D">
        <w:rPr>
          <w:rFonts w:cstheme="minorHAnsi"/>
          <w:bCs/>
        </w:rPr>
        <w:t xml:space="preserve"> in the 2022 </w:t>
      </w:r>
      <w:r w:rsidR="00863DB1">
        <w:rPr>
          <w:rFonts w:cstheme="minorHAnsi"/>
          <w:bCs/>
        </w:rPr>
        <w:t xml:space="preserve">education sector </w:t>
      </w:r>
      <w:r w:rsidR="006D372D">
        <w:rPr>
          <w:rFonts w:cstheme="minorHAnsi"/>
          <w:bCs/>
        </w:rPr>
        <w:t>returns</w:t>
      </w:r>
      <w:r>
        <w:rPr>
          <w:rFonts w:cstheme="minorHAnsi"/>
          <w:bCs/>
        </w:rPr>
        <w:t>, t</w:t>
      </w:r>
      <w:r w:rsidR="00210399">
        <w:rPr>
          <w:rFonts w:cstheme="minorHAnsi"/>
          <w:bCs/>
        </w:rPr>
        <w:t xml:space="preserve">he proportion of men in the highest quartile </w:t>
      </w:r>
      <w:r w:rsidR="006D372D">
        <w:rPr>
          <w:rFonts w:cstheme="minorHAnsi"/>
          <w:bCs/>
        </w:rPr>
        <w:t>was</w:t>
      </w:r>
      <w:r w:rsidR="00210399">
        <w:rPr>
          <w:rFonts w:cstheme="minorHAnsi"/>
          <w:bCs/>
        </w:rPr>
        <w:t xml:space="preserve"> nearly double that of the lowest quartile </w:t>
      </w:r>
      <w:r>
        <w:rPr>
          <w:rFonts w:cstheme="minorHAnsi"/>
          <w:bCs/>
        </w:rPr>
        <w:t xml:space="preserve">in the secondary phase.  In the primary </w:t>
      </w:r>
      <w:r w:rsidR="005F4759">
        <w:rPr>
          <w:rFonts w:cstheme="minorHAnsi"/>
          <w:bCs/>
        </w:rPr>
        <w:t xml:space="preserve">phase </w:t>
      </w:r>
      <w:r w:rsidR="006D372D">
        <w:rPr>
          <w:rFonts w:cstheme="minorHAnsi"/>
          <w:bCs/>
        </w:rPr>
        <w:t xml:space="preserve">there were over three times as many men in the highest quartile than the lowest quartile.  The Employer Link research </w:t>
      </w:r>
      <w:r w:rsidR="001B509F">
        <w:rPr>
          <w:rFonts w:cstheme="minorHAnsi"/>
          <w:bCs/>
        </w:rPr>
        <w:t>concluded that this shows</w:t>
      </w:r>
      <w:r w:rsidR="006D372D">
        <w:rPr>
          <w:rFonts w:cstheme="minorHAnsi"/>
          <w:bCs/>
        </w:rPr>
        <w:t xml:space="preserve"> men are progressing at a faster rate in th</w:t>
      </w:r>
      <w:r w:rsidR="008E63C9">
        <w:rPr>
          <w:rFonts w:cstheme="minorHAnsi"/>
          <w:bCs/>
        </w:rPr>
        <w:t xml:space="preserve">e primary sector.  The overall </w:t>
      </w:r>
      <w:r w:rsidR="008C08B0">
        <w:rPr>
          <w:rFonts w:cstheme="minorHAnsi"/>
          <w:bCs/>
        </w:rPr>
        <w:t>quartile assessment for Active Learning Trust indicates that there are more than two times as many men in the highest quartile than the lowest quartile</w:t>
      </w:r>
      <w:r w:rsidR="0026032B">
        <w:rPr>
          <w:rFonts w:cstheme="minorHAnsi"/>
          <w:bCs/>
        </w:rPr>
        <w:t xml:space="preserve">, although the </w:t>
      </w:r>
      <w:r w:rsidR="001B509F">
        <w:rPr>
          <w:rFonts w:cstheme="minorHAnsi"/>
          <w:bCs/>
        </w:rPr>
        <w:t>differential</w:t>
      </w:r>
      <w:r w:rsidR="0026032B">
        <w:rPr>
          <w:rFonts w:cstheme="minorHAnsi"/>
          <w:bCs/>
        </w:rPr>
        <w:t xml:space="preserve"> has </w:t>
      </w:r>
      <w:r w:rsidR="001B509F">
        <w:rPr>
          <w:rFonts w:cstheme="minorHAnsi"/>
          <w:bCs/>
        </w:rPr>
        <w:t>reduced</w:t>
      </w:r>
      <w:r w:rsidR="0026032B">
        <w:rPr>
          <w:rFonts w:cstheme="minorHAnsi"/>
          <w:bCs/>
        </w:rPr>
        <w:t xml:space="preserve"> in the latest 2023 Trust data </w:t>
      </w:r>
      <w:r w:rsidR="005D34B1">
        <w:rPr>
          <w:rFonts w:cstheme="minorHAnsi"/>
          <w:bCs/>
        </w:rPr>
        <w:t>when compared with</w:t>
      </w:r>
      <w:r w:rsidR="0026032B">
        <w:rPr>
          <w:rFonts w:cstheme="minorHAnsi"/>
          <w:bCs/>
        </w:rPr>
        <w:t xml:space="preserve"> the 2022 figures.</w:t>
      </w:r>
    </w:p>
    <w:p w14:paraId="3F276253" w14:textId="77777777" w:rsidR="00E7705B" w:rsidRDefault="00E7705B" w:rsidP="008E63C9">
      <w:pPr>
        <w:shd w:val="clear" w:color="auto" w:fill="FFFFFF"/>
        <w:spacing w:after="0" w:line="240" w:lineRule="auto"/>
        <w:rPr>
          <w:rFonts w:cstheme="minorHAnsi"/>
          <w:bCs/>
        </w:rPr>
      </w:pPr>
    </w:p>
    <w:p w14:paraId="514355C5" w14:textId="3A96BD0E" w:rsidR="007F659B" w:rsidRDefault="00E7705B" w:rsidP="00E7705B">
      <w:pPr>
        <w:shd w:val="clear" w:color="auto" w:fill="FFFFFF"/>
        <w:spacing w:after="0" w:line="240" w:lineRule="auto"/>
        <w:rPr>
          <w:rFonts w:cstheme="minorHAnsi"/>
          <w:bCs/>
        </w:rPr>
      </w:pPr>
      <w:r>
        <w:rPr>
          <w:rFonts w:cstheme="minorHAnsi"/>
          <w:bCs/>
        </w:rPr>
        <w:t xml:space="preserve">In terms of the specific role of Chief Executive Officer, Employer Link found that there is a gender split of approximately 2:1 (men to women) in the Academy sector.  </w:t>
      </w:r>
    </w:p>
    <w:p w14:paraId="3C5E8FEC" w14:textId="77777777" w:rsidR="00744E00" w:rsidRDefault="00744E00" w:rsidP="00F046DF">
      <w:pPr>
        <w:spacing w:after="0" w:line="240" w:lineRule="auto"/>
        <w:rPr>
          <w:rFonts w:cstheme="minorHAnsi"/>
          <w:bCs/>
        </w:rPr>
      </w:pPr>
    </w:p>
    <w:p w14:paraId="7F06DE3C" w14:textId="7EAD4851" w:rsidR="00060E28" w:rsidRDefault="006F1BC0" w:rsidP="006F1BC0">
      <w:pPr>
        <w:rPr>
          <w:rFonts w:cstheme="minorHAnsi"/>
          <w:bCs/>
        </w:rPr>
      </w:pPr>
      <w:r>
        <w:rPr>
          <w:rFonts w:cstheme="minorHAnsi"/>
          <w:bCs/>
        </w:rPr>
        <w:t>Data for 2023</w:t>
      </w:r>
      <w:r w:rsidR="00060E28">
        <w:rPr>
          <w:rFonts w:cstheme="minorHAnsi"/>
          <w:bCs/>
        </w:rPr>
        <w:t xml:space="preserve"> reporting</w:t>
      </w:r>
      <w:r>
        <w:rPr>
          <w:rFonts w:cstheme="minorHAnsi"/>
          <w:bCs/>
        </w:rPr>
        <w:t xml:space="preserve"> is not </w:t>
      </w:r>
      <w:r w:rsidR="00A15A80">
        <w:rPr>
          <w:rFonts w:cstheme="minorHAnsi"/>
          <w:bCs/>
        </w:rPr>
        <w:t>yet</w:t>
      </w:r>
      <w:r>
        <w:rPr>
          <w:rFonts w:cstheme="minorHAnsi"/>
          <w:bCs/>
        </w:rPr>
        <w:t xml:space="preserve"> available</w:t>
      </w:r>
      <w:r w:rsidR="00060E28">
        <w:rPr>
          <w:rFonts w:cstheme="minorHAnsi"/>
          <w:bCs/>
        </w:rPr>
        <w:t xml:space="preserve"> as the reporting period is still open</w:t>
      </w:r>
      <w:r>
        <w:rPr>
          <w:rFonts w:cstheme="minorHAnsi"/>
          <w:bCs/>
        </w:rPr>
        <w:t>.</w:t>
      </w:r>
    </w:p>
    <w:p w14:paraId="6B4EBCBF" w14:textId="77777777" w:rsidR="00273718" w:rsidRDefault="00060E28" w:rsidP="00273718">
      <w:pPr>
        <w:pStyle w:val="NormalWeb"/>
        <w:shd w:val="clear" w:color="auto" w:fill="FFFFFF"/>
        <w:spacing w:before="0" w:beforeAutospacing="0" w:after="0" w:afterAutospacing="0"/>
        <w:rPr>
          <w:rFonts w:asciiTheme="minorHAnsi" w:eastAsiaTheme="minorHAnsi" w:hAnsiTheme="minorHAnsi" w:cstheme="minorHAnsi"/>
          <w:bCs/>
          <w:sz w:val="22"/>
          <w:szCs w:val="22"/>
          <w:lang w:eastAsia="en-US"/>
        </w:rPr>
      </w:pPr>
      <w:r w:rsidRPr="00273718">
        <w:rPr>
          <w:rFonts w:asciiTheme="minorHAnsi" w:eastAsiaTheme="minorHAnsi" w:hAnsiTheme="minorHAnsi" w:cstheme="minorHAnsi"/>
          <w:bCs/>
          <w:sz w:val="22"/>
          <w:szCs w:val="22"/>
          <w:lang w:eastAsia="en-US"/>
        </w:rPr>
        <w:t xml:space="preserve">The data for the education sector predominantly relates to </w:t>
      </w:r>
      <w:r w:rsidR="00205188" w:rsidRPr="00273718">
        <w:rPr>
          <w:rFonts w:asciiTheme="minorHAnsi" w:eastAsiaTheme="minorHAnsi" w:hAnsiTheme="minorHAnsi" w:cstheme="minorHAnsi"/>
          <w:bCs/>
          <w:sz w:val="22"/>
          <w:szCs w:val="22"/>
          <w:lang w:eastAsia="en-US"/>
        </w:rPr>
        <w:t xml:space="preserve">Multi Academy Trust data </w:t>
      </w:r>
      <w:r w:rsidRPr="00273718">
        <w:rPr>
          <w:rFonts w:asciiTheme="minorHAnsi" w:eastAsiaTheme="minorHAnsi" w:hAnsiTheme="minorHAnsi" w:cstheme="minorHAnsi"/>
          <w:bCs/>
          <w:sz w:val="22"/>
          <w:szCs w:val="22"/>
          <w:lang w:eastAsia="en-US"/>
        </w:rPr>
        <w:t xml:space="preserve">as it is only employers with more than 250 employees that need to submit data. </w:t>
      </w:r>
    </w:p>
    <w:p w14:paraId="5D2B36F5" w14:textId="77777777" w:rsidR="00476128" w:rsidRDefault="00476128" w:rsidP="00273718">
      <w:pPr>
        <w:pStyle w:val="NormalWeb"/>
        <w:shd w:val="clear" w:color="auto" w:fill="FFFFFF"/>
        <w:spacing w:before="0" w:beforeAutospacing="0" w:after="0" w:afterAutospacing="0"/>
        <w:rPr>
          <w:rFonts w:asciiTheme="minorHAnsi" w:eastAsiaTheme="minorHAnsi" w:hAnsiTheme="minorHAnsi" w:cstheme="minorHAnsi"/>
          <w:bCs/>
          <w:sz w:val="22"/>
          <w:szCs w:val="22"/>
          <w:lang w:eastAsia="en-US"/>
        </w:rPr>
      </w:pPr>
    </w:p>
    <w:p w14:paraId="32C97E91" w14:textId="1931167B" w:rsidR="00476128" w:rsidRPr="00476128" w:rsidRDefault="00476128" w:rsidP="00273718">
      <w:pPr>
        <w:pStyle w:val="NormalWeb"/>
        <w:shd w:val="clear" w:color="auto" w:fill="FFFFFF"/>
        <w:spacing w:before="0" w:beforeAutospacing="0" w:after="0" w:afterAutospacing="0"/>
        <w:rPr>
          <w:rFonts w:asciiTheme="minorHAnsi" w:eastAsiaTheme="minorHAnsi" w:hAnsiTheme="minorHAnsi" w:cstheme="minorHAnsi"/>
          <w:b/>
          <w:sz w:val="22"/>
          <w:szCs w:val="22"/>
          <w:lang w:eastAsia="en-US"/>
        </w:rPr>
      </w:pPr>
      <w:r w:rsidRPr="00476128">
        <w:rPr>
          <w:rFonts w:asciiTheme="minorHAnsi" w:eastAsiaTheme="minorHAnsi" w:hAnsiTheme="minorHAnsi" w:cstheme="minorHAnsi"/>
          <w:b/>
          <w:sz w:val="22"/>
          <w:szCs w:val="22"/>
          <w:lang w:eastAsia="en-US"/>
        </w:rPr>
        <w:t xml:space="preserve">Active Learning Trust Data: </w:t>
      </w:r>
    </w:p>
    <w:p w14:paraId="034D9589" w14:textId="77777777" w:rsidR="00476128" w:rsidRDefault="00476128" w:rsidP="00273718">
      <w:pPr>
        <w:pStyle w:val="NormalWeb"/>
        <w:shd w:val="clear" w:color="auto" w:fill="FFFFFF"/>
        <w:spacing w:before="0" w:beforeAutospacing="0" w:after="0" w:afterAutospacing="0"/>
        <w:rPr>
          <w:rFonts w:asciiTheme="minorHAnsi" w:eastAsiaTheme="minorHAnsi" w:hAnsiTheme="minorHAnsi" w:cstheme="minorHAnsi"/>
          <w:bCs/>
          <w:sz w:val="22"/>
          <w:szCs w:val="22"/>
          <w:lang w:eastAsia="en-US"/>
        </w:rPr>
      </w:pPr>
    </w:p>
    <w:p w14:paraId="4DFC6C19" w14:textId="0FCD971F" w:rsidR="00060E28" w:rsidRDefault="00205188" w:rsidP="00273718">
      <w:pPr>
        <w:pStyle w:val="NormalWeb"/>
        <w:shd w:val="clear" w:color="auto" w:fill="FFFFFF"/>
        <w:spacing w:before="0" w:beforeAutospacing="0" w:after="0" w:afterAutospacing="0"/>
        <w:rPr>
          <w:rFonts w:asciiTheme="minorHAnsi" w:eastAsiaTheme="minorHAnsi" w:hAnsiTheme="minorHAnsi" w:cstheme="minorHAnsi"/>
          <w:bCs/>
          <w:sz w:val="22"/>
          <w:szCs w:val="22"/>
          <w:lang w:eastAsia="en-US"/>
        </w:rPr>
      </w:pPr>
      <w:r w:rsidRPr="00273718">
        <w:rPr>
          <w:rFonts w:asciiTheme="minorHAnsi" w:eastAsiaTheme="minorHAnsi" w:hAnsiTheme="minorHAnsi" w:cstheme="minorHAnsi"/>
          <w:bCs/>
          <w:sz w:val="22"/>
          <w:szCs w:val="22"/>
          <w:lang w:eastAsia="en-US"/>
        </w:rPr>
        <w:t>Whilst we only have to submit an overall gender pay gap for the Trust’s whole workforce</w:t>
      </w:r>
      <w:r w:rsidR="00734F74" w:rsidRPr="00273718">
        <w:rPr>
          <w:rFonts w:asciiTheme="minorHAnsi" w:eastAsiaTheme="minorHAnsi" w:hAnsiTheme="minorHAnsi" w:cstheme="minorHAnsi"/>
          <w:bCs/>
          <w:sz w:val="22"/>
          <w:szCs w:val="22"/>
          <w:lang w:eastAsia="en-US"/>
        </w:rPr>
        <w:t xml:space="preserve">, providing a headline figure, the Trust has decided to break down our pay gap further </w:t>
      </w:r>
      <w:r w:rsidR="00273718" w:rsidRPr="00273718">
        <w:rPr>
          <w:rFonts w:asciiTheme="minorHAnsi" w:eastAsiaTheme="minorHAnsi" w:hAnsiTheme="minorHAnsi" w:cstheme="minorHAnsi"/>
          <w:bCs/>
          <w:sz w:val="22"/>
          <w:szCs w:val="22"/>
          <w:lang w:eastAsia="en-US"/>
        </w:rPr>
        <w:t xml:space="preserve">e.g. gaps for teaching, non-teaching and leadership roles.  </w:t>
      </w:r>
      <w:r w:rsidR="00060E28" w:rsidRPr="00273718">
        <w:rPr>
          <w:rFonts w:asciiTheme="minorHAnsi" w:eastAsiaTheme="minorHAnsi" w:hAnsiTheme="minorHAnsi" w:cstheme="minorHAnsi"/>
          <w:bCs/>
          <w:sz w:val="22"/>
          <w:szCs w:val="22"/>
          <w:lang w:eastAsia="en-US"/>
        </w:rPr>
        <w:t xml:space="preserve">Analysing data in </w:t>
      </w:r>
      <w:r w:rsidR="00273718" w:rsidRPr="00273718">
        <w:rPr>
          <w:rFonts w:asciiTheme="minorHAnsi" w:eastAsiaTheme="minorHAnsi" w:hAnsiTheme="minorHAnsi" w:cstheme="minorHAnsi"/>
          <w:bCs/>
          <w:sz w:val="22"/>
          <w:szCs w:val="22"/>
          <w:lang w:eastAsia="en-US"/>
        </w:rPr>
        <w:t>this way</w:t>
      </w:r>
      <w:r w:rsidR="00060E28" w:rsidRPr="00273718">
        <w:rPr>
          <w:rFonts w:asciiTheme="minorHAnsi" w:eastAsiaTheme="minorHAnsi" w:hAnsiTheme="minorHAnsi" w:cstheme="minorHAnsi"/>
          <w:bCs/>
          <w:sz w:val="22"/>
          <w:szCs w:val="22"/>
          <w:lang w:eastAsia="en-US"/>
        </w:rPr>
        <w:t xml:space="preserve"> allows </w:t>
      </w:r>
      <w:r w:rsidR="00273718" w:rsidRPr="00273718">
        <w:rPr>
          <w:rFonts w:asciiTheme="minorHAnsi" w:eastAsiaTheme="minorHAnsi" w:hAnsiTheme="minorHAnsi" w:cstheme="minorHAnsi"/>
          <w:bCs/>
          <w:sz w:val="22"/>
          <w:szCs w:val="22"/>
          <w:lang w:eastAsia="en-US"/>
        </w:rPr>
        <w:t xml:space="preserve">us to </w:t>
      </w:r>
      <w:r w:rsidR="00060E28" w:rsidRPr="00273718">
        <w:rPr>
          <w:rFonts w:asciiTheme="minorHAnsi" w:eastAsiaTheme="minorHAnsi" w:hAnsiTheme="minorHAnsi" w:cstheme="minorHAnsi"/>
          <w:bCs/>
          <w:sz w:val="22"/>
          <w:szCs w:val="22"/>
          <w:lang w:eastAsia="en-US"/>
        </w:rPr>
        <w:t>better understand any occupational segregation</w:t>
      </w:r>
      <w:r w:rsidR="00273718" w:rsidRPr="00273718">
        <w:rPr>
          <w:rFonts w:asciiTheme="minorHAnsi" w:eastAsiaTheme="minorHAnsi" w:hAnsiTheme="minorHAnsi" w:cstheme="minorHAnsi"/>
          <w:bCs/>
          <w:sz w:val="22"/>
          <w:szCs w:val="22"/>
          <w:lang w:eastAsia="en-US"/>
        </w:rPr>
        <w:t xml:space="preserve"> and to</w:t>
      </w:r>
      <w:r w:rsidR="00060E28" w:rsidRPr="00273718">
        <w:rPr>
          <w:rFonts w:asciiTheme="minorHAnsi" w:eastAsiaTheme="minorHAnsi" w:hAnsiTheme="minorHAnsi" w:cstheme="minorHAnsi"/>
          <w:bCs/>
          <w:sz w:val="22"/>
          <w:szCs w:val="22"/>
          <w:lang w:eastAsia="en-US"/>
        </w:rPr>
        <w:t xml:space="preserve"> develop targeted action plans</w:t>
      </w:r>
      <w:r w:rsidR="00273718" w:rsidRPr="00273718">
        <w:rPr>
          <w:rFonts w:asciiTheme="minorHAnsi" w:eastAsiaTheme="minorHAnsi" w:hAnsiTheme="minorHAnsi" w:cstheme="minorHAnsi"/>
          <w:bCs/>
          <w:sz w:val="22"/>
          <w:szCs w:val="22"/>
          <w:lang w:eastAsia="en-US"/>
        </w:rPr>
        <w:t>.</w:t>
      </w:r>
    </w:p>
    <w:p w14:paraId="1BE3AF84" w14:textId="77777777" w:rsidR="00476128" w:rsidRPr="00273718" w:rsidRDefault="00476128" w:rsidP="00273718">
      <w:pPr>
        <w:pStyle w:val="NormalWeb"/>
        <w:shd w:val="clear" w:color="auto" w:fill="FFFFFF"/>
        <w:spacing w:before="0" w:beforeAutospacing="0" w:after="0" w:afterAutospacing="0"/>
        <w:rPr>
          <w:rFonts w:asciiTheme="minorHAnsi" w:eastAsiaTheme="minorHAnsi" w:hAnsiTheme="minorHAnsi" w:cstheme="minorHAnsi"/>
          <w:bCs/>
          <w:sz w:val="22"/>
          <w:szCs w:val="22"/>
          <w:lang w:eastAsia="en-US"/>
        </w:rPr>
      </w:pPr>
    </w:p>
    <w:p w14:paraId="59CCC1D1" w14:textId="7152F786" w:rsidR="00FB375D" w:rsidRPr="00D42DCA" w:rsidRDefault="00FB375D" w:rsidP="00D42DCA">
      <w:pPr>
        <w:pStyle w:val="ListParagraph"/>
        <w:numPr>
          <w:ilvl w:val="0"/>
          <w:numId w:val="5"/>
        </w:numPr>
        <w:ind w:left="709" w:hanging="283"/>
        <w:rPr>
          <w:rFonts w:cstheme="minorHAnsi"/>
        </w:rPr>
      </w:pPr>
      <w:r w:rsidRPr="00D42DCA">
        <w:rPr>
          <w:rFonts w:cstheme="minorHAnsi"/>
        </w:rPr>
        <w:t>The large majority of employees in the Trust (8</w:t>
      </w:r>
      <w:r w:rsidR="007C25A1">
        <w:rPr>
          <w:rFonts w:cstheme="minorHAnsi"/>
        </w:rPr>
        <w:t>4</w:t>
      </w:r>
      <w:r w:rsidR="00D531CF" w:rsidRPr="00D42DCA">
        <w:rPr>
          <w:rFonts w:cstheme="minorHAnsi"/>
        </w:rPr>
        <w:t>.</w:t>
      </w:r>
      <w:r w:rsidR="007C25A1">
        <w:rPr>
          <w:rFonts w:cstheme="minorHAnsi"/>
        </w:rPr>
        <w:t>18</w:t>
      </w:r>
      <w:r w:rsidRPr="00D42DCA">
        <w:rPr>
          <w:rFonts w:cstheme="minorHAnsi"/>
        </w:rPr>
        <w:t>%) are female</w:t>
      </w:r>
      <w:r w:rsidR="00D42DCA">
        <w:rPr>
          <w:rFonts w:cstheme="minorHAnsi"/>
        </w:rPr>
        <w:t xml:space="preserve">. This is reflective of the gender split </w:t>
      </w:r>
      <w:r w:rsidRPr="00D42DCA">
        <w:rPr>
          <w:rFonts w:cstheme="minorHAnsi"/>
        </w:rPr>
        <w:t>across the education sector in general and particularly given the predominance of primary schools in the Trust</w:t>
      </w:r>
      <w:r w:rsidR="00693543" w:rsidRPr="00D42DCA">
        <w:rPr>
          <w:rFonts w:cstheme="minorHAnsi"/>
        </w:rPr>
        <w:t xml:space="preserve"> that have a high proportion of female employees</w:t>
      </w:r>
      <w:r w:rsidR="00BC2D42" w:rsidRPr="00D42DCA">
        <w:rPr>
          <w:rFonts w:cstheme="minorHAnsi"/>
        </w:rPr>
        <w:t>.</w:t>
      </w:r>
    </w:p>
    <w:p w14:paraId="7E24E0FA" w14:textId="2AAB8684" w:rsidR="00FB375D" w:rsidRPr="009D3B79" w:rsidRDefault="00FB375D" w:rsidP="00D42DCA">
      <w:pPr>
        <w:pStyle w:val="ListParagraph"/>
        <w:numPr>
          <w:ilvl w:val="0"/>
          <w:numId w:val="5"/>
        </w:numPr>
        <w:ind w:left="709" w:hanging="283"/>
        <w:rPr>
          <w:rFonts w:cstheme="minorHAnsi"/>
        </w:rPr>
      </w:pPr>
      <w:r w:rsidRPr="009D3B79">
        <w:rPr>
          <w:rFonts w:cstheme="minorHAnsi"/>
        </w:rPr>
        <w:t xml:space="preserve">The proportion of our female </w:t>
      </w:r>
      <w:r w:rsidR="00073764">
        <w:rPr>
          <w:rFonts w:cstheme="minorHAnsi"/>
        </w:rPr>
        <w:t>employees</w:t>
      </w:r>
      <w:r w:rsidRPr="009D3B79">
        <w:rPr>
          <w:rFonts w:cstheme="minorHAnsi"/>
        </w:rPr>
        <w:t xml:space="preserve"> is greater in the support</w:t>
      </w:r>
      <w:r w:rsidR="00073764">
        <w:rPr>
          <w:rFonts w:cstheme="minorHAnsi"/>
        </w:rPr>
        <w:t xml:space="preserve"> roles i.e.</w:t>
      </w:r>
      <w:r w:rsidRPr="009D3B79">
        <w:rPr>
          <w:rFonts w:cstheme="minorHAnsi"/>
        </w:rPr>
        <w:t xml:space="preserve"> non-teaching roles</w:t>
      </w:r>
      <w:r w:rsidR="00073764">
        <w:rPr>
          <w:rFonts w:cstheme="minorHAnsi"/>
        </w:rPr>
        <w:t xml:space="preserve">.  They account for </w:t>
      </w:r>
      <w:r w:rsidR="007A2356">
        <w:rPr>
          <w:rFonts w:cstheme="minorHAnsi"/>
        </w:rPr>
        <w:t>65.18</w:t>
      </w:r>
      <w:r w:rsidR="00981793">
        <w:rPr>
          <w:rFonts w:cstheme="minorHAnsi"/>
        </w:rPr>
        <w:t xml:space="preserve">% </w:t>
      </w:r>
      <w:r w:rsidR="007A2356">
        <w:rPr>
          <w:rFonts w:cstheme="minorHAnsi"/>
        </w:rPr>
        <w:t>of the Trust’s workforce.  This includes</w:t>
      </w:r>
      <w:r w:rsidR="007A77F3" w:rsidRPr="009D3B79">
        <w:rPr>
          <w:rFonts w:cstheme="minorHAnsi"/>
        </w:rPr>
        <w:t xml:space="preserve"> roles which require more manual</w:t>
      </w:r>
      <w:r w:rsidR="00D51C36" w:rsidRPr="009D3B79">
        <w:rPr>
          <w:rFonts w:cstheme="minorHAnsi"/>
        </w:rPr>
        <w:t xml:space="preserve"> or</w:t>
      </w:r>
      <w:r w:rsidR="007A77F3" w:rsidRPr="009D3B79">
        <w:rPr>
          <w:rFonts w:cstheme="minorHAnsi"/>
        </w:rPr>
        <w:t xml:space="preserve"> un</w:t>
      </w:r>
      <w:r w:rsidR="00D51C36" w:rsidRPr="009D3B79">
        <w:rPr>
          <w:rFonts w:cstheme="minorHAnsi"/>
        </w:rPr>
        <w:t>/</w:t>
      </w:r>
      <w:r w:rsidR="007A77F3" w:rsidRPr="009D3B79">
        <w:rPr>
          <w:rFonts w:cstheme="minorHAnsi"/>
        </w:rPr>
        <w:t>semi-skilled work than do teaching</w:t>
      </w:r>
      <w:r w:rsidR="00D51C36" w:rsidRPr="009D3B79">
        <w:rPr>
          <w:rFonts w:cstheme="minorHAnsi"/>
        </w:rPr>
        <w:t xml:space="preserve"> and managerial</w:t>
      </w:r>
      <w:r w:rsidR="007A77F3" w:rsidRPr="009D3B79">
        <w:rPr>
          <w:rFonts w:cstheme="minorHAnsi"/>
        </w:rPr>
        <w:t xml:space="preserve"> roles which </w:t>
      </w:r>
      <w:r w:rsidR="00CE6026" w:rsidRPr="009D3B79">
        <w:rPr>
          <w:rFonts w:cstheme="minorHAnsi"/>
        </w:rPr>
        <w:t xml:space="preserve">often </w:t>
      </w:r>
      <w:r w:rsidR="007A77F3" w:rsidRPr="009D3B79">
        <w:rPr>
          <w:rFonts w:cstheme="minorHAnsi"/>
        </w:rPr>
        <w:t>require qualification status at graduate levels.</w:t>
      </w:r>
      <w:r w:rsidRPr="009D3B79">
        <w:rPr>
          <w:rFonts w:cstheme="minorHAnsi"/>
        </w:rPr>
        <w:t xml:space="preserve"> </w:t>
      </w:r>
      <w:r w:rsidR="007A77F3" w:rsidRPr="009D3B79">
        <w:rPr>
          <w:rFonts w:cstheme="minorHAnsi"/>
        </w:rPr>
        <w:t xml:space="preserve">Such </w:t>
      </w:r>
      <w:r w:rsidR="00866C03" w:rsidRPr="009D3B79">
        <w:rPr>
          <w:rFonts w:cstheme="minorHAnsi"/>
        </w:rPr>
        <w:t xml:space="preserve">support </w:t>
      </w:r>
      <w:r w:rsidR="007A77F3" w:rsidRPr="009D3B79">
        <w:rPr>
          <w:rFonts w:cstheme="minorHAnsi"/>
        </w:rPr>
        <w:t xml:space="preserve">roles </w:t>
      </w:r>
      <w:r w:rsidR="00A15A80" w:rsidRPr="009D3B79">
        <w:rPr>
          <w:rFonts w:cstheme="minorHAnsi"/>
        </w:rPr>
        <w:t>include</w:t>
      </w:r>
      <w:r w:rsidR="007A77F3" w:rsidRPr="009D3B79">
        <w:rPr>
          <w:rFonts w:cstheme="minorHAnsi"/>
        </w:rPr>
        <w:t xml:space="preserve"> catering, cleaning, </w:t>
      </w:r>
      <w:r w:rsidR="00CE6026" w:rsidRPr="009D3B79">
        <w:rPr>
          <w:rFonts w:cstheme="minorHAnsi"/>
        </w:rPr>
        <w:t>premises</w:t>
      </w:r>
      <w:r w:rsidR="00C87528" w:rsidRPr="009D3B79">
        <w:rPr>
          <w:rFonts w:cstheme="minorHAnsi"/>
        </w:rPr>
        <w:t xml:space="preserve"> </w:t>
      </w:r>
      <w:r w:rsidR="00B37FD0">
        <w:rPr>
          <w:rFonts w:cstheme="minorHAnsi"/>
        </w:rPr>
        <w:t>and</w:t>
      </w:r>
      <w:r w:rsidR="007A77F3" w:rsidRPr="009D3B79">
        <w:rPr>
          <w:rFonts w:cstheme="minorHAnsi"/>
        </w:rPr>
        <w:t xml:space="preserve"> </w:t>
      </w:r>
      <w:r w:rsidR="00A15A80" w:rsidRPr="009D3B79">
        <w:rPr>
          <w:rFonts w:cstheme="minorHAnsi"/>
        </w:rPr>
        <w:t>lower-level</w:t>
      </w:r>
      <w:r w:rsidR="00F252D9" w:rsidRPr="009D3B79">
        <w:rPr>
          <w:rFonts w:cstheme="minorHAnsi"/>
        </w:rPr>
        <w:t xml:space="preserve"> </w:t>
      </w:r>
      <w:r w:rsidR="007A77F3" w:rsidRPr="009D3B79">
        <w:rPr>
          <w:rFonts w:cstheme="minorHAnsi"/>
        </w:rPr>
        <w:t>classroom</w:t>
      </w:r>
      <w:r w:rsidR="00CE6026" w:rsidRPr="009D3B79">
        <w:rPr>
          <w:rFonts w:cstheme="minorHAnsi"/>
        </w:rPr>
        <w:t xml:space="preserve"> and mealtime</w:t>
      </w:r>
      <w:r w:rsidR="007A77F3" w:rsidRPr="009D3B79">
        <w:rPr>
          <w:rFonts w:cstheme="minorHAnsi"/>
        </w:rPr>
        <w:t xml:space="preserve"> supervision duties. </w:t>
      </w:r>
      <w:r w:rsidR="009D3B79" w:rsidRPr="009D3B79">
        <w:rPr>
          <w:rFonts w:cstheme="minorHAnsi"/>
        </w:rPr>
        <w:t>These</w:t>
      </w:r>
      <w:r w:rsidR="007A77F3" w:rsidRPr="009D3B79">
        <w:rPr>
          <w:rFonts w:cstheme="minorHAnsi"/>
        </w:rPr>
        <w:t xml:space="preserve"> roles lend themselves more easily to part</w:t>
      </w:r>
      <w:r w:rsidR="00A646FF" w:rsidRPr="009D3B79">
        <w:rPr>
          <w:rFonts w:cstheme="minorHAnsi"/>
        </w:rPr>
        <w:t>-</w:t>
      </w:r>
      <w:r w:rsidR="007A77F3" w:rsidRPr="009D3B79">
        <w:rPr>
          <w:rFonts w:cstheme="minorHAnsi"/>
        </w:rPr>
        <w:t>day</w:t>
      </w:r>
      <w:r w:rsidR="009D3B79" w:rsidRPr="009D3B79">
        <w:rPr>
          <w:rFonts w:cstheme="minorHAnsi"/>
        </w:rPr>
        <w:t xml:space="preserve">, </w:t>
      </w:r>
      <w:r w:rsidR="007A77F3" w:rsidRPr="009D3B79">
        <w:rPr>
          <w:rFonts w:cstheme="minorHAnsi"/>
        </w:rPr>
        <w:t>part-time</w:t>
      </w:r>
      <w:r w:rsidR="00C87528" w:rsidRPr="009D3B79">
        <w:rPr>
          <w:rFonts w:cstheme="minorHAnsi"/>
        </w:rPr>
        <w:t xml:space="preserve"> and term-time</w:t>
      </w:r>
      <w:r w:rsidR="007A77F3" w:rsidRPr="009D3B79">
        <w:rPr>
          <w:rFonts w:cstheme="minorHAnsi"/>
        </w:rPr>
        <w:t xml:space="preserve"> working</w:t>
      </w:r>
      <w:r w:rsidR="00BC2D42" w:rsidRPr="009D3B79">
        <w:rPr>
          <w:rFonts w:cstheme="minorHAnsi"/>
        </w:rPr>
        <w:t xml:space="preserve"> which proves attractive to female workers who use it to complement home and childca</w:t>
      </w:r>
      <w:r w:rsidR="00B37FD0">
        <w:rPr>
          <w:rFonts w:cstheme="minorHAnsi"/>
        </w:rPr>
        <w:t xml:space="preserve">re responsibilities. This is </w:t>
      </w:r>
      <w:r w:rsidR="00BC2D42" w:rsidRPr="009D3B79">
        <w:rPr>
          <w:rFonts w:cstheme="minorHAnsi"/>
        </w:rPr>
        <w:t xml:space="preserve">regardless of the </w:t>
      </w:r>
      <w:r w:rsidR="007A77F3" w:rsidRPr="009D3B79">
        <w:rPr>
          <w:rFonts w:cstheme="minorHAnsi"/>
        </w:rPr>
        <w:t>Trust being open to</w:t>
      </w:r>
      <w:r w:rsidR="00BC2D42" w:rsidRPr="009D3B79">
        <w:rPr>
          <w:rFonts w:cstheme="minorHAnsi"/>
        </w:rPr>
        <w:t xml:space="preserve"> consideration of </w:t>
      </w:r>
      <w:r w:rsidR="007A77F3" w:rsidRPr="009D3B79">
        <w:rPr>
          <w:rFonts w:cstheme="minorHAnsi"/>
        </w:rPr>
        <w:t>flexible working and job share arrangements for all roles.</w:t>
      </w:r>
      <w:r w:rsidR="00B37FD0">
        <w:rPr>
          <w:rFonts w:cstheme="minorHAnsi"/>
        </w:rPr>
        <w:t xml:space="preserve">  The Trust continues to </w:t>
      </w:r>
      <w:r w:rsidR="00073764">
        <w:rPr>
          <w:rFonts w:cstheme="minorHAnsi"/>
        </w:rPr>
        <w:t>work to remove</w:t>
      </w:r>
      <w:r w:rsidR="00B37FD0">
        <w:rPr>
          <w:rFonts w:cstheme="minorHAnsi"/>
        </w:rPr>
        <w:t xml:space="preserve"> th</w:t>
      </w:r>
      <w:r w:rsidR="00073764">
        <w:rPr>
          <w:rFonts w:cstheme="minorHAnsi"/>
        </w:rPr>
        <w:t>is</w:t>
      </w:r>
      <w:r w:rsidR="00B37FD0">
        <w:rPr>
          <w:rFonts w:cstheme="minorHAnsi"/>
        </w:rPr>
        <w:t xml:space="preserve"> historical imbalance </w:t>
      </w:r>
      <w:r w:rsidR="00073764">
        <w:rPr>
          <w:rFonts w:cstheme="minorHAnsi"/>
        </w:rPr>
        <w:t xml:space="preserve">found </w:t>
      </w:r>
      <w:r w:rsidR="00B37FD0">
        <w:rPr>
          <w:rFonts w:cstheme="minorHAnsi"/>
        </w:rPr>
        <w:t>in the education sector</w:t>
      </w:r>
      <w:r w:rsidR="00073764">
        <w:rPr>
          <w:rFonts w:cstheme="minorHAnsi"/>
        </w:rPr>
        <w:t xml:space="preserve"> </w:t>
      </w:r>
      <w:r w:rsidR="00B37FD0">
        <w:rPr>
          <w:rFonts w:cstheme="minorHAnsi"/>
        </w:rPr>
        <w:t>where there is a disproportionate number of lower paid support staff roles occupied by female colleagues.</w:t>
      </w:r>
      <w:r w:rsidR="007A77F3" w:rsidRPr="009D3B79">
        <w:rPr>
          <w:rFonts w:cstheme="minorHAnsi"/>
        </w:rPr>
        <w:t xml:space="preserve"> </w:t>
      </w:r>
      <w:r w:rsidR="00866C03" w:rsidRPr="009D3B79">
        <w:rPr>
          <w:rFonts w:cstheme="minorHAnsi"/>
        </w:rPr>
        <w:t xml:space="preserve"> </w:t>
      </w:r>
      <w:r w:rsidR="00B37FD0">
        <w:rPr>
          <w:rFonts w:cstheme="minorHAnsi"/>
        </w:rPr>
        <w:t>The Trust i</w:t>
      </w:r>
      <w:r w:rsidR="000F1FB9">
        <w:rPr>
          <w:rFonts w:cstheme="minorHAnsi"/>
        </w:rPr>
        <w:t xml:space="preserve">s </w:t>
      </w:r>
      <w:r w:rsidR="00B37FD0">
        <w:rPr>
          <w:rFonts w:cstheme="minorHAnsi"/>
        </w:rPr>
        <w:t xml:space="preserve">focused on ensuring the equality of opportunity in progression for </w:t>
      </w:r>
      <w:r w:rsidR="00414E2E">
        <w:rPr>
          <w:rFonts w:cstheme="minorHAnsi"/>
        </w:rPr>
        <w:t>all genders</w:t>
      </w:r>
      <w:r w:rsidR="00B37FD0">
        <w:rPr>
          <w:rFonts w:cstheme="minorHAnsi"/>
        </w:rPr>
        <w:t>.</w:t>
      </w:r>
    </w:p>
    <w:p w14:paraId="3B8DC22A" w14:textId="47045D74" w:rsidR="00073764" w:rsidRDefault="009348A4" w:rsidP="00D42DCA">
      <w:pPr>
        <w:pStyle w:val="ListParagraph"/>
        <w:numPr>
          <w:ilvl w:val="0"/>
          <w:numId w:val="5"/>
        </w:numPr>
        <w:ind w:left="709" w:hanging="283"/>
        <w:rPr>
          <w:rFonts w:cstheme="minorHAnsi"/>
        </w:rPr>
      </w:pPr>
      <w:r w:rsidRPr="009D3B79">
        <w:rPr>
          <w:rFonts w:cstheme="minorHAnsi"/>
        </w:rPr>
        <w:t>The analysis of our ge</w:t>
      </w:r>
      <w:r w:rsidR="00B37FD0">
        <w:rPr>
          <w:rFonts w:cstheme="minorHAnsi"/>
        </w:rPr>
        <w:t>nder gap figures shows that the</w:t>
      </w:r>
      <w:r w:rsidRPr="009D3B79">
        <w:rPr>
          <w:rFonts w:cstheme="minorHAnsi"/>
        </w:rPr>
        <w:t xml:space="preserve"> </w:t>
      </w:r>
      <w:r w:rsidR="00B37FD0">
        <w:rPr>
          <w:rFonts w:cstheme="minorHAnsi"/>
        </w:rPr>
        <w:t xml:space="preserve">gap </w:t>
      </w:r>
      <w:r w:rsidRPr="009D3B79">
        <w:rPr>
          <w:rFonts w:cstheme="minorHAnsi"/>
        </w:rPr>
        <w:t>arises because we have a lower proportion of women in</w:t>
      </w:r>
      <w:r w:rsidR="001A59D0" w:rsidRPr="009D3B79">
        <w:rPr>
          <w:rFonts w:cstheme="minorHAnsi"/>
        </w:rPr>
        <w:t xml:space="preserve"> the highest graded</w:t>
      </w:r>
      <w:r w:rsidRPr="009D3B79">
        <w:rPr>
          <w:rFonts w:cstheme="minorHAnsi"/>
        </w:rPr>
        <w:t xml:space="preserve"> teaching and leadership/senior roles in education and at the same time a </w:t>
      </w:r>
      <w:r w:rsidR="007A2356">
        <w:rPr>
          <w:rFonts w:cstheme="minorHAnsi"/>
        </w:rPr>
        <w:t xml:space="preserve">significantly </w:t>
      </w:r>
      <w:r w:rsidRPr="009D3B79">
        <w:rPr>
          <w:rFonts w:cstheme="minorHAnsi"/>
        </w:rPr>
        <w:t>higher proportion of women in school support roles which have lower pay rates because of the duties and levels of</w:t>
      </w:r>
      <w:r w:rsidR="00A646FF" w:rsidRPr="009D3B79">
        <w:rPr>
          <w:rFonts w:cstheme="minorHAnsi"/>
        </w:rPr>
        <w:t xml:space="preserve"> skills/</w:t>
      </w:r>
      <w:r w:rsidRPr="009D3B79">
        <w:rPr>
          <w:rFonts w:cstheme="minorHAnsi"/>
        </w:rPr>
        <w:t xml:space="preserve"> responsibilit</w:t>
      </w:r>
      <w:r w:rsidR="00A646FF" w:rsidRPr="009D3B79">
        <w:rPr>
          <w:rFonts w:cstheme="minorHAnsi"/>
        </w:rPr>
        <w:t>ies</w:t>
      </w:r>
      <w:r w:rsidRPr="009D3B79">
        <w:rPr>
          <w:rFonts w:cstheme="minorHAnsi"/>
        </w:rPr>
        <w:t xml:space="preserve"> required. </w:t>
      </w:r>
    </w:p>
    <w:p w14:paraId="0D81F938" w14:textId="77777777" w:rsidR="00073764" w:rsidRDefault="00073764">
      <w:pPr>
        <w:rPr>
          <w:rFonts w:cstheme="minorHAnsi"/>
        </w:rPr>
      </w:pPr>
      <w:r>
        <w:rPr>
          <w:rFonts w:cstheme="minorHAnsi"/>
        </w:rPr>
        <w:br w:type="page"/>
      </w:r>
    </w:p>
    <w:p w14:paraId="3C9F5172" w14:textId="77777777" w:rsidR="00D51C36" w:rsidRPr="009D3B79" w:rsidRDefault="00D51C36" w:rsidP="00073764">
      <w:pPr>
        <w:pStyle w:val="ListParagraph"/>
        <w:ind w:left="709"/>
        <w:rPr>
          <w:rFonts w:cstheme="minorHAnsi"/>
        </w:rPr>
      </w:pPr>
    </w:p>
    <w:p w14:paraId="4898BF9C" w14:textId="4243ED09" w:rsidR="00D51C36" w:rsidRPr="009D3B79" w:rsidRDefault="00FB375D" w:rsidP="00D42DCA">
      <w:pPr>
        <w:pStyle w:val="ListParagraph"/>
        <w:numPr>
          <w:ilvl w:val="0"/>
          <w:numId w:val="5"/>
        </w:numPr>
        <w:ind w:left="709" w:hanging="283"/>
        <w:rPr>
          <w:rFonts w:cstheme="minorHAnsi"/>
        </w:rPr>
      </w:pPr>
      <w:r w:rsidRPr="009D3B79">
        <w:rPr>
          <w:rFonts w:cstheme="minorHAnsi"/>
        </w:rPr>
        <w:t>The Trust is affected by</w:t>
      </w:r>
      <w:r w:rsidR="007A77F3" w:rsidRPr="009D3B79">
        <w:rPr>
          <w:rFonts w:cstheme="minorHAnsi"/>
        </w:rPr>
        <w:t xml:space="preserve"> national and</w:t>
      </w:r>
      <w:r w:rsidR="00A646FF" w:rsidRPr="009D3B79">
        <w:rPr>
          <w:rFonts w:cstheme="minorHAnsi"/>
        </w:rPr>
        <w:t xml:space="preserve"> </w:t>
      </w:r>
      <w:r w:rsidR="00BC2D42" w:rsidRPr="009D3B79">
        <w:rPr>
          <w:rFonts w:cstheme="minorHAnsi"/>
        </w:rPr>
        <w:t>sector related issues relating to female workers as follows</w:t>
      </w:r>
      <w:r w:rsidR="009D3B79" w:rsidRPr="009D3B79">
        <w:rPr>
          <w:rFonts w:cstheme="minorHAnsi"/>
        </w:rPr>
        <w:t>:</w:t>
      </w:r>
    </w:p>
    <w:p w14:paraId="72978271" w14:textId="6BADD41D" w:rsidR="007A77F3" w:rsidRPr="009D3B79" w:rsidRDefault="007A77F3" w:rsidP="00D42DCA">
      <w:pPr>
        <w:pStyle w:val="ListParagraph"/>
        <w:numPr>
          <w:ilvl w:val="0"/>
          <w:numId w:val="3"/>
        </w:numPr>
        <w:ind w:left="993" w:hanging="284"/>
        <w:rPr>
          <w:rFonts w:cstheme="minorHAnsi"/>
        </w:rPr>
      </w:pPr>
      <w:r w:rsidRPr="009D3B79">
        <w:rPr>
          <w:rFonts w:cstheme="minorHAnsi"/>
        </w:rPr>
        <w:t>W</w:t>
      </w:r>
      <w:r w:rsidR="00FB375D" w:rsidRPr="009D3B79">
        <w:rPr>
          <w:rFonts w:cstheme="minorHAnsi"/>
        </w:rPr>
        <w:t xml:space="preserve">omen are </w:t>
      </w:r>
      <w:r w:rsidR="007A2356">
        <w:rPr>
          <w:rFonts w:cstheme="minorHAnsi"/>
        </w:rPr>
        <w:t xml:space="preserve">still </w:t>
      </w:r>
      <w:r w:rsidR="00FB375D" w:rsidRPr="009D3B79">
        <w:rPr>
          <w:rFonts w:cstheme="minorHAnsi"/>
        </w:rPr>
        <w:t>more likel</w:t>
      </w:r>
      <w:r w:rsidRPr="009D3B79">
        <w:rPr>
          <w:rFonts w:cstheme="minorHAnsi"/>
        </w:rPr>
        <w:t>y</w:t>
      </w:r>
      <w:r w:rsidR="00FB375D" w:rsidRPr="009D3B79">
        <w:rPr>
          <w:rFonts w:cstheme="minorHAnsi"/>
        </w:rPr>
        <w:t xml:space="preserve"> than men to be seeking work which can accommodate their</w:t>
      </w:r>
      <w:r w:rsidR="00BC2D42" w:rsidRPr="009D3B79">
        <w:rPr>
          <w:rFonts w:cstheme="minorHAnsi"/>
        </w:rPr>
        <w:t xml:space="preserve"> traditionally perceived</w:t>
      </w:r>
      <w:r w:rsidR="00FB375D" w:rsidRPr="009D3B79">
        <w:rPr>
          <w:rFonts w:cstheme="minorHAnsi"/>
        </w:rPr>
        <w:t xml:space="preserve"> home and child</w:t>
      </w:r>
      <w:r w:rsidR="00073764">
        <w:rPr>
          <w:rFonts w:cstheme="minorHAnsi"/>
        </w:rPr>
        <w:t>-</w:t>
      </w:r>
      <w:r w:rsidR="00FB375D" w:rsidRPr="009D3B79">
        <w:rPr>
          <w:rFonts w:cstheme="minorHAnsi"/>
        </w:rPr>
        <w:t xml:space="preserve">care </w:t>
      </w:r>
      <w:r w:rsidRPr="009D3B79">
        <w:rPr>
          <w:rFonts w:cstheme="minorHAnsi"/>
        </w:rPr>
        <w:t>commitments including specifically</w:t>
      </w:r>
      <w:r w:rsidR="009348A4" w:rsidRPr="009D3B79">
        <w:rPr>
          <w:rFonts w:cstheme="minorHAnsi"/>
        </w:rPr>
        <w:t xml:space="preserve"> in schools </w:t>
      </w:r>
      <w:r w:rsidRPr="009D3B79">
        <w:rPr>
          <w:rFonts w:cstheme="minorHAnsi"/>
        </w:rPr>
        <w:t xml:space="preserve">which offer term-time working in lower skilled (and so lower paid) roles. </w:t>
      </w:r>
      <w:r w:rsidR="00FB375D" w:rsidRPr="009D3B79">
        <w:rPr>
          <w:rFonts w:cstheme="minorHAnsi"/>
        </w:rPr>
        <w:t xml:space="preserve"> </w:t>
      </w:r>
    </w:p>
    <w:p w14:paraId="0B103880" w14:textId="6EAC5351" w:rsidR="007A77F3" w:rsidRPr="009D3B79" w:rsidRDefault="007A77F3" w:rsidP="00D42DCA">
      <w:pPr>
        <w:pStyle w:val="ListParagraph"/>
        <w:numPr>
          <w:ilvl w:val="0"/>
          <w:numId w:val="3"/>
        </w:numPr>
        <w:ind w:left="993" w:hanging="284"/>
        <w:rPr>
          <w:rFonts w:cstheme="minorHAnsi"/>
        </w:rPr>
      </w:pPr>
      <w:r w:rsidRPr="009D3B79">
        <w:rPr>
          <w:rFonts w:cstheme="minorHAnsi"/>
        </w:rPr>
        <w:t>Women are more likely to work part-time and many of the jobs available on a part</w:t>
      </w:r>
      <w:r w:rsidR="009D3B79">
        <w:rPr>
          <w:rFonts w:cstheme="minorHAnsi"/>
        </w:rPr>
        <w:t>-</w:t>
      </w:r>
      <w:r w:rsidRPr="009D3B79">
        <w:rPr>
          <w:rFonts w:cstheme="minorHAnsi"/>
        </w:rPr>
        <w:t>time basis in schools are in service areas which are relatively low paid</w:t>
      </w:r>
      <w:r w:rsidR="00B73570">
        <w:rPr>
          <w:rFonts w:cstheme="minorHAnsi"/>
        </w:rPr>
        <w:t>.</w:t>
      </w:r>
    </w:p>
    <w:p w14:paraId="022BDC6F" w14:textId="5F466577" w:rsidR="007A77F3" w:rsidRPr="009D3B79" w:rsidRDefault="007A77F3" w:rsidP="00D42DCA">
      <w:pPr>
        <w:pStyle w:val="ListParagraph"/>
        <w:numPr>
          <w:ilvl w:val="0"/>
          <w:numId w:val="3"/>
        </w:numPr>
        <w:ind w:left="993" w:hanging="284"/>
        <w:rPr>
          <w:rFonts w:cstheme="minorHAnsi"/>
        </w:rPr>
      </w:pPr>
      <w:r w:rsidRPr="009D3B79">
        <w:rPr>
          <w:rFonts w:cstheme="minorHAnsi"/>
        </w:rPr>
        <w:t xml:space="preserve">Women are more likely than men to have had breaks from work that have affected their career progression – particularly relating to </w:t>
      </w:r>
      <w:r w:rsidR="00A15A80" w:rsidRPr="009D3B79">
        <w:rPr>
          <w:rFonts w:cstheme="minorHAnsi"/>
        </w:rPr>
        <w:t>childcare</w:t>
      </w:r>
      <w:r w:rsidRPr="009D3B79">
        <w:rPr>
          <w:rFonts w:cstheme="minorHAnsi"/>
        </w:rPr>
        <w:t xml:space="preserve"> responsibilities</w:t>
      </w:r>
      <w:r w:rsidR="00F252D9" w:rsidRPr="009D3B79">
        <w:rPr>
          <w:rFonts w:cstheme="minorHAnsi"/>
        </w:rPr>
        <w:t xml:space="preserve">. This is despite the Trust offering the full range of maternity support, shared parental leave and return to work flexibilities. </w:t>
      </w:r>
      <w:r w:rsidRPr="009D3B79">
        <w:rPr>
          <w:rFonts w:cstheme="minorHAnsi"/>
        </w:rPr>
        <w:t xml:space="preserve"> </w:t>
      </w:r>
    </w:p>
    <w:p w14:paraId="656DD7D1" w14:textId="6B6B8FC3" w:rsidR="007A77F3" w:rsidRPr="009D3B79" w:rsidRDefault="007A77F3" w:rsidP="00D42DCA">
      <w:pPr>
        <w:pStyle w:val="ListParagraph"/>
        <w:numPr>
          <w:ilvl w:val="0"/>
          <w:numId w:val="3"/>
        </w:numPr>
        <w:ind w:left="993" w:hanging="284"/>
        <w:rPr>
          <w:rFonts w:cstheme="minorHAnsi"/>
        </w:rPr>
      </w:pPr>
      <w:r w:rsidRPr="009D3B79">
        <w:rPr>
          <w:rFonts w:cstheme="minorHAnsi"/>
        </w:rPr>
        <w:t>Recruitment and retention of women in some areas of further/higher education</w:t>
      </w:r>
      <w:r w:rsidR="00866C03" w:rsidRPr="009D3B79">
        <w:rPr>
          <w:rFonts w:cstheme="minorHAnsi"/>
        </w:rPr>
        <w:t xml:space="preserve"> including</w:t>
      </w:r>
      <w:r w:rsidRPr="009D3B79">
        <w:rPr>
          <w:rFonts w:cstheme="minorHAnsi"/>
        </w:rPr>
        <w:t xml:space="preserve"> teaching is notoriously difficult (such as mathematics, science</w:t>
      </w:r>
      <w:r w:rsidR="00A646FF" w:rsidRPr="009D3B79">
        <w:rPr>
          <w:rFonts w:cstheme="minorHAnsi"/>
        </w:rPr>
        <w:t xml:space="preserve"> and</w:t>
      </w:r>
      <w:r w:rsidRPr="009D3B79">
        <w:rPr>
          <w:rFonts w:cstheme="minorHAnsi"/>
        </w:rPr>
        <w:t xml:space="preserve"> technology)</w:t>
      </w:r>
      <w:r w:rsidR="009D3B79">
        <w:rPr>
          <w:rFonts w:cstheme="minorHAnsi"/>
        </w:rPr>
        <w:t>.</w:t>
      </w:r>
    </w:p>
    <w:p w14:paraId="4A10CAE3" w14:textId="00456854" w:rsidR="00D51C36" w:rsidRPr="009D3B79" w:rsidRDefault="009348A4" w:rsidP="00D42DCA">
      <w:pPr>
        <w:pStyle w:val="ListParagraph"/>
        <w:numPr>
          <w:ilvl w:val="0"/>
          <w:numId w:val="3"/>
        </w:numPr>
        <w:ind w:left="993" w:hanging="284"/>
        <w:rPr>
          <w:rFonts w:cstheme="minorHAnsi"/>
        </w:rPr>
      </w:pPr>
      <w:r w:rsidRPr="009D3B79">
        <w:rPr>
          <w:rFonts w:cstheme="minorHAnsi"/>
        </w:rPr>
        <w:t xml:space="preserve">The higher paid roles in schools are in teaching and </w:t>
      </w:r>
      <w:r w:rsidR="00FC3C35" w:rsidRPr="009D3B79">
        <w:rPr>
          <w:rFonts w:cstheme="minorHAnsi"/>
        </w:rPr>
        <w:t>academies</w:t>
      </w:r>
      <w:r w:rsidRPr="009D3B79">
        <w:rPr>
          <w:rFonts w:cstheme="minorHAnsi"/>
        </w:rPr>
        <w:t xml:space="preserve"> leadership. </w:t>
      </w:r>
      <w:r w:rsidR="003F58B2">
        <w:rPr>
          <w:rFonts w:cstheme="minorHAnsi"/>
        </w:rPr>
        <w:t>2</w:t>
      </w:r>
      <w:r w:rsidR="00EA0A61">
        <w:rPr>
          <w:rFonts w:cstheme="minorHAnsi"/>
        </w:rPr>
        <w:t>3</w:t>
      </w:r>
      <w:r w:rsidR="003F58B2">
        <w:rPr>
          <w:rFonts w:cstheme="minorHAnsi"/>
        </w:rPr>
        <w:t>.</w:t>
      </w:r>
      <w:r w:rsidR="00EA0A61">
        <w:rPr>
          <w:rFonts w:cstheme="minorHAnsi"/>
        </w:rPr>
        <w:t>83</w:t>
      </w:r>
      <w:r w:rsidR="009D3B79">
        <w:rPr>
          <w:rFonts w:cstheme="minorHAnsi"/>
        </w:rPr>
        <w:t xml:space="preserve">% </w:t>
      </w:r>
      <w:r w:rsidR="00EA0A61">
        <w:rPr>
          <w:rFonts w:cstheme="minorHAnsi"/>
        </w:rPr>
        <w:t>(27</w:t>
      </w:r>
      <w:r w:rsidR="009676B4">
        <w:rPr>
          <w:rFonts w:cstheme="minorHAnsi"/>
        </w:rPr>
        <w:t xml:space="preserve">.20% in 2022) </w:t>
      </w:r>
      <w:r w:rsidR="009D3B79">
        <w:rPr>
          <w:rFonts w:cstheme="minorHAnsi"/>
        </w:rPr>
        <w:t xml:space="preserve">of employees </w:t>
      </w:r>
      <w:r w:rsidR="00D531CF" w:rsidRPr="009D3B79">
        <w:rPr>
          <w:rFonts w:cstheme="minorHAnsi"/>
        </w:rPr>
        <w:t>in the upper pay quartile</w:t>
      </w:r>
      <w:r w:rsidR="003F58B2">
        <w:rPr>
          <w:rFonts w:cstheme="minorHAnsi"/>
        </w:rPr>
        <w:t xml:space="preserve"> are male</w:t>
      </w:r>
      <w:r w:rsidR="009D3B79">
        <w:rPr>
          <w:rFonts w:cstheme="minorHAnsi"/>
        </w:rPr>
        <w:t>, w</w:t>
      </w:r>
      <w:r w:rsidR="008020FE">
        <w:rPr>
          <w:rFonts w:cstheme="minorHAnsi"/>
        </w:rPr>
        <w:t xml:space="preserve">hereas only </w:t>
      </w:r>
      <w:r w:rsidR="009676B4">
        <w:rPr>
          <w:rFonts w:cstheme="minorHAnsi"/>
        </w:rPr>
        <w:t>15.82% (</w:t>
      </w:r>
      <w:r w:rsidR="008020FE">
        <w:rPr>
          <w:rFonts w:cstheme="minorHAnsi"/>
        </w:rPr>
        <w:t>16.68%</w:t>
      </w:r>
      <w:r w:rsidR="009676B4">
        <w:rPr>
          <w:rFonts w:cstheme="minorHAnsi"/>
        </w:rPr>
        <w:t xml:space="preserve"> in 2022)</w:t>
      </w:r>
      <w:r w:rsidR="008020FE">
        <w:rPr>
          <w:rFonts w:cstheme="minorHAnsi"/>
        </w:rPr>
        <w:t xml:space="preserve"> of the overall workforce are male</w:t>
      </w:r>
      <w:r w:rsidRPr="009D3B79">
        <w:rPr>
          <w:rFonts w:cstheme="minorHAnsi"/>
        </w:rPr>
        <w:t>.</w:t>
      </w:r>
      <w:r w:rsidR="00B73570">
        <w:rPr>
          <w:rFonts w:cstheme="minorHAnsi"/>
        </w:rPr>
        <w:t xml:space="preserve">  This</w:t>
      </w:r>
      <w:r w:rsidR="003A6027">
        <w:rPr>
          <w:rFonts w:cstheme="minorHAnsi"/>
        </w:rPr>
        <w:t xml:space="preserve"> </w:t>
      </w:r>
      <w:r w:rsidR="00B73570">
        <w:rPr>
          <w:rFonts w:cstheme="minorHAnsi"/>
        </w:rPr>
        <w:t>reflect</w:t>
      </w:r>
      <w:r w:rsidR="006F2260">
        <w:rPr>
          <w:rFonts w:cstheme="minorHAnsi"/>
        </w:rPr>
        <w:t>s</w:t>
      </w:r>
      <w:r w:rsidR="00B73570">
        <w:rPr>
          <w:rFonts w:cstheme="minorHAnsi"/>
        </w:rPr>
        <w:t xml:space="preserve"> a</w:t>
      </w:r>
      <w:r w:rsidR="00F034CB">
        <w:rPr>
          <w:rFonts w:cstheme="minorHAnsi"/>
        </w:rPr>
        <w:t xml:space="preserve"> decrease in the </w:t>
      </w:r>
      <w:r w:rsidR="00B73570">
        <w:rPr>
          <w:rFonts w:cstheme="minorHAnsi"/>
        </w:rPr>
        <w:t>proportion of males in the most highly paid roles in the Trust</w:t>
      </w:r>
      <w:r w:rsidR="00F7607E">
        <w:rPr>
          <w:rFonts w:cstheme="minorHAnsi"/>
        </w:rPr>
        <w:t xml:space="preserve">, something that </w:t>
      </w:r>
      <w:r w:rsidR="00F034CB">
        <w:rPr>
          <w:rFonts w:cstheme="minorHAnsi"/>
        </w:rPr>
        <w:t>continues to be reviewed</w:t>
      </w:r>
      <w:r w:rsidR="00F7607E">
        <w:rPr>
          <w:rFonts w:cstheme="minorHAnsi"/>
        </w:rPr>
        <w:t>.</w:t>
      </w:r>
    </w:p>
    <w:p w14:paraId="688978CA" w14:textId="6F2F68AC" w:rsidR="008308B7" w:rsidRPr="008308B7" w:rsidRDefault="008308B7" w:rsidP="008308B7">
      <w:pPr>
        <w:pStyle w:val="NormalWeb"/>
        <w:rPr>
          <w:rFonts w:asciiTheme="minorHAnsi" w:hAnsiTheme="minorHAnsi" w:cstheme="minorHAnsi"/>
          <w:color w:val="000000"/>
          <w:sz w:val="22"/>
          <w:szCs w:val="22"/>
        </w:rPr>
      </w:pPr>
      <w:r w:rsidRPr="008308B7">
        <w:rPr>
          <w:rFonts w:asciiTheme="minorHAnsi" w:hAnsiTheme="minorHAnsi" w:cstheme="minorHAnsi"/>
          <w:color w:val="000000"/>
          <w:sz w:val="22"/>
          <w:szCs w:val="22"/>
        </w:rPr>
        <w:t xml:space="preserve">Whilst understanding that </w:t>
      </w:r>
      <w:r w:rsidR="00F7607E">
        <w:rPr>
          <w:rFonts w:asciiTheme="minorHAnsi" w:hAnsiTheme="minorHAnsi" w:cstheme="minorHAnsi"/>
          <w:color w:val="000000"/>
          <w:sz w:val="22"/>
          <w:szCs w:val="22"/>
        </w:rPr>
        <w:t xml:space="preserve">many of </w:t>
      </w:r>
      <w:r w:rsidRPr="008308B7">
        <w:rPr>
          <w:rFonts w:asciiTheme="minorHAnsi" w:hAnsiTheme="minorHAnsi" w:cstheme="minorHAnsi"/>
          <w:color w:val="000000"/>
          <w:sz w:val="22"/>
          <w:szCs w:val="22"/>
        </w:rPr>
        <w:t>these issues face all companies and the education sector in particular, the Trust recognises its responsibilities and will:</w:t>
      </w:r>
    </w:p>
    <w:p w14:paraId="370D0DE8" w14:textId="7BF457C4" w:rsidR="00975BE9" w:rsidRPr="009D3B79" w:rsidRDefault="00CE6026" w:rsidP="009D3B79">
      <w:pPr>
        <w:pStyle w:val="ListParagraph"/>
        <w:numPr>
          <w:ilvl w:val="0"/>
          <w:numId w:val="6"/>
        </w:numPr>
        <w:rPr>
          <w:rFonts w:cstheme="minorHAnsi"/>
        </w:rPr>
      </w:pPr>
      <w:r w:rsidRPr="009D3B79">
        <w:rPr>
          <w:rFonts w:cstheme="minorHAnsi"/>
        </w:rPr>
        <w:t>By this reporting, m</w:t>
      </w:r>
      <w:r w:rsidR="00975BE9" w:rsidRPr="009D3B79">
        <w:rPr>
          <w:rFonts w:cstheme="minorHAnsi"/>
        </w:rPr>
        <w:t>aintain and increase managerial awareness and understanding of the causes of gender pay gaps in the workforce in general and the Trust in particular.</w:t>
      </w:r>
    </w:p>
    <w:p w14:paraId="68E2A9C8" w14:textId="67500D0F" w:rsidR="00975BE9" w:rsidRPr="009D3B79" w:rsidRDefault="00975BE9" w:rsidP="009D3B79">
      <w:pPr>
        <w:pStyle w:val="ListParagraph"/>
        <w:numPr>
          <w:ilvl w:val="0"/>
          <w:numId w:val="6"/>
        </w:numPr>
        <w:rPr>
          <w:rFonts w:cstheme="minorHAnsi"/>
        </w:rPr>
      </w:pPr>
      <w:r w:rsidRPr="009D3B79">
        <w:rPr>
          <w:rFonts w:cstheme="minorHAnsi"/>
        </w:rPr>
        <w:t xml:space="preserve">Ensure that recruitment processes </w:t>
      </w:r>
      <w:r w:rsidR="00CE6026" w:rsidRPr="009D3B79">
        <w:rPr>
          <w:rFonts w:cstheme="minorHAnsi"/>
        </w:rPr>
        <w:t>continue to be</w:t>
      </w:r>
      <w:r w:rsidR="003A4E07">
        <w:rPr>
          <w:rFonts w:cstheme="minorHAnsi"/>
        </w:rPr>
        <w:t xml:space="preserve"> scrutinised to ensure</w:t>
      </w:r>
      <w:r w:rsidRPr="009D3B79">
        <w:rPr>
          <w:rFonts w:cstheme="minorHAnsi"/>
        </w:rPr>
        <w:t xml:space="preserve"> ‘gender-blindness’ at application and shortlisting stages to ensure no unintentional bias towards female candidates for higher paid roles or male candidates for those roles traditionally dominated by females. </w:t>
      </w:r>
    </w:p>
    <w:p w14:paraId="07550398" w14:textId="2ED67C94" w:rsidR="00975BE9" w:rsidRPr="009D3B79" w:rsidRDefault="00975BE9" w:rsidP="009D3B79">
      <w:pPr>
        <w:pStyle w:val="ListParagraph"/>
        <w:numPr>
          <w:ilvl w:val="0"/>
          <w:numId w:val="6"/>
        </w:numPr>
        <w:rPr>
          <w:rFonts w:cstheme="minorHAnsi"/>
        </w:rPr>
      </w:pPr>
      <w:r w:rsidRPr="009D3B79">
        <w:rPr>
          <w:rFonts w:cstheme="minorHAnsi"/>
        </w:rPr>
        <w:t>Where appropriate include statements of welcome from candidates in the minority gender group for the role being advertised</w:t>
      </w:r>
      <w:r w:rsidR="00F252D9" w:rsidRPr="009D3B79">
        <w:rPr>
          <w:rFonts w:cstheme="minorHAnsi"/>
        </w:rPr>
        <w:t xml:space="preserve"> and of males/females in roles in which they are traditionally under-represented in the </w:t>
      </w:r>
      <w:r w:rsidR="00F034CB">
        <w:rPr>
          <w:rFonts w:cstheme="minorHAnsi"/>
        </w:rPr>
        <w:t>a</w:t>
      </w:r>
      <w:r w:rsidR="00F252D9" w:rsidRPr="009D3B79">
        <w:rPr>
          <w:rFonts w:cstheme="minorHAnsi"/>
        </w:rPr>
        <w:t xml:space="preserve">cademies sector. </w:t>
      </w:r>
      <w:r w:rsidRPr="009D3B79">
        <w:rPr>
          <w:rFonts w:cstheme="minorHAnsi"/>
        </w:rPr>
        <w:t xml:space="preserve"> </w:t>
      </w:r>
    </w:p>
    <w:p w14:paraId="6072381C" w14:textId="2B4D732B" w:rsidR="007D608C" w:rsidRPr="009D3B79" w:rsidRDefault="007D608C" w:rsidP="009D3B79">
      <w:pPr>
        <w:pStyle w:val="ListParagraph"/>
        <w:numPr>
          <w:ilvl w:val="0"/>
          <w:numId w:val="6"/>
        </w:numPr>
        <w:rPr>
          <w:rFonts w:cstheme="minorHAnsi"/>
        </w:rPr>
      </w:pPr>
      <w:r w:rsidRPr="009D3B79">
        <w:rPr>
          <w:rFonts w:cstheme="minorHAnsi"/>
        </w:rPr>
        <w:t xml:space="preserve">Encourage awareness by leaders of the use of any unintended gender-biased language in the advertising of roles. </w:t>
      </w:r>
    </w:p>
    <w:p w14:paraId="4AEA1AA3" w14:textId="25B4BC53" w:rsidR="00D531CF" w:rsidRPr="009D3B79" w:rsidRDefault="0018641D" w:rsidP="009D3B79">
      <w:pPr>
        <w:pStyle w:val="ListParagraph"/>
        <w:numPr>
          <w:ilvl w:val="0"/>
          <w:numId w:val="6"/>
        </w:numPr>
        <w:rPr>
          <w:rFonts w:cstheme="minorHAnsi"/>
        </w:rPr>
      </w:pPr>
      <w:r w:rsidRPr="009D3B79">
        <w:rPr>
          <w:rFonts w:cstheme="minorHAnsi"/>
        </w:rPr>
        <w:t xml:space="preserve">Promote the use of </w:t>
      </w:r>
      <w:r w:rsidR="00A15A80" w:rsidRPr="009D3B79">
        <w:rPr>
          <w:rFonts w:cstheme="minorHAnsi"/>
        </w:rPr>
        <w:t>skills-based</w:t>
      </w:r>
      <w:r w:rsidRPr="009D3B79">
        <w:rPr>
          <w:rFonts w:cstheme="minorHAnsi"/>
        </w:rPr>
        <w:t xml:space="preserve"> assessments as part of interviews – for example in desktop exercises and classroom observations. </w:t>
      </w:r>
    </w:p>
    <w:p w14:paraId="5547F4F0" w14:textId="649056AE" w:rsidR="0018641D" w:rsidRPr="009D3B79" w:rsidRDefault="00CE6026" w:rsidP="009D3B79">
      <w:pPr>
        <w:pStyle w:val="ListParagraph"/>
        <w:numPr>
          <w:ilvl w:val="0"/>
          <w:numId w:val="6"/>
        </w:numPr>
        <w:rPr>
          <w:rFonts w:cstheme="minorHAnsi"/>
        </w:rPr>
      </w:pPr>
      <w:r w:rsidRPr="009D3B79">
        <w:rPr>
          <w:rFonts w:cstheme="minorHAnsi"/>
        </w:rPr>
        <w:t>Apply fair and competency-based interview procedures including standardisation of interview questions and test activities and the transparent scoring of interview performance</w:t>
      </w:r>
      <w:r w:rsidR="009D3B79" w:rsidRPr="009D3B79">
        <w:rPr>
          <w:rFonts w:cstheme="minorHAnsi"/>
        </w:rPr>
        <w:t>.</w:t>
      </w:r>
    </w:p>
    <w:p w14:paraId="7779AB4A" w14:textId="167D4549" w:rsidR="0018641D" w:rsidRPr="009D3B79" w:rsidRDefault="0018641D" w:rsidP="009D3B79">
      <w:pPr>
        <w:pStyle w:val="ListParagraph"/>
        <w:numPr>
          <w:ilvl w:val="0"/>
          <w:numId w:val="6"/>
        </w:numPr>
        <w:rPr>
          <w:rFonts w:cstheme="minorHAnsi"/>
        </w:rPr>
      </w:pPr>
      <w:r w:rsidRPr="009D3B79">
        <w:rPr>
          <w:rFonts w:cstheme="minorHAnsi"/>
        </w:rPr>
        <w:t>Promote the use of salary ranges advertised for jobs</w:t>
      </w:r>
      <w:r w:rsidR="00F252D9" w:rsidRPr="009D3B79">
        <w:rPr>
          <w:rFonts w:cstheme="minorHAnsi"/>
        </w:rPr>
        <w:t xml:space="preserve"> (</w:t>
      </w:r>
      <w:r w:rsidRPr="009D3B79">
        <w:rPr>
          <w:rFonts w:cstheme="minorHAnsi"/>
        </w:rPr>
        <w:t>in recognition of the situation that women are known to be less likely to seek to negotiate on pay</w:t>
      </w:r>
      <w:r w:rsidR="00F252D9" w:rsidRPr="009D3B79">
        <w:rPr>
          <w:rFonts w:cstheme="minorHAnsi"/>
        </w:rPr>
        <w:t>)</w:t>
      </w:r>
      <w:r w:rsidRPr="009D3B79">
        <w:rPr>
          <w:rFonts w:cstheme="minorHAnsi"/>
        </w:rPr>
        <w:t xml:space="preserve">.  </w:t>
      </w:r>
    </w:p>
    <w:p w14:paraId="50E2FE91" w14:textId="46893BE7" w:rsidR="008308B7" w:rsidRDefault="008308B7" w:rsidP="009D3B79">
      <w:pPr>
        <w:pStyle w:val="ListParagraph"/>
        <w:numPr>
          <w:ilvl w:val="0"/>
          <w:numId w:val="6"/>
        </w:numPr>
        <w:rPr>
          <w:rFonts w:cstheme="minorHAnsi"/>
        </w:rPr>
      </w:pPr>
      <w:r>
        <w:rPr>
          <w:rFonts w:cstheme="minorHAnsi"/>
        </w:rPr>
        <w:t xml:space="preserve">To support the above, the Trust </w:t>
      </w:r>
      <w:r w:rsidR="00F034CB">
        <w:rPr>
          <w:rFonts w:cstheme="minorHAnsi"/>
        </w:rPr>
        <w:t xml:space="preserve">has </w:t>
      </w:r>
      <w:r>
        <w:rPr>
          <w:rFonts w:cstheme="minorHAnsi"/>
        </w:rPr>
        <w:t>ensure</w:t>
      </w:r>
      <w:r w:rsidR="00F034CB">
        <w:rPr>
          <w:rFonts w:cstheme="minorHAnsi"/>
        </w:rPr>
        <w:t>d</w:t>
      </w:r>
      <w:r>
        <w:rPr>
          <w:rFonts w:cstheme="minorHAnsi"/>
        </w:rPr>
        <w:t xml:space="preserve"> there is recruitment and selection training for senior and middle leaders, including recognising and challenging unconscious gender.</w:t>
      </w:r>
    </w:p>
    <w:p w14:paraId="79A879A9" w14:textId="3085D03D" w:rsidR="008308B7" w:rsidRDefault="008308B7" w:rsidP="008308B7">
      <w:pPr>
        <w:pStyle w:val="ListParagraph"/>
        <w:numPr>
          <w:ilvl w:val="0"/>
          <w:numId w:val="6"/>
        </w:numPr>
        <w:rPr>
          <w:rFonts w:cstheme="minorHAnsi"/>
        </w:rPr>
      </w:pPr>
      <w:r w:rsidRPr="009D3B79">
        <w:rPr>
          <w:rFonts w:cstheme="minorHAnsi"/>
        </w:rPr>
        <w:t xml:space="preserve">Continue to </w:t>
      </w:r>
      <w:r>
        <w:rPr>
          <w:rFonts w:cstheme="minorHAnsi"/>
        </w:rPr>
        <w:t xml:space="preserve">cultivate our family friendly culture, underpinned by our range of supporting guidance, advice and policies.  For example, the Trust’s </w:t>
      </w:r>
      <w:r w:rsidR="00F034CB">
        <w:rPr>
          <w:rFonts w:cstheme="minorHAnsi"/>
        </w:rPr>
        <w:t xml:space="preserve">new </w:t>
      </w:r>
      <w:r>
        <w:rPr>
          <w:rFonts w:cstheme="minorHAnsi"/>
        </w:rPr>
        <w:t>Flexible Working Policy</w:t>
      </w:r>
      <w:r w:rsidRPr="009D3B79">
        <w:rPr>
          <w:rFonts w:cstheme="minorHAnsi"/>
        </w:rPr>
        <w:t xml:space="preserve"> never discou</w:t>
      </w:r>
      <w:r>
        <w:rPr>
          <w:rFonts w:cstheme="minorHAnsi"/>
        </w:rPr>
        <w:t>nts</w:t>
      </w:r>
      <w:r w:rsidRPr="009D3B79">
        <w:rPr>
          <w:rFonts w:cstheme="minorHAnsi"/>
        </w:rPr>
        <w:t xml:space="preserve"> the potential for all roles to be carried out on a less than full-time basis</w:t>
      </w:r>
      <w:r w:rsidR="005504BC">
        <w:rPr>
          <w:rFonts w:cstheme="minorHAnsi"/>
        </w:rPr>
        <w:t xml:space="preserve"> and provides for multiple annual requests for flexible working</w:t>
      </w:r>
      <w:r w:rsidRPr="009D3B79">
        <w:rPr>
          <w:rFonts w:cstheme="minorHAnsi"/>
        </w:rPr>
        <w:t xml:space="preserve">. </w:t>
      </w:r>
      <w:r w:rsidR="00637BF4">
        <w:rPr>
          <w:rFonts w:cstheme="minorHAnsi"/>
        </w:rPr>
        <w:t>This is part of the Trust’s aim of developing an organisational culture that supports flexible working (including at senior level)</w:t>
      </w:r>
      <w:r w:rsidR="006235F8">
        <w:rPr>
          <w:rFonts w:cstheme="minorHAnsi"/>
        </w:rPr>
        <w:t>.</w:t>
      </w:r>
    </w:p>
    <w:p w14:paraId="418326FD" w14:textId="65BF5C61" w:rsidR="008308B7" w:rsidRDefault="008308B7" w:rsidP="009D3B79">
      <w:pPr>
        <w:pStyle w:val="ListParagraph"/>
        <w:numPr>
          <w:ilvl w:val="0"/>
          <w:numId w:val="6"/>
        </w:numPr>
        <w:rPr>
          <w:rFonts w:cstheme="minorHAnsi"/>
        </w:rPr>
      </w:pPr>
      <w:r>
        <w:rPr>
          <w:rFonts w:cstheme="minorHAnsi"/>
        </w:rPr>
        <w:lastRenderedPageBreak/>
        <w:t>Maintain the Trust’s commitment to professional development to enable all employees to realise their full potential.  The Tru</w:t>
      </w:r>
      <w:r w:rsidR="005504BC">
        <w:rPr>
          <w:rFonts w:cstheme="minorHAnsi"/>
        </w:rPr>
        <w:t>st’s Appraisal scheme is being rewritten</w:t>
      </w:r>
      <w:r w:rsidR="00896D15">
        <w:rPr>
          <w:rFonts w:cstheme="minorHAnsi"/>
        </w:rPr>
        <w:t xml:space="preserve"> and will ensure transparency and fair performance management systems (including during maternity leave)</w:t>
      </w:r>
      <w:r w:rsidR="005504BC">
        <w:rPr>
          <w:rFonts w:cstheme="minorHAnsi"/>
        </w:rPr>
        <w:t xml:space="preserve">, alongside redesigning and launching </w:t>
      </w:r>
      <w:r>
        <w:rPr>
          <w:rFonts w:cstheme="minorHAnsi"/>
        </w:rPr>
        <w:t>diverse career maps to support employees in understanding and striving to the next opportunity.</w:t>
      </w:r>
      <w:r w:rsidR="00CD317A">
        <w:rPr>
          <w:rFonts w:cstheme="minorHAnsi"/>
        </w:rPr>
        <w:t xml:space="preserve"> </w:t>
      </w:r>
      <w:r w:rsidR="001345E8">
        <w:rPr>
          <w:rFonts w:cstheme="minorHAnsi"/>
        </w:rPr>
        <w:t xml:space="preserve">Mentoring, coaching, networking programmes and a Trust Training Directory are in place to support career progression.  </w:t>
      </w:r>
      <w:r w:rsidR="00CD317A">
        <w:rPr>
          <w:rFonts w:cstheme="minorHAnsi"/>
        </w:rPr>
        <w:t>This re</w:t>
      </w:r>
      <w:r w:rsidR="000B6D58">
        <w:rPr>
          <w:rFonts w:cstheme="minorHAnsi"/>
        </w:rPr>
        <w:t xml:space="preserve">sponds to </w:t>
      </w:r>
      <w:r w:rsidR="00CD317A">
        <w:rPr>
          <w:rFonts w:cstheme="minorHAnsi"/>
        </w:rPr>
        <w:t>t</w:t>
      </w:r>
      <w:r w:rsidR="00CD317A" w:rsidRPr="00CD317A">
        <w:rPr>
          <w:rFonts w:cstheme="minorHAnsi"/>
        </w:rPr>
        <w:t xml:space="preserve">he </w:t>
      </w:r>
      <w:r w:rsidR="000B6D58">
        <w:rPr>
          <w:rFonts w:cstheme="minorHAnsi"/>
        </w:rPr>
        <w:t xml:space="preserve">education sector </w:t>
      </w:r>
      <w:r w:rsidR="00CD317A" w:rsidRPr="00CD317A">
        <w:rPr>
          <w:rFonts w:cstheme="minorHAnsi"/>
        </w:rPr>
        <w:t xml:space="preserve">data </w:t>
      </w:r>
      <w:r w:rsidR="000B6D58">
        <w:rPr>
          <w:rFonts w:cstheme="minorHAnsi"/>
        </w:rPr>
        <w:t xml:space="preserve">that </w:t>
      </w:r>
      <w:r w:rsidR="00CD317A" w:rsidRPr="00CD317A">
        <w:rPr>
          <w:rFonts w:cstheme="minorHAnsi"/>
        </w:rPr>
        <w:t>indicates career progression for females is not as good as for males in the Trust</w:t>
      </w:r>
      <w:r w:rsidR="000B6D58">
        <w:rPr>
          <w:rFonts w:cstheme="minorHAnsi"/>
        </w:rPr>
        <w:t xml:space="preserve">.  </w:t>
      </w:r>
    </w:p>
    <w:p w14:paraId="44CDC80A" w14:textId="1A942EEF" w:rsidR="006235F8" w:rsidRDefault="00584389" w:rsidP="009D3B79">
      <w:pPr>
        <w:pStyle w:val="ListParagraph"/>
        <w:numPr>
          <w:ilvl w:val="0"/>
          <w:numId w:val="6"/>
        </w:numPr>
        <w:rPr>
          <w:rFonts w:cstheme="minorHAnsi"/>
        </w:rPr>
      </w:pPr>
      <w:r>
        <w:rPr>
          <w:rFonts w:cstheme="minorHAnsi"/>
        </w:rPr>
        <w:t>We have clear leadership development programmes available and will continue to build upon th</w:t>
      </w:r>
      <w:r w:rsidR="000B6D58">
        <w:rPr>
          <w:rFonts w:cstheme="minorHAnsi"/>
        </w:rPr>
        <w:t>ese</w:t>
      </w:r>
      <w:r>
        <w:rPr>
          <w:rFonts w:cstheme="minorHAnsi"/>
        </w:rPr>
        <w:t xml:space="preserve">. </w:t>
      </w:r>
    </w:p>
    <w:p w14:paraId="3B10ECDC" w14:textId="3B70E946" w:rsidR="00AE1EE4" w:rsidRDefault="00AE1EE4" w:rsidP="009D3B79">
      <w:pPr>
        <w:pStyle w:val="ListParagraph"/>
        <w:numPr>
          <w:ilvl w:val="0"/>
          <w:numId w:val="6"/>
        </w:numPr>
        <w:rPr>
          <w:rFonts w:cstheme="minorHAnsi"/>
        </w:rPr>
      </w:pPr>
      <w:r>
        <w:rPr>
          <w:rFonts w:cstheme="minorHAnsi"/>
        </w:rPr>
        <w:t>There is a commitment to developing induction and training for all line managers (including diversity awareness and unconscious bias), with some aspects already delivered.</w:t>
      </w:r>
    </w:p>
    <w:p w14:paraId="5F2EB2E8" w14:textId="2545F49F" w:rsidR="00896D15" w:rsidRDefault="00896D15" w:rsidP="009D3B79">
      <w:pPr>
        <w:pStyle w:val="ListParagraph"/>
        <w:numPr>
          <w:ilvl w:val="0"/>
          <w:numId w:val="6"/>
        </w:numPr>
        <w:rPr>
          <w:rFonts w:cstheme="minorHAnsi"/>
        </w:rPr>
      </w:pPr>
      <w:r>
        <w:rPr>
          <w:rFonts w:cstheme="minorHAnsi"/>
        </w:rPr>
        <w:t>There has been a review of the pay arrangements to ensure a fair and transparent pay system across the Trust.</w:t>
      </w:r>
    </w:p>
    <w:p w14:paraId="5CD1528F" w14:textId="29AF8B1B" w:rsidR="006235F8" w:rsidRPr="003741D9" w:rsidRDefault="006235F8" w:rsidP="006235F8">
      <w:pPr>
        <w:pStyle w:val="ListParagraph"/>
        <w:numPr>
          <w:ilvl w:val="0"/>
          <w:numId w:val="6"/>
        </w:numPr>
        <w:rPr>
          <w:rFonts w:ascii="Arial" w:eastAsia="Times New Roman" w:hAnsi="Arial" w:cs="Arial"/>
          <w:color w:val="464B51"/>
          <w:sz w:val="27"/>
          <w:szCs w:val="27"/>
          <w:lang w:eastAsia="en-GB"/>
        </w:rPr>
      </w:pPr>
      <w:r>
        <w:rPr>
          <w:rFonts w:cstheme="minorHAnsi"/>
        </w:rPr>
        <w:t xml:space="preserve">There is an increasing level of robust overview and scrutiny by Trustees. </w:t>
      </w:r>
    </w:p>
    <w:p w14:paraId="205D948E" w14:textId="4A3ACE71" w:rsidR="007D608C" w:rsidRPr="009D3B79" w:rsidRDefault="000B6D58" w:rsidP="009D3B79">
      <w:pPr>
        <w:pStyle w:val="ListParagraph"/>
        <w:numPr>
          <w:ilvl w:val="0"/>
          <w:numId w:val="6"/>
        </w:numPr>
        <w:rPr>
          <w:rFonts w:cstheme="minorHAnsi"/>
        </w:rPr>
      </w:pPr>
      <w:r>
        <w:rPr>
          <w:rFonts w:cstheme="minorHAnsi"/>
        </w:rPr>
        <w:t xml:space="preserve">Managers </w:t>
      </w:r>
      <w:r w:rsidR="00396CCC">
        <w:rPr>
          <w:rFonts w:cstheme="minorHAnsi"/>
        </w:rPr>
        <w:t xml:space="preserve">utilise the </w:t>
      </w:r>
      <w:r w:rsidR="007D608C" w:rsidRPr="009D3B79">
        <w:rPr>
          <w:rFonts w:cstheme="minorHAnsi"/>
        </w:rPr>
        <w:t xml:space="preserve">keeping-in-touch </w:t>
      </w:r>
      <w:r w:rsidR="00396CCC">
        <w:rPr>
          <w:rFonts w:cstheme="minorHAnsi"/>
        </w:rPr>
        <w:t xml:space="preserve">(where employees want them),  </w:t>
      </w:r>
      <w:r w:rsidR="007D608C" w:rsidRPr="009D3B79">
        <w:rPr>
          <w:rFonts w:cstheme="minorHAnsi"/>
        </w:rPr>
        <w:t xml:space="preserve">return-to-work arrangements and options for female employees returning from maternity </w:t>
      </w:r>
      <w:r w:rsidR="009D3B79" w:rsidRPr="009D3B79">
        <w:rPr>
          <w:rFonts w:cstheme="minorHAnsi"/>
        </w:rPr>
        <w:t xml:space="preserve">and adoption </w:t>
      </w:r>
      <w:r w:rsidR="007D608C" w:rsidRPr="009D3B79">
        <w:rPr>
          <w:rFonts w:cstheme="minorHAnsi"/>
        </w:rPr>
        <w:t>leave. This to include the offer of shared parental leave</w:t>
      </w:r>
      <w:r w:rsidR="001807C3" w:rsidRPr="009D3B79">
        <w:rPr>
          <w:rFonts w:cstheme="minorHAnsi"/>
        </w:rPr>
        <w:t>/</w:t>
      </w:r>
      <w:r w:rsidR="007D608C" w:rsidRPr="009D3B79">
        <w:rPr>
          <w:rFonts w:cstheme="minorHAnsi"/>
        </w:rPr>
        <w:t xml:space="preserve"> pay options for both parents. </w:t>
      </w:r>
    </w:p>
    <w:p w14:paraId="5FE2D8B8" w14:textId="430F0DC5" w:rsidR="00445AA0" w:rsidRDefault="00445AA0" w:rsidP="001E2E17">
      <w:r>
        <w:rPr>
          <w:rFonts w:cstheme="minorHAnsi"/>
        </w:rPr>
        <w:t xml:space="preserve">I </w:t>
      </w:r>
      <w:r>
        <w:t>hereby confirm the information provided in this report to be accurate</w:t>
      </w:r>
      <w:r w:rsidR="00396CCC">
        <w:t xml:space="preserve"> and reflects the </w:t>
      </w:r>
      <w:r w:rsidR="00360640">
        <w:t>continuing focus on proactively reducing the gender pay gap at Active Learning Trust, irrespective of education sector norms.</w:t>
      </w:r>
      <w:r>
        <w:t xml:space="preserve"> </w:t>
      </w:r>
    </w:p>
    <w:p w14:paraId="19FB6B10" w14:textId="52371BD1" w:rsidR="00445AA0" w:rsidRDefault="005C4ED7" w:rsidP="001E2E17">
      <w:r>
        <w:rPr>
          <w:noProof/>
        </w:rPr>
        <w:drawing>
          <wp:inline distT="0" distB="0" distL="0" distR="0" wp14:anchorId="681CA49A" wp14:editId="700A3243">
            <wp:extent cx="1440180" cy="762000"/>
            <wp:effectExtent l="0" t="0" r="0" b="0"/>
            <wp:docPr id="478501826" name="Picture 2"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501826" name="Picture 2" descr="A close-up of a black backgroun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0180" cy="762000"/>
                    </a:xfrm>
                    <a:prstGeom prst="rect">
                      <a:avLst/>
                    </a:prstGeom>
                    <a:noFill/>
                    <a:ln>
                      <a:noFill/>
                    </a:ln>
                  </pic:spPr>
                </pic:pic>
              </a:graphicData>
            </a:graphic>
          </wp:inline>
        </w:drawing>
      </w:r>
    </w:p>
    <w:p w14:paraId="090A0748" w14:textId="0265BFA6" w:rsidR="00445AA0" w:rsidRPr="00445AA0" w:rsidRDefault="005504BC" w:rsidP="00445AA0">
      <w:pPr>
        <w:spacing w:after="0" w:line="240" w:lineRule="auto"/>
        <w:rPr>
          <w:b/>
        </w:rPr>
      </w:pPr>
      <w:r>
        <w:rPr>
          <w:b/>
        </w:rPr>
        <w:t xml:space="preserve">Lynsy Holzer </w:t>
      </w:r>
    </w:p>
    <w:p w14:paraId="714FD777" w14:textId="7965F8BD" w:rsidR="00445AA0" w:rsidRPr="00445AA0" w:rsidRDefault="00445AA0" w:rsidP="00445AA0">
      <w:pPr>
        <w:spacing w:after="0" w:line="240" w:lineRule="auto"/>
        <w:rPr>
          <w:b/>
        </w:rPr>
      </w:pPr>
      <w:r w:rsidRPr="00445AA0">
        <w:rPr>
          <w:b/>
        </w:rPr>
        <w:t xml:space="preserve">Chief Executive Officer </w:t>
      </w:r>
    </w:p>
    <w:p w14:paraId="6DFE2D65" w14:textId="6B1F3295" w:rsidR="00975BE9" w:rsidRPr="00445AA0" w:rsidRDefault="00445AA0" w:rsidP="00445AA0">
      <w:pPr>
        <w:spacing w:after="0" w:line="240" w:lineRule="auto"/>
        <w:rPr>
          <w:rFonts w:cstheme="minorHAnsi"/>
          <w:b/>
        </w:rPr>
      </w:pPr>
      <w:r w:rsidRPr="00445AA0">
        <w:rPr>
          <w:b/>
        </w:rPr>
        <w:t>Active Learning Trust</w:t>
      </w:r>
    </w:p>
    <w:p w14:paraId="3C84A864" w14:textId="77777777" w:rsidR="00975BE9" w:rsidRPr="00445AA0" w:rsidRDefault="00975BE9" w:rsidP="00445AA0">
      <w:pPr>
        <w:spacing w:after="0" w:line="240" w:lineRule="auto"/>
        <w:rPr>
          <w:rFonts w:cstheme="minorHAnsi"/>
          <w:b/>
        </w:rPr>
      </w:pPr>
    </w:p>
    <w:p w14:paraId="37215558" w14:textId="3624A200" w:rsidR="005C29CA" w:rsidRPr="009D3B79" w:rsidRDefault="00546BD0" w:rsidP="001E2E17">
      <w:pPr>
        <w:rPr>
          <w:rFonts w:cstheme="minorHAnsi"/>
        </w:rPr>
      </w:pPr>
      <w:r>
        <w:rPr>
          <w:rFonts w:cstheme="minorHAnsi"/>
        </w:rPr>
        <w:t>*</w:t>
      </w:r>
      <w:r>
        <w:t xml:space="preserve">‘Relevant employees’ for the purposes of the report is defined in the gov.uk guidance as </w:t>
      </w:r>
      <w:r w:rsidRPr="00546BD0">
        <w:rPr>
          <w:i/>
          <w:iCs/>
        </w:rPr>
        <w:t>“all employees employed on your snapshot date who either: have a contract of employment – including employees who are part-time, job-sharing, and on leave, or are self-employed, where they must perform the work themselves – that is, they are not permitted to subcontract any part of the work or employ their own staff to do it”.</w:t>
      </w:r>
      <w:r>
        <w:t xml:space="preserve"> This includes full-pay relevant employees and also other employees employed on the snapshot date, but on less than full-pay because of leave. </w:t>
      </w:r>
    </w:p>
    <w:sectPr w:rsidR="005C29CA" w:rsidRPr="009D3B7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454D3" w14:textId="77777777" w:rsidR="00994DEF" w:rsidRDefault="00994DEF" w:rsidP="00DA3E82">
      <w:pPr>
        <w:spacing w:after="0" w:line="240" w:lineRule="auto"/>
      </w:pPr>
      <w:r>
        <w:separator/>
      </w:r>
    </w:p>
  </w:endnote>
  <w:endnote w:type="continuationSeparator" w:id="0">
    <w:p w14:paraId="6FF010C6" w14:textId="77777777" w:rsidR="00994DEF" w:rsidRDefault="00994DEF" w:rsidP="00DA3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824877"/>
      <w:docPartObj>
        <w:docPartGallery w:val="Page Numbers (Bottom of Page)"/>
        <w:docPartUnique/>
      </w:docPartObj>
    </w:sdtPr>
    <w:sdtEndPr>
      <w:rPr>
        <w:b/>
        <w:noProof/>
      </w:rPr>
    </w:sdtEndPr>
    <w:sdtContent>
      <w:p w14:paraId="26178195" w14:textId="00077660" w:rsidR="00DA3E82" w:rsidRDefault="00DA3E82">
        <w:pPr>
          <w:pStyle w:val="Footer"/>
          <w:jc w:val="center"/>
          <w:rPr>
            <w:noProof/>
          </w:rPr>
        </w:pPr>
        <w:r>
          <w:fldChar w:fldCharType="begin"/>
        </w:r>
        <w:r>
          <w:instrText xml:space="preserve"> PAGE   \* MERGEFORMAT </w:instrText>
        </w:r>
        <w:r>
          <w:fldChar w:fldCharType="separate"/>
        </w:r>
        <w:r w:rsidR="00CF4E01">
          <w:rPr>
            <w:noProof/>
          </w:rPr>
          <w:t>5</w:t>
        </w:r>
        <w:r>
          <w:rPr>
            <w:noProof/>
          </w:rPr>
          <w:fldChar w:fldCharType="end"/>
        </w:r>
      </w:p>
      <w:p w14:paraId="0CD8FE24" w14:textId="1C1AB485" w:rsidR="00DA3E82" w:rsidRPr="00366A4E" w:rsidRDefault="000B6595" w:rsidP="009D3B79">
        <w:pPr>
          <w:pStyle w:val="Footer"/>
          <w:rPr>
            <w:b/>
          </w:rPr>
        </w:pPr>
        <w:r w:rsidRPr="00366A4E">
          <w:rPr>
            <w:b/>
            <w:noProof/>
          </w:rPr>
          <w:t xml:space="preserve">Snapshot date </w:t>
        </w:r>
        <w:r w:rsidR="00DA3E82" w:rsidRPr="00366A4E">
          <w:rPr>
            <w:b/>
            <w:noProof/>
          </w:rPr>
          <w:t>March 202</w:t>
        </w:r>
        <w:r w:rsidR="009C574D">
          <w:rPr>
            <w:b/>
            <w:noProof/>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A9F0D" w14:textId="77777777" w:rsidR="00994DEF" w:rsidRDefault="00994DEF" w:rsidP="00DA3E82">
      <w:pPr>
        <w:spacing w:after="0" w:line="240" w:lineRule="auto"/>
      </w:pPr>
      <w:r>
        <w:separator/>
      </w:r>
    </w:p>
  </w:footnote>
  <w:footnote w:type="continuationSeparator" w:id="0">
    <w:p w14:paraId="414E9318" w14:textId="77777777" w:rsidR="00994DEF" w:rsidRDefault="00994DEF" w:rsidP="00DA3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5F1"/>
    <w:multiLevelType w:val="hybridMultilevel"/>
    <w:tmpl w:val="6D1EB0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83E5C41"/>
    <w:multiLevelType w:val="multilevel"/>
    <w:tmpl w:val="09A2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D57A1"/>
    <w:multiLevelType w:val="multilevel"/>
    <w:tmpl w:val="0F60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E7EC4"/>
    <w:multiLevelType w:val="hybridMultilevel"/>
    <w:tmpl w:val="0534F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045E8F"/>
    <w:multiLevelType w:val="multilevel"/>
    <w:tmpl w:val="A5A8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583120"/>
    <w:multiLevelType w:val="hybridMultilevel"/>
    <w:tmpl w:val="AEDE1E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66C458F"/>
    <w:multiLevelType w:val="hybridMultilevel"/>
    <w:tmpl w:val="A462B304"/>
    <w:lvl w:ilvl="0" w:tplc="08090003">
      <w:start w:val="1"/>
      <w:numFmt w:val="bullet"/>
      <w:lvlText w:val="o"/>
      <w:lvlJc w:val="left"/>
      <w:pPr>
        <w:ind w:left="2366" w:hanging="360"/>
      </w:pPr>
      <w:rPr>
        <w:rFonts w:ascii="Courier New" w:hAnsi="Courier New" w:cs="Courier New" w:hint="default"/>
      </w:rPr>
    </w:lvl>
    <w:lvl w:ilvl="1" w:tplc="08090003" w:tentative="1">
      <w:start w:val="1"/>
      <w:numFmt w:val="bullet"/>
      <w:lvlText w:val="o"/>
      <w:lvlJc w:val="left"/>
      <w:pPr>
        <w:ind w:left="3086" w:hanging="360"/>
      </w:pPr>
      <w:rPr>
        <w:rFonts w:ascii="Courier New" w:hAnsi="Courier New" w:cs="Courier New" w:hint="default"/>
      </w:rPr>
    </w:lvl>
    <w:lvl w:ilvl="2" w:tplc="08090005" w:tentative="1">
      <w:start w:val="1"/>
      <w:numFmt w:val="bullet"/>
      <w:lvlText w:val=""/>
      <w:lvlJc w:val="left"/>
      <w:pPr>
        <w:ind w:left="3806" w:hanging="360"/>
      </w:pPr>
      <w:rPr>
        <w:rFonts w:ascii="Wingdings" w:hAnsi="Wingdings" w:hint="default"/>
      </w:rPr>
    </w:lvl>
    <w:lvl w:ilvl="3" w:tplc="08090001" w:tentative="1">
      <w:start w:val="1"/>
      <w:numFmt w:val="bullet"/>
      <w:lvlText w:val=""/>
      <w:lvlJc w:val="left"/>
      <w:pPr>
        <w:ind w:left="4526" w:hanging="360"/>
      </w:pPr>
      <w:rPr>
        <w:rFonts w:ascii="Symbol" w:hAnsi="Symbol" w:hint="default"/>
      </w:rPr>
    </w:lvl>
    <w:lvl w:ilvl="4" w:tplc="08090003" w:tentative="1">
      <w:start w:val="1"/>
      <w:numFmt w:val="bullet"/>
      <w:lvlText w:val="o"/>
      <w:lvlJc w:val="left"/>
      <w:pPr>
        <w:ind w:left="5246" w:hanging="360"/>
      </w:pPr>
      <w:rPr>
        <w:rFonts w:ascii="Courier New" w:hAnsi="Courier New" w:cs="Courier New" w:hint="default"/>
      </w:rPr>
    </w:lvl>
    <w:lvl w:ilvl="5" w:tplc="08090005" w:tentative="1">
      <w:start w:val="1"/>
      <w:numFmt w:val="bullet"/>
      <w:lvlText w:val=""/>
      <w:lvlJc w:val="left"/>
      <w:pPr>
        <w:ind w:left="5966" w:hanging="360"/>
      </w:pPr>
      <w:rPr>
        <w:rFonts w:ascii="Wingdings" w:hAnsi="Wingdings" w:hint="default"/>
      </w:rPr>
    </w:lvl>
    <w:lvl w:ilvl="6" w:tplc="08090001" w:tentative="1">
      <w:start w:val="1"/>
      <w:numFmt w:val="bullet"/>
      <w:lvlText w:val=""/>
      <w:lvlJc w:val="left"/>
      <w:pPr>
        <w:ind w:left="6686" w:hanging="360"/>
      </w:pPr>
      <w:rPr>
        <w:rFonts w:ascii="Symbol" w:hAnsi="Symbol" w:hint="default"/>
      </w:rPr>
    </w:lvl>
    <w:lvl w:ilvl="7" w:tplc="08090003" w:tentative="1">
      <w:start w:val="1"/>
      <w:numFmt w:val="bullet"/>
      <w:lvlText w:val="o"/>
      <w:lvlJc w:val="left"/>
      <w:pPr>
        <w:ind w:left="7406" w:hanging="360"/>
      </w:pPr>
      <w:rPr>
        <w:rFonts w:ascii="Courier New" w:hAnsi="Courier New" w:cs="Courier New" w:hint="default"/>
      </w:rPr>
    </w:lvl>
    <w:lvl w:ilvl="8" w:tplc="08090005" w:tentative="1">
      <w:start w:val="1"/>
      <w:numFmt w:val="bullet"/>
      <w:lvlText w:val=""/>
      <w:lvlJc w:val="left"/>
      <w:pPr>
        <w:ind w:left="8126" w:hanging="360"/>
      </w:pPr>
      <w:rPr>
        <w:rFonts w:ascii="Wingdings" w:hAnsi="Wingdings" w:hint="default"/>
      </w:rPr>
    </w:lvl>
  </w:abstractNum>
  <w:abstractNum w:abstractNumId="7" w15:restartNumberingAfterBreak="0">
    <w:nsid w:val="67A2779A"/>
    <w:multiLevelType w:val="multilevel"/>
    <w:tmpl w:val="1E92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AB2B75"/>
    <w:multiLevelType w:val="hybridMultilevel"/>
    <w:tmpl w:val="A1166B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121ACC"/>
    <w:multiLevelType w:val="multilevel"/>
    <w:tmpl w:val="699A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6106939">
    <w:abstractNumId w:val="0"/>
  </w:num>
  <w:num w:numId="2" w16cid:durableId="1114639896">
    <w:abstractNumId w:val="8"/>
  </w:num>
  <w:num w:numId="3" w16cid:durableId="834803818">
    <w:abstractNumId w:val="6"/>
  </w:num>
  <w:num w:numId="4" w16cid:durableId="437411224">
    <w:abstractNumId w:val="4"/>
  </w:num>
  <w:num w:numId="5" w16cid:durableId="1728529864">
    <w:abstractNumId w:val="5"/>
  </w:num>
  <w:num w:numId="6" w16cid:durableId="1162160591">
    <w:abstractNumId w:val="3"/>
  </w:num>
  <w:num w:numId="7" w16cid:durableId="1110049842">
    <w:abstractNumId w:val="2"/>
  </w:num>
  <w:num w:numId="8" w16cid:durableId="1941789408">
    <w:abstractNumId w:val="9"/>
  </w:num>
  <w:num w:numId="9" w16cid:durableId="1225600871">
    <w:abstractNumId w:val="1"/>
  </w:num>
  <w:num w:numId="10" w16cid:durableId="6635832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3F3"/>
    <w:rsid w:val="0002782A"/>
    <w:rsid w:val="00037939"/>
    <w:rsid w:val="00060E28"/>
    <w:rsid w:val="00073764"/>
    <w:rsid w:val="000B6595"/>
    <w:rsid w:val="000B6D58"/>
    <w:rsid w:val="000F1FB9"/>
    <w:rsid w:val="0010786A"/>
    <w:rsid w:val="001218EE"/>
    <w:rsid w:val="0012289A"/>
    <w:rsid w:val="001345E8"/>
    <w:rsid w:val="001569E6"/>
    <w:rsid w:val="001807C3"/>
    <w:rsid w:val="0018641D"/>
    <w:rsid w:val="00192A42"/>
    <w:rsid w:val="001A4990"/>
    <w:rsid w:val="001A59D0"/>
    <w:rsid w:val="001B509F"/>
    <w:rsid w:val="001E0126"/>
    <w:rsid w:val="001E2E17"/>
    <w:rsid w:val="001F6A24"/>
    <w:rsid w:val="00205188"/>
    <w:rsid w:val="00210399"/>
    <w:rsid w:val="002159E7"/>
    <w:rsid w:val="00233319"/>
    <w:rsid w:val="00240D72"/>
    <w:rsid w:val="00241237"/>
    <w:rsid w:val="00254415"/>
    <w:rsid w:val="0026032B"/>
    <w:rsid w:val="00273718"/>
    <w:rsid w:val="002A61D8"/>
    <w:rsid w:val="002A6A2A"/>
    <w:rsid w:val="002B0893"/>
    <w:rsid w:val="002D10A7"/>
    <w:rsid w:val="002E355E"/>
    <w:rsid w:val="002E7385"/>
    <w:rsid w:val="003434CE"/>
    <w:rsid w:val="00360640"/>
    <w:rsid w:val="00361143"/>
    <w:rsid w:val="0036569F"/>
    <w:rsid w:val="00366A4E"/>
    <w:rsid w:val="00371090"/>
    <w:rsid w:val="003741D9"/>
    <w:rsid w:val="0037782B"/>
    <w:rsid w:val="00396CCC"/>
    <w:rsid w:val="003A4E07"/>
    <w:rsid w:val="003A6027"/>
    <w:rsid w:val="003A7C9A"/>
    <w:rsid w:val="003B3C97"/>
    <w:rsid w:val="003C4A50"/>
    <w:rsid w:val="003D08E5"/>
    <w:rsid w:val="003D3C6D"/>
    <w:rsid w:val="003F58B2"/>
    <w:rsid w:val="00401554"/>
    <w:rsid w:val="0041191A"/>
    <w:rsid w:val="0041412C"/>
    <w:rsid w:val="00414E2E"/>
    <w:rsid w:val="00416655"/>
    <w:rsid w:val="00441F6B"/>
    <w:rsid w:val="00445AA0"/>
    <w:rsid w:val="00446F28"/>
    <w:rsid w:val="00476128"/>
    <w:rsid w:val="0049032A"/>
    <w:rsid w:val="004935F5"/>
    <w:rsid w:val="004A5407"/>
    <w:rsid w:val="004B13A2"/>
    <w:rsid w:val="004B4EE0"/>
    <w:rsid w:val="004D300B"/>
    <w:rsid w:val="004F3C7B"/>
    <w:rsid w:val="004F3E04"/>
    <w:rsid w:val="00501D91"/>
    <w:rsid w:val="00546BD0"/>
    <w:rsid w:val="005504BC"/>
    <w:rsid w:val="00566911"/>
    <w:rsid w:val="00584389"/>
    <w:rsid w:val="005B48A8"/>
    <w:rsid w:val="005C1373"/>
    <w:rsid w:val="005C29CA"/>
    <w:rsid w:val="005C4ED7"/>
    <w:rsid w:val="005D2F47"/>
    <w:rsid w:val="005D30D9"/>
    <w:rsid w:val="005D34B1"/>
    <w:rsid w:val="005E4CFB"/>
    <w:rsid w:val="005F2AFC"/>
    <w:rsid w:val="005F4759"/>
    <w:rsid w:val="006235F8"/>
    <w:rsid w:val="00632398"/>
    <w:rsid w:val="00637BF4"/>
    <w:rsid w:val="0065255A"/>
    <w:rsid w:val="00652B21"/>
    <w:rsid w:val="00691782"/>
    <w:rsid w:val="00693543"/>
    <w:rsid w:val="006948B5"/>
    <w:rsid w:val="006D372D"/>
    <w:rsid w:val="006F1BC0"/>
    <w:rsid w:val="006F2260"/>
    <w:rsid w:val="007213F3"/>
    <w:rsid w:val="007272B2"/>
    <w:rsid w:val="00734F74"/>
    <w:rsid w:val="00744E00"/>
    <w:rsid w:val="00753C0F"/>
    <w:rsid w:val="0075542F"/>
    <w:rsid w:val="00780621"/>
    <w:rsid w:val="0079305B"/>
    <w:rsid w:val="007A2356"/>
    <w:rsid w:val="007A3D6B"/>
    <w:rsid w:val="007A77F3"/>
    <w:rsid w:val="007B3D19"/>
    <w:rsid w:val="007B6F2A"/>
    <w:rsid w:val="007C25A1"/>
    <w:rsid w:val="007D10E3"/>
    <w:rsid w:val="007D569E"/>
    <w:rsid w:val="007D608C"/>
    <w:rsid w:val="007F659B"/>
    <w:rsid w:val="008016B1"/>
    <w:rsid w:val="008020FE"/>
    <w:rsid w:val="008308B7"/>
    <w:rsid w:val="00844AEE"/>
    <w:rsid w:val="008504A5"/>
    <w:rsid w:val="00853B40"/>
    <w:rsid w:val="00863DB1"/>
    <w:rsid w:val="00863DD1"/>
    <w:rsid w:val="00866C03"/>
    <w:rsid w:val="00877F3F"/>
    <w:rsid w:val="00896D15"/>
    <w:rsid w:val="008B2B9E"/>
    <w:rsid w:val="008B3AC1"/>
    <w:rsid w:val="008B6ECE"/>
    <w:rsid w:val="008C08B0"/>
    <w:rsid w:val="008C3739"/>
    <w:rsid w:val="008C7AF3"/>
    <w:rsid w:val="008D46DB"/>
    <w:rsid w:val="008E63C9"/>
    <w:rsid w:val="008E733C"/>
    <w:rsid w:val="009348A4"/>
    <w:rsid w:val="00935CB5"/>
    <w:rsid w:val="0096754B"/>
    <w:rsid w:val="009676B4"/>
    <w:rsid w:val="00972F6D"/>
    <w:rsid w:val="00975BE9"/>
    <w:rsid w:val="00981793"/>
    <w:rsid w:val="009867C1"/>
    <w:rsid w:val="00992FBA"/>
    <w:rsid w:val="00994DEF"/>
    <w:rsid w:val="00997727"/>
    <w:rsid w:val="009A543A"/>
    <w:rsid w:val="009C478F"/>
    <w:rsid w:val="009C574D"/>
    <w:rsid w:val="009D3B79"/>
    <w:rsid w:val="00A15A80"/>
    <w:rsid w:val="00A402BD"/>
    <w:rsid w:val="00A5212D"/>
    <w:rsid w:val="00A53585"/>
    <w:rsid w:val="00A646FF"/>
    <w:rsid w:val="00A652AB"/>
    <w:rsid w:val="00A6783E"/>
    <w:rsid w:val="00A74ADC"/>
    <w:rsid w:val="00A80B06"/>
    <w:rsid w:val="00A81FC5"/>
    <w:rsid w:val="00AA6A04"/>
    <w:rsid w:val="00AE123F"/>
    <w:rsid w:val="00AE1EE4"/>
    <w:rsid w:val="00AE68A7"/>
    <w:rsid w:val="00AF5862"/>
    <w:rsid w:val="00B15690"/>
    <w:rsid w:val="00B37FD0"/>
    <w:rsid w:val="00B40078"/>
    <w:rsid w:val="00B43303"/>
    <w:rsid w:val="00B708F4"/>
    <w:rsid w:val="00B73570"/>
    <w:rsid w:val="00B75073"/>
    <w:rsid w:val="00BB3FE6"/>
    <w:rsid w:val="00BC152B"/>
    <w:rsid w:val="00BC2D42"/>
    <w:rsid w:val="00BF2484"/>
    <w:rsid w:val="00C3541C"/>
    <w:rsid w:val="00C35455"/>
    <w:rsid w:val="00C37B11"/>
    <w:rsid w:val="00C83D33"/>
    <w:rsid w:val="00C87528"/>
    <w:rsid w:val="00CA3D3A"/>
    <w:rsid w:val="00CC0AEF"/>
    <w:rsid w:val="00CD1D7A"/>
    <w:rsid w:val="00CD317A"/>
    <w:rsid w:val="00CE6026"/>
    <w:rsid w:val="00CE607C"/>
    <w:rsid w:val="00CF4E01"/>
    <w:rsid w:val="00CF5FA4"/>
    <w:rsid w:val="00D12092"/>
    <w:rsid w:val="00D14C43"/>
    <w:rsid w:val="00D2060C"/>
    <w:rsid w:val="00D2129C"/>
    <w:rsid w:val="00D42DCA"/>
    <w:rsid w:val="00D51C36"/>
    <w:rsid w:val="00D531CF"/>
    <w:rsid w:val="00D74A62"/>
    <w:rsid w:val="00D8471E"/>
    <w:rsid w:val="00DA3E82"/>
    <w:rsid w:val="00DB22FF"/>
    <w:rsid w:val="00DC4FC0"/>
    <w:rsid w:val="00DC5DBC"/>
    <w:rsid w:val="00DD77CC"/>
    <w:rsid w:val="00DE1B3C"/>
    <w:rsid w:val="00DF3C1B"/>
    <w:rsid w:val="00E1262C"/>
    <w:rsid w:val="00E2263F"/>
    <w:rsid w:val="00E35B01"/>
    <w:rsid w:val="00E7705B"/>
    <w:rsid w:val="00E836A3"/>
    <w:rsid w:val="00E94014"/>
    <w:rsid w:val="00EA0A61"/>
    <w:rsid w:val="00EA15BD"/>
    <w:rsid w:val="00EB2E5F"/>
    <w:rsid w:val="00F01F2E"/>
    <w:rsid w:val="00F034CB"/>
    <w:rsid w:val="00F046DF"/>
    <w:rsid w:val="00F20563"/>
    <w:rsid w:val="00F252D9"/>
    <w:rsid w:val="00F52F93"/>
    <w:rsid w:val="00F5662C"/>
    <w:rsid w:val="00F73C72"/>
    <w:rsid w:val="00F7607E"/>
    <w:rsid w:val="00FB375D"/>
    <w:rsid w:val="00FC3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A6BB4"/>
  <w15:chartTrackingRefBased/>
  <w15:docId w15:val="{0BB05F25-C0C5-4F58-9C83-482673EE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F659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2544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1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7F3"/>
    <w:pPr>
      <w:ind w:left="720"/>
      <w:contextualSpacing/>
    </w:pPr>
  </w:style>
  <w:style w:type="paragraph" w:styleId="BalloonText">
    <w:name w:val="Balloon Text"/>
    <w:basedOn w:val="Normal"/>
    <w:link w:val="BalloonTextChar"/>
    <w:uiPriority w:val="99"/>
    <w:semiHidden/>
    <w:unhideWhenUsed/>
    <w:rsid w:val="001E2E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E17"/>
    <w:rPr>
      <w:rFonts w:ascii="Segoe UI" w:hAnsi="Segoe UI" w:cs="Segoe UI"/>
      <w:sz w:val="18"/>
      <w:szCs w:val="18"/>
    </w:rPr>
  </w:style>
  <w:style w:type="paragraph" w:styleId="NormalWeb">
    <w:name w:val="Normal (Web)"/>
    <w:basedOn w:val="Normal"/>
    <w:uiPriority w:val="99"/>
    <w:unhideWhenUsed/>
    <w:rsid w:val="000278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2E7385"/>
    <w:pPr>
      <w:spacing w:after="0" w:line="240" w:lineRule="auto"/>
    </w:pPr>
  </w:style>
  <w:style w:type="paragraph" w:styleId="Header">
    <w:name w:val="header"/>
    <w:basedOn w:val="Normal"/>
    <w:link w:val="HeaderChar"/>
    <w:uiPriority w:val="99"/>
    <w:unhideWhenUsed/>
    <w:rsid w:val="00DA3E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E82"/>
  </w:style>
  <w:style w:type="paragraph" w:styleId="Footer">
    <w:name w:val="footer"/>
    <w:basedOn w:val="Normal"/>
    <w:link w:val="FooterChar"/>
    <w:uiPriority w:val="99"/>
    <w:unhideWhenUsed/>
    <w:rsid w:val="00DA3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E82"/>
  </w:style>
  <w:style w:type="character" w:styleId="CommentReference">
    <w:name w:val="annotation reference"/>
    <w:basedOn w:val="DefaultParagraphFont"/>
    <w:uiPriority w:val="99"/>
    <w:semiHidden/>
    <w:unhideWhenUsed/>
    <w:rsid w:val="00CF5FA4"/>
    <w:rPr>
      <w:sz w:val="16"/>
      <w:szCs w:val="16"/>
    </w:rPr>
  </w:style>
  <w:style w:type="paragraph" w:styleId="CommentText">
    <w:name w:val="annotation text"/>
    <w:basedOn w:val="Normal"/>
    <w:link w:val="CommentTextChar"/>
    <w:uiPriority w:val="99"/>
    <w:semiHidden/>
    <w:unhideWhenUsed/>
    <w:rsid w:val="00CF5FA4"/>
    <w:pPr>
      <w:spacing w:line="240" w:lineRule="auto"/>
    </w:pPr>
    <w:rPr>
      <w:sz w:val="20"/>
      <w:szCs w:val="20"/>
    </w:rPr>
  </w:style>
  <w:style w:type="character" w:customStyle="1" w:styleId="CommentTextChar">
    <w:name w:val="Comment Text Char"/>
    <w:basedOn w:val="DefaultParagraphFont"/>
    <w:link w:val="CommentText"/>
    <w:uiPriority w:val="99"/>
    <w:semiHidden/>
    <w:rsid w:val="00CF5FA4"/>
    <w:rPr>
      <w:sz w:val="20"/>
      <w:szCs w:val="20"/>
    </w:rPr>
  </w:style>
  <w:style w:type="paragraph" w:styleId="CommentSubject">
    <w:name w:val="annotation subject"/>
    <w:basedOn w:val="CommentText"/>
    <w:next w:val="CommentText"/>
    <w:link w:val="CommentSubjectChar"/>
    <w:uiPriority w:val="99"/>
    <w:semiHidden/>
    <w:unhideWhenUsed/>
    <w:rsid w:val="00CF5FA4"/>
    <w:rPr>
      <w:b/>
      <w:bCs/>
    </w:rPr>
  </w:style>
  <w:style w:type="character" w:customStyle="1" w:styleId="CommentSubjectChar">
    <w:name w:val="Comment Subject Char"/>
    <w:basedOn w:val="CommentTextChar"/>
    <w:link w:val="CommentSubject"/>
    <w:uiPriority w:val="99"/>
    <w:semiHidden/>
    <w:rsid w:val="00CF5FA4"/>
    <w:rPr>
      <w:b/>
      <w:bCs/>
      <w:sz w:val="20"/>
      <w:szCs w:val="20"/>
    </w:rPr>
  </w:style>
  <w:style w:type="character" w:styleId="Hyperlink">
    <w:name w:val="Hyperlink"/>
    <w:basedOn w:val="DefaultParagraphFont"/>
    <w:uiPriority w:val="99"/>
    <w:semiHidden/>
    <w:unhideWhenUsed/>
    <w:rsid w:val="00A81FC5"/>
    <w:rPr>
      <w:color w:val="0000FF"/>
      <w:u w:val="single"/>
    </w:rPr>
  </w:style>
  <w:style w:type="character" w:customStyle="1" w:styleId="Heading2Char">
    <w:name w:val="Heading 2 Char"/>
    <w:basedOn w:val="DefaultParagraphFont"/>
    <w:link w:val="Heading2"/>
    <w:uiPriority w:val="9"/>
    <w:rsid w:val="007F659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25441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78279">
      <w:bodyDiv w:val="1"/>
      <w:marLeft w:val="0"/>
      <w:marRight w:val="0"/>
      <w:marTop w:val="0"/>
      <w:marBottom w:val="0"/>
      <w:divBdr>
        <w:top w:val="none" w:sz="0" w:space="0" w:color="auto"/>
        <w:left w:val="none" w:sz="0" w:space="0" w:color="auto"/>
        <w:bottom w:val="none" w:sz="0" w:space="0" w:color="auto"/>
        <w:right w:val="none" w:sz="0" w:space="0" w:color="auto"/>
      </w:divBdr>
    </w:div>
    <w:div w:id="369771447">
      <w:bodyDiv w:val="1"/>
      <w:marLeft w:val="0"/>
      <w:marRight w:val="0"/>
      <w:marTop w:val="0"/>
      <w:marBottom w:val="0"/>
      <w:divBdr>
        <w:top w:val="none" w:sz="0" w:space="0" w:color="auto"/>
        <w:left w:val="none" w:sz="0" w:space="0" w:color="auto"/>
        <w:bottom w:val="none" w:sz="0" w:space="0" w:color="auto"/>
        <w:right w:val="none" w:sz="0" w:space="0" w:color="auto"/>
      </w:divBdr>
    </w:div>
    <w:div w:id="547227523">
      <w:bodyDiv w:val="1"/>
      <w:marLeft w:val="0"/>
      <w:marRight w:val="0"/>
      <w:marTop w:val="0"/>
      <w:marBottom w:val="0"/>
      <w:divBdr>
        <w:top w:val="none" w:sz="0" w:space="0" w:color="auto"/>
        <w:left w:val="none" w:sz="0" w:space="0" w:color="auto"/>
        <w:bottom w:val="none" w:sz="0" w:space="0" w:color="auto"/>
        <w:right w:val="none" w:sz="0" w:space="0" w:color="auto"/>
      </w:divBdr>
    </w:div>
    <w:div w:id="576786571">
      <w:bodyDiv w:val="1"/>
      <w:marLeft w:val="0"/>
      <w:marRight w:val="0"/>
      <w:marTop w:val="0"/>
      <w:marBottom w:val="0"/>
      <w:divBdr>
        <w:top w:val="none" w:sz="0" w:space="0" w:color="auto"/>
        <w:left w:val="none" w:sz="0" w:space="0" w:color="auto"/>
        <w:bottom w:val="none" w:sz="0" w:space="0" w:color="auto"/>
        <w:right w:val="none" w:sz="0" w:space="0" w:color="auto"/>
      </w:divBdr>
    </w:div>
    <w:div w:id="636837307">
      <w:bodyDiv w:val="1"/>
      <w:marLeft w:val="0"/>
      <w:marRight w:val="0"/>
      <w:marTop w:val="0"/>
      <w:marBottom w:val="0"/>
      <w:divBdr>
        <w:top w:val="none" w:sz="0" w:space="0" w:color="auto"/>
        <w:left w:val="none" w:sz="0" w:space="0" w:color="auto"/>
        <w:bottom w:val="none" w:sz="0" w:space="0" w:color="auto"/>
        <w:right w:val="none" w:sz="0" w:space="0" w:color="auto"/>
      </w:divBdr>
    </w:div>
    <w:div w:id="775487930">
      <w:bodyDiv w:val="1"/>
      <w:marLeft w:val="0"/>
      <w:marRight w:val="0"/>
      <w:marTop w:val="0"/>
      <w:marBottom w:val="0"/>
      <w:divBdr>
        <w:top w:val="none" w:sz="0" w:space="0" w:color="auto"/>
        <w:left w:val="none" w:sz="0" w:space="0" w:color="auto"/>
        <w:bottom w:val="none" w:sz="0" w:space="0" w:color="auto"/>
        <w:right w:val="none" w:sz="0" w:space="0" w:color="auto"/>
      </w:divBdr>
    </w:div>
    <w:div w:id="891815659">
      <w:bodyDiv w:val="1"/>
      <w:marLeft w:val="0"/>
      <w:marRight w:val="0"/>
      <w:marTop w:val="0"/>
      <w:marBottom w:val="0"/>
      <w:divBdr>
        <w:top w:val="none" w:sz="0" w:space="0" w:color="auto"/>
        <w:left w:val="none" w:sz="0" w:space="0" w:color="auto"/>
        <w:bottom w:val="none" w:sz="0" w:space="0" w:color="auto"/>
        <w:right w:val="none" w:sz="0" w:space="0" w:color="auto"/>
      </w:divBdr>
    </w:div>
    <w:div w:id="961156214">
      <w:bodyDiv w:val="1"/>
      <w:marLeft w:val="0"/>
      <w:marRight w:val="0"/>
      <w:marTop w:val="0"/>
      <w:marBottom w:val="0"/>
      <w:divBdr>
        <w:top w:val="none" w:sz="0" w:space="0" w:color="auto"/>
        <w:left w:val="none" w:sz="0" w:space="0" w:color="auto"/>
        <w:bottom w:val="none" w:sz="0" w:space="0" w:color="auto"/>
        <w:right w:val="none" w:sz="0" w:space="0" w:color="auto"/>
      </w:divBdr>
    </w:div>
    <w:div w:id="1058164516">
      <w:bodyDiv w:val="1"/>
      <w:marLeft w:val="0"/>
      <w:marRight w:val="0"/>
      <w:marTop w:val="0"/>
      <w:marBottom w:val="0"/>
      <w:divBdr>
        <w:top w:val="none" w:sz="0" w:space="0" w:color="auto"/>
        <w:left w:val="none" w:sz="0" w:space="0" w:color="auto"/>
        <w:bottom w:val="none" w:sz="0" w:space="0" w:color="auto"/>
        <w:right w:val="none" w:sz="0" w:space="0" w:color="auto"/>
      </w:divBdr>
    </w:div>
    <w:div w:id="1098141410">
      <w:bodyDiv w:val="1"/>
      <w:marLeft w:val="0"/>
      <w:marRight w:val="0"/>
      <w:marTop w:val="0"/>
      <w:marBottom w:val="0"/>
      <w:divBdr>
        <w:top w:val="none" w:sz="0" w:space="0" w:color="auto"/>
        <w:left w:val="none" w:sz="0" w:space="0" w:color="auto"/>
        <w:bottom w:val="none" w:sz="0" w:space="0" w:color="auto"/>
        <w:right w:val="none" w:sz="0" w:space="0" w:color="auto"/>
      </w:divBdr>
    </w:div>
    <w:div w:id="1193033095">
      <w:bodyDiv w:val="1"/>
      <w:marLeft w:val="0"/>
      <w:marRight w:val="0"/>
      <w:marTop w:val="0"/>
      <w:marBottom w:val="0"/>
      <w:divBdr>
        <w:top w:val="none" w:sz="0" w:space="0" w:color="auto"/>
        <w:left w:val="none" w:sz="0" w:space="0" w:color="auto"/>
        <w:bottom w:val="none" w:sz="0" w:space="0" w:color="auto"/>
        <w:right w:val="none" w:sz="0" w:space="0" w:color="auto"/>
      </w:divBdr>
    </w:div>
    <w:div w:id="1237589478">
      <w:bodyDiv w:val="1"/>
      <w:marLeft w:val="0"/>
      <w:marRight w:val="0"/>
      <w:marTop w:val="0"/>
      <w:marBottom w:val="0"/>
      <w:divBdr>
        <w:top w:val="none" w:sz="0" w:space="0" w:color="auto"/>
        <w:left w:val="none" w:sz="0" w:space="0" w:color="auto"/>
        <w:bottom w:val="none" w:sz="0" w:space="0" w:color="auto"/>
        <w:right w:val="none" w:sz="0" w:space="0" w:color="auto"/>
      </w:divBdr>
    </w:div>
    <w:div w:id="1259679560">
      <w:bodyDiv w:val="1"/>
      <w:marLeft w:val="0"/>
      <w:marRight w:val="0"/>
      <w:marTop w:val="0"/>
      <w:marBottom w:val="0"/>
      <w:divBdr>
        <w:top w:val="none" w:sz="0" w:space="0" w:color="auto"/>
        <w:left w:val="none" w:sz="0" w:space="0" w:color="auto"/>
        <w:bottom w:val="none" w:sz="0" w:space="0" w:color="auto"/>
        <w:right w:val="none" w:sz="0" w:space="0" w:color="auto"/>
      </w:divBdr>
    </w:div>
    <w:div w:id="1277370808">
      <w:bodyDiv w:val="1"/>
      <w:marLeft w:val="0"/>
      <w:marRight w:val="0"/>
      <w:marTop w:val="0"/>
      <w:marBottom w:val="0"/>
      <w:divBdr>
        <w:top w:val="none" w:sz="0" w:space="0" w:color="auto"/>
        <w:left w:val="none" w:sz="0" w:space="0" w:color="auto"/>
        <w:bottom w:val="none" w:sz="0" w:space="0" w:color="auto"/>
        <w:right w:val="none" w:sz="0" w:space="0" w:color="auto"/>
      </w:divBdr>
      <w:divsChild>
        <w:div w:id="800154092">
          <w:marLeft w:val="0"/>
          <w:marRight w:val="0"/>
          <w:marTop w:val="0"/>
          <w:marBottom w:val="0"/>
          <w:divBdr>
            <w:top w:val="none" w:sz="0" w:space="0" w:color="auto"/>
            <w:left w:val="none" w:sz="0" w:space="0" w:color="auto"/>
            <w:bottom w:val="none" w:sz="0" w:space="0" w:color="auto"/>
            <w:right w:val="none" w:sz="0" w:space="0" w:color="auto"/>
          </w:divBdr>
          <w:divsChild>
            <w:div w:id="1262833474">
              <w:marLeft w:val="0"/>
              <w:marRight w:val="0"/>
              <w:marTop w:val="0"/>
              <w:marBottom w:val="0"/>
              <w:divBdr>
                <w:top w:val="none" w:sz="0" w:space="0" w:color="auto"/>
                <w:left w:val="none" w:sz="0" w:space="0" w:color="auto"/>
                <w:bottom w:val="none" w:sz="0" w:space="0" w:color="auto"/>
                <w:right w:val="none" w:sz="0" w:space="0" w:color="auto"/>
              </w:divBdr>
              <w:divsChild>
                <w:div w:id="67963673">
                  <w:marLeft w:val="0"/>
                  <w:marRight w:val="0"/>
                  <w:marTop w:val="0"/>
                  <w:marBottom w:val="0"/>
                  <w:divBdr>
                    <w:top w:val="none" w:sz="0" w:space="0" w:color="auto"/>
                    <w:left w:val="none" w:sz="0" w:space="0" w:color="auto"/>
                    <w:bottom w:val="none" w:sz="0" w:space="0" w:color="auto"/>
                    <w:right w:val="none" w:sz="0" w:space="0" w:color="auto"/>
                  </w:divBdr>
                  <w:divsChild>
                    <w:div w:id="6972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22155">
      <w:bodyDiv w:val="1"/>
      <w:marLeft w:val="0"/>
      <w:marRight w:val="0"/>
      <w:marTop w:val="0"/>
      <w:marBottom w:val="0"/>
      <w:divBdr>
        <w:top w:val="none" w:sz="0" w:space="0" w:color="auto"/>
        <w:left w:val="none" w:sz="0" w:space="0" w:color="auto"/>
        <w:bottom w:val="none" w:sz="0" w:space="0" w:color="auto"/>
        <w:right w:val="none" w:sz="0" w:space="0" w:color="auto"/>
      </w:divBdr>
    </w:div>
    <w:div w:id="1330795161">
      <w:bodyDiv w:val="1"/>
      <w:marLeft w:val="0"/>
      <w:marRight w:val="0"/>
      <w:marTop w:val="0"/>
      <w:marBottom w:val="0"/>
      <w:divBdr>
        <w:top w:val="none" w:sz="0" w:space="0" w:color="auto"/>
        <w:left w:val="none" w:sz="0" w:space="0" w:color="auto"/>
        <w:bottom w:val="none" w:sz="0" w:space="0" w:color="auto"/>
        <w:right w:val="none" w:sz="0" w:space="0" w:color="auto"/>
      </w:divBdr>
    </w:div>
    <w:div w:id="1768039901">
      <w:bodyDiv w:val="1"/>
      <w:marLeft w:val="0"/>
      <w:marRight w:val="0"/>
      <w:marTop w:val="0"/>
      <w:marBottom w:val="0"/>
      <w:divBdr>
        <w:top w:val="none" w:sz="0" w:space="0" w:color="auto"/>
        <w:left w:val="none" w:sz="0" w:space="0" w:color="auto"/>
        <w:bottom w:val="none" w:sz="0" w:space="0" w:color="auto"/>
        <w:right w:val="none" w:sz="0" w:space="0" w:color="auto"/>
      </w:divBdr>
    </w:div>
    <w:div w:id="1842694754">
      <w:bodyDiv w:val="1"/>
      <w:marLeft w:val="0"/>
      <w:marRight w:val="0"/>
      <w:marTop w:val="0"/>
      <w:marBottom w:val="0"/>
      <w:divBdr>
        <w:top w:val="none" w:sz="0" w:space="0" w:color="auto"/>
        <w:left w:val="none" w:sz="0" w:space="0" w:color="auto"/>
        <w:bottom w:val="none" w:sz="0" w:space="0" w:color="auto"/>
        <w:right w:val="none" w:sz="0" w:space="0" w:color="auto"/>
      </w:divBdr>
    </w:div>
    <w:div w:id="1968967649">
      <w:bodyDiv w:val="1"/>
      <w:marLeft w:val="0"/>
      <w:marRight w:val="0"/>
      <w:marTop w:val="0"/>
      <w:marBottom w:val="0"/>
      <w:divBdr>
        <w:top w:val="none" w:sz="0" w:space="0" w:color="auto"/>
        <w:left w:val="none" w:sz="0" w:space="0" w:color="auto"/>
        <w:bottom w:val="none" w:sz="0" w:space="0" w:color="auto"/>
        <w:right w:val="none" w:sz="0" w:space="0" w:color="auto"/>
      </w:divBdr>
    </w:div>
    <w:div w:id="2019455525">
      <w:bodyDiv w:val="1"/>
      <w:marLeft w:val="0"/>
      <w:marRight w:val="0"/>
      <w:marTop w:val="0"/>
      <w:marBottom w:val="0"/>
      <w:divBdr>
        <w:top w:val="none" w:sz="0" w:space="0" w:color="auto"/>
        <w:left w:val="none" w:sz="0" w:space="0" w:color="auto"/>
        <w:bottom w:val="none" w:sz="0" w:space="0" w:color="auto"/>
        <w:right w:val="none" w:sz="0" w:space="0" w:color="auto"/>
      </w:divBdr>
    </w:div>
    <w:div w:id="210345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theactivelearningtrustuk-my.sharepoint.com/personal/elaine_hammond_activelearningtrust_org/Documents/Reports/Gender%20Pay%20Gap%20Report/2023/Quartile%20data%20-%20March%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ealewadeacademy-my.sharepoint.com/personal/elaine_hammond_activelearningtrust_org/Documents/Reports/Gender%20Pay%20Gap%20Report/2021-22%20GPG/Quartile%20data%20-%20March%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ealewadeacademy-my.sharepoint.com/personal/elaine_hammond_activelearningtrust_org/Documents/Documents/ALT%20Schools%20HR/Equalities%20Reporting/Gender%20pay%20gap/2021-22%20GPG/Quartile%20data%20-%20March%20202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sz="1500" baseline="0"/>
              <a:t>Proportion of male and female employees according to quartile pay bands March 2023</a:t>
            </a:r>
            <a:endParaRPr lang="en-US" sz="1500" baseline="0"/>
          </a:p>
        </c:rich>
      </c:tx>
      <c:layout>
        <c:manualLayout>
          <c:xMode val="edge"/>
          <c:yMode val="edge"/>
          <c:x val="0.1188565424890574"/>
          <c:y val="2.7777915773146655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Sheet1!$A$2</c:f>
              <c:strCache>
                <c:ptCount val="1"/>
                <c:pt idx="0">
                  <c:v>Female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Sheet1!$B$1:$E$1</c:f>
              <c:strCache>
                <c:ptCount val="4"/>
                <c:pt idx="0">
                  <c:v>Lower Quartile</c:v>
                </c:pt>
                <c:pt idx="1">
                  <c:v>Lower Mid Quartile</c:v>
                </c:pt>
                <c:pt idx="2">
                  <c:v>Upper Mid Quartile </c:v>
                </c:pt>
                <c:pt idx="3">
                  <c:v>Upper Quartile</c:v>
                </c:pt>
              </c:strCache>
            </c:strRef>
          </c:cat>
          <c:val>
            <c:numRef>
              <c:f>Sheet1!$B$2:$E$2</c:f>
              <c:numCache>
                <c:formatCode>0.00%</c:formatCode>
                <c:ptCount val="4"/>
                <c:pt idx="0">
                  <c:v>0.8901</c:v>
                </c:pt>
                <c:pt idx="1">
                  <c:v>0.8931</c:v>
                </c:pt>
                <c:pt idx="2">
                  <c:v>0.82269999999999999</c:v>
                </c:pt>
                <c:pt idx="3">
                  <c:v>0.76170000000000004</c:v>
                </c:pt>
              </c:numCache>
            </c:numRef>
          </c:val>
          <c:extLst>
            <c:ext xmlns:c16="http://schemas.microsoft.com/office/drawing/2014/chart" uri="{C3380CC4-5D6E-409C-BE32-E72D297353CC}">
              <c16:uniqueId val="{00000000-E22E-466F-86FA-DB8C540CC213}"/>
            </c:ext>
          </c:extLst>
        </c:ser>
        <c:ser>
          <c:idx val="1"/>
          <c:order val="1"/>
          <c:tx>
            <c:strRef>
              <c:f>Sheet1!$A$3</c:f>
              <c:strCache>
                <c:ptCount val="1"/>
                <c:pt idx="0">
                  <c:v>Male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Sheet1!$B$1:$E$1</c:f>
              <c:strCache>
                <c:ptCount val="4"/>
                <c:pt idx="0">
                  <c:v>Lower Quartile</c:v>
                </c:pt>
                <c:pt idx="1">
                  <c:v>Lower Mid Quartile</c:v>
                </c:pt>
                <c:pt idx="2">
                  <c:v>Upper Mid Quartile </c:v>
                </c:pt>
                <c:pt idx="3">
                  <c:v>Upper Quartile</c:v>
                </c:pt>
              </c:strCache>
            </c:strRef>
          </c:cat>
          <c:val>
            <c:numRef>
              <c:f>Sheet1!$B$3:$E$3</c:f>
              <c:numCache>
                <c:formatCode>0.00%</c:formatCode>
                <c:ptCount val="4"/>
                <c:pt idx="0">
                  <c:v>0.1099</c:v>
                </c:pt>
                <c:pt idx="1">
                  <c:v>0.1069</c:v>
                </c:pt>
                <c:pt idx="2">
                  <c:v>0.17730000000000001</c:v>
                </c:pt>
                <c:pt idx="3">
                  <c:v>0.23830000000000001</c:v>
                </c:pt>
              </c:numCache>
            </c:numRef>
          </c:val>
          <c:extLst>
            <c:ext xmlns:c16="http://schemas.microsoft.com/office/drawing/2014/chart" uri="{C3380CC4-5D6E-409C-BE32-E72D297353CC}">
              <c16:uniqueId val="{00000001-E22E-466F-86FA-DB8C540CC213}"/>
            </c:ext>
          </c:extLst>
        </c:ser>
        <c:dLbls>
          <c:showLegendKey val="0"/>
          <c:showVal val="0"/>
          <c:showCatName val="0"/>
          <c:showSerName val="0"/>
          <c:showPercent val="0"/>
          <c:showBubbleSize val="0"/>
        </c:dLbls>
        <c:gapWidth val="65"/>
        <c:shape val="box"/>
        <c:axId val="647895944"/>
        <c:axId val="647899224"/>
        <c:axId val="0"/>
        <c:extLst>
          <c:ext xmlns:c15="http://schemas.microsoft.com/office/drawing/2012/chart" uri="{02D57815-91ED-43cb-92C2-25804820EDAC}">
            <c15:filteredBarSeries>
              <c15:ser>
                <c:idx val="2"/>
                <c:order val="2"/>
                <c:tx>
                  <c:strRef>
                    <c:extLst>
                      <c:ext uri="{02D57815-91ED-43cb-92C2-25804820EDAC}">
                        <c15:formulaRef>
                          <c15:sqref>Sheet1!$A$4</c15:sqref>
                        </c15:formulaRef>
                      </c:ext>
                    </c:extLst>
                    <c:strCache>
                      <c:ptCount val="1"/>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extLst>
                      <c:ext uri="{02D57815-91ED-43cb-92C2-25804820EDAC}">
                        <c15:formulaRef>
                          <c15:sqref>Sheet1!$B$1:$E$1</c15:sqref>
                        </c15:formulaRef>
                      </c:ext>
                    </c:extLst>
                    <c:strCache>
                      <c:ptCount val="4"/>
                      <c:pt idx="0">
                        <c:v>Lower Quartile</c:v>
                      </c:pt>
                      <c:pt idx="1">
                        <c:v>Lower Mid Quartile</c:v>
                      </c:pt>
                      <c:pt idx="2">
                        <c:v>Upper Mid Quartile </c:v>
                      </c:pt>
                      <c:pt idx="3">
                        <c:v>Upper Quartile</c:v>
                      </c:pt>
                    </c:strCache>
                  </c:strRef>
                </c:cat>
                <c:val>
                  <c:numRef>
                    <c:extLst>
                      <c:ext uri="{02D57815-91ED-43cb-92C2-25804820EDAC}">
                        <c15:formulaRef>
                          <c15:sqref>Sheet1!$B$4:$E$4</c15:sqref>
                        </c15:formulaRef>
                      </c:ext>
                    </c:extLst>
                    <c:numCache>
                      <c:formatCode>General</c:formatCode>
                      <c:ptCount val="4"/>
                    </c:numCache>
                  </c:numRef>
                </c:val>
                <c:extLst>
                  <c:ext xmlns:c16="http://schemas.microsoft.com/office/drawing/2014/chart" uri="{C3380CC4-5D6E-409C-BE32-E72D297353CC}">
                    <c16:uniqueId val="{00000002-E22E-466F-86FA-DB8C540CC213}"/>
                  </c:ext>
                </c:extLst>
              </c15:ser>
            </c15:filteredBarSeries>
          </c:ext>
        </c:extLst>
      </c:bar3DChart>
      <c:catAx>
        <c:axId val="64789594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647899224"/>
        <c:crosses val="autoZero"/>
        <c:auto val="1"/>
        <c:lblAlgn val="ctr"/>
        <c:lblOffset val="100"/>
        <c:noMultiLvlLbl val="0"/>
      </c:catAx>
      <c:valAx>
        <c:axId val="647899224"/>
        <c:scaling>
          <c:orientation val="minMax"/>
        </c:scaling>
        <c:delete val="0"/>
        <c:axPos val="l"/>
        <c:majorGridlines>
          <c:spPr>
            <a:ln w="9525" cap="flat" cmpd="sng" algn="ctr">
              <a:no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647895944"/>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dTable>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0"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en-GB" sz="1500"/>
              <a:t>Proportion of male and female employees according to quartile pay bands March 2022</a:t>
            </a:r>
          </a:p>
        </c:rich>
      </c:tx>
      <c:layout>
        <c:manualLayout>
          <c:xMode val="edge"/>
          <c:yMode val="edge"/>
          <c:x val="0.15466846358943642"/>
          <c:y val="2.552881108679795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812061675570297"/>
          <c:y val="0.20435786648164306"/>
          <c:w val="0.86187938324429703"/>
          <c:h val="0.42314049285505978"/>
        </c:manualLayout>
      </c:layout>
      <c:bar3DChart>
        <c:barDir val="col"/>
        <c:grouping val="clustered"/>
        <c:varyColors val="0"/>
        <c:ser>
          <c:idx val="0"/>
          <c:order val="0"/>
          <c:tx>
            <c:strRef>
              <c:f>'2022'!$A$2</c:f>
              <c:strCache>
                <c:ptCount val="1"/>
                <c:pt idx="0">
                  <c:v>Female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'2022'!$B$1:$E$1</c:f>
              <c:strCache>
                <c:ptCount val="4"/>
                <c:pt idx="0">
                  <c:v>Lower Quartile</c:v>
                </c:pt>
                <c:pt idx="1">
                  <c:v>Lower Mid Quartile</c:v>
                </c:pt>
                <c:pt idx="2">
                  <c:v>Upper Mid Quartile </c:v>
                </c:pt>
                <c:pt idx="3">
                  <c:v>Upper Quartile</c:v>
                </c:pt>
              </c:strCache>
            </c:strRef>
          </c:cat>
          <c:val>
            <c:numRef>
              <c:f>'2022'!$B$2:$E$2</c:f>
              <c:numCache>
                <c:formatCode>0.00%</c:formatCode>
                <c:ptCount val="4"/>
                <c:pt idx="0">
                  <c:v>0.876</c:v>
                </c:pt>
                <c:pt idx="1">
                  <c:v>0.88519999999999999</c:v>
                </c:pt>
                <c:pt idx="2" formatCode="0%">
                  <c:v>0.84</c:v>
                </c:pt>
                <c:pt idx="3">
                  <c:v>0.72799999999999998</c:v>
                </c:pt>
              </c:numCache>
            </c:numRef>
          </c:val>
          <c:extLst>
            <c:ext xmlns:c16="http://schemas.microsoft.com/office/drawing/2014/chart" uri="{C3380CC4-5D6E-409C-BE32-E72D297353CC}">
              <c16:uniqueId val="{00000000-389F-420A-B159-3F46DDF16F5C}"/>
            </c:ext>
          </c:extLst>
        </c:ser>
        <c:ser>
          <c:idx val="1"/>
          <c:order val="1"/>
          <c:tx>
            <c:strRef>
              <c:f>'2022'!$A$3</c:f>
              <c:strCache>
                <c:ptCount val="1"/>
                <c:pt idx="0">
                  <c:v>Male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'2022'!$B$1:$E$1</c:f>
              <c:strCache>
                <c:ptCount val="4"/>
                <c:pt idx="0">
                  <c:v>Lower Quartile</c:v>
                </c:pt>
                <c:pt idx="1">
                  <c:v>Lower Mid Quartile</c:v>
                </c:pt>
                <c:pt idx="2">
                  <c:v>Upper Mid Quartile </c:v>
                </c:pt>
                <c:pt idx="3">
                  <c:v>Upper Quartile</c:v>
                </c:pt>
              </c:strCache>
            </c:strRef>
          </c:cat>
          <c:val>
            <c:numRef>
              <c:f>'2022'!$B$3:$E$3</c:f>
              <c:numCache>
                <c:formatCode>0.00%</c:formatCode>
                <c:ptCount val="4"/>
                <c:pt idx="0">
                  <c:v>0.124</c:v>
                </c:pt>
                <c:pt idx="1">
                  <c:v>0.1148</c:v>
                </c:pt>
                <c:pt idx="2" formatCode="0%">
                  <c:v>0.16</c:v>
                </c:pt>
                <c:pt idx="3">
                  <c:v>0.27200000000000002</c:v>
                </c:pt>
              </c:numCache>
            </c:numRef>
          </c:val>
          <c:extLst>
            <c:ext xmlns:c16="http://schemas.microsoft.com/office/drawing/2014/chart" uri="{C3380CC4-5D6E-409C-BE32-E72D297353CC}">
              <c16:uniqueId val="{00000001-389F-420A-B159-3F46DDF16F5C}"/>
            </c:ext>
          </c:extLst>
        </c:ser>
        <c:dLbls>
          <c:showLegendKey val="0"/>
          <c:showVal val="0"/>
          <c:showCatName val="0"/>
          <c:showSerName val="0"/>
          <c:showPercent val="0"/>
          <c:showBubbleSize val="0"/>
        </c:dLbls>
        <c:gapWidth val="65"/>
        <c:shape val="box"/>
        <c:axId val="463939144"/>
        <c:axId val="463936520"/>
        <c:axId val="0"/>
      </c:bar3DChart>
      <c:catAx>
        <c:axId val="46393914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tx1"/>
                </a:solidFill>
                <a:latin typeface="+mn-lt"/>
                <a:ea typeface="+mn-ea"/>
                <a:cs typeface="+mn-cs"/>
              </a:defRPr>
            </a:pPr>
            <a:endParaRPr lang="en-US"/>
          </a:p>
        </c:txPr>
        <c:crossAx val="463936520"/>
        <c:crosses val="autoZero"/>
        <c:auto val="1"/>
        <c:lblAlgn val="ctr"/>
        <c:lblOffset val="100"/>
        <c:noMultiLvlLbl val="0"/>
      </c:catAx>
      <c:valAx>
        <c:axId val="463936520"/>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63939144"/>
        <c:crosses val="autoZero"/>
        <c:crossBetween val="between"/>
      </c:valAx>
      <c:dTable>
        <c:showHorzBorder val="1"/>
        <c:showVertBorder val="1"/>
        <c:showOutline val="1"/>
        <c:showKeys val="1"/>
        <c:spPr>
          <a:noFill/>
          <a:ln w="25400">
            <a:noFill/>
          </a:ln>
          <a:effectLst/>
        </c:spPr>
        <c:txPr>
          <a:bodyPr rot="0" spcFirstLastPara="1" vertOverflow="ellipsis" vert="horz" wrap="square" anchor="ctr" anchorCtr="1"/>
          <a:lstStyle/>
          <a:p>
            <a:pPr rtl="0">
              <a:defRPr sz="900" b="0" i="0" u="none" strike="noStrike" kern="1200" baseline="0">
                <a:solidFill>
                  <a:schemeClr val="tx1"/>
                </a:solidFill>
                <a:latin typeface="+mn-lt"/>
                <a:ea typeface="+mn-ea"/>
                <a:cs typeface="+mn-cs"/>
              </a:defRPr>
            </a:pPr>
            <a:endParaRPr lang="en-US"/>
          </a:p>
        </c:txPr>
      </c:dTable>
      <c:spPr>
        <a:solidFill>
          <a:schemeClr val="bg1"/>
        </a:solid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sz="1500"/>
              <a:t>Proportion of male and female employees according to quartile pay bands March 2021</a:t>
            </a:r>
            <a:endParaRPr lang="en-US" sz="1500"/>
          </a:p>
        </c:rich>
      </c:tx>
      <c:layout>
        <c:manualLayout>
          <c:xMode val="edge"/>
          <c:yMode val="edge"/>
          <c:x val="0.18040266841644792"/>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'[Quartile data - March 2021.xlsx]Sheet1'!$A$2</c:f>
              <c:strCache>
                <c:ptCount val="1"/>
                <c:pt idx="0">
                  <c:v>Female</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'[Quartile data - March 2021.xlsx]Sheet1'!$B$1:$E$1</c:f>
              <c:strCache>
                <c:ptCount val="4"/>
                <c:pt idx="0">
                  <c:v>Lower Quartile</c:v>
                </c:pt>
                <c:pt idx="1">
                  <c:v>Lower Mid Quartile</c:v>
                </c:pt>
                <c:pt idx="2">
                  <c:v>Upper Mid Quartile </c:v>
                </c:pt>
                <c:pt idx="3">
                  <c:v>Upper Quartile</c:v>
                </c:pt>
              </c:strCache>
            </c:strRef>
          </c:cat>
          <c:val>
            <c:numRef>
              <c:f>'[Quartile data - March 2021.xlsx]Sheet1'!$B$2:$E$2</c:f>
              <c:numCache>
                <c:formatCode>0.00%</c:formatCode>
                <c:ptCount val="4"/>
                <c:pt idx="0">
                  <c:v>0.90910000000000002</c:v>
                </c:pt>
                <c:pt idx="1">
                  <c:v>0.87439999999999996</c:v>
                </c:pt>
                <c:pt idx="2">
                  <c:v>0.83020000000000005</c:v>
                </c:pt>
                <c:pt idx="3">
                  <c:v>0.76049999999999995</c:v>
                </c:pt>
              </c:numCache>
            </c:numRef>
          </c:val>
          <c:extLst>
            <c:ext xmlns:c16="http://schemas.microsoft.com/office/drawing/2014/chart" uri="{C3380CC4-5D6E-409C-BE32-E72D297353CC}">
              <c16:uniqueId val="{00000000-F89E-424E-848A-FCA051F2EE9A}"/>
            </c:ext>
          </c:extLst>
        </c:ser>
        <c:ser>
          <c:idx val="1"/>
          <c:order val="1"/>
          <c:tx>
            <c:strRef>
              <c:f>'[Quartile data - March 2021.xlsx]Sheet1'!$A$3</c:f>
              <c:strCache>
                <c:ptCount val="1"/>
                <c:pt idx="0">
                  <c:v>Male</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'[Quartile data - March 2021.xlsx]Sheet1'!$B$1:$E$1</c:f>
              <c:strCache>
                <c:ptCount val="4"/>
                <c:pt idx="0">
                  <c:v>Lower Quartile</c:v>
                </c:pt>
                <c:pt idx="1">
                  <c:v>Lower Mid Quartile</c:v>
                </c:pt>
                <c:pt idx="2">
                  <c:v>Upper Mid Quartile </c:v>
                </c:pt>
                <c:pt idx="3">
                  <c:v>Upper Quartile</c:v>
                </c:pt>
              </c:strCache>
            </c:strRef>
          </c:cat>
          <c:val>
            <c:numRef>
              <c:f>'[Quartile data - March 2021.xlsx]Sheet1'!$B$3:$E$3</c:f>
              <c:numCache>
                <c:formatCode>0.00%</c:formatCode>
                <c:ptCount val="4"/>
                <c:pt idx="0">
                  <c:v>9.0899999999999995E-2</c:v>
                </c:pt>
                <c:pt idx="1">
                  <c:v>0.12559999999999999</c:v>
                </c:pt>
                <c:pt idx="2">
                  <c:v>0.16980000000000001</c:v>
                </c:pt>
                <c:pt idx="3">
                  <c:v>0.23949999999999999</c:v>
                </c:pt>
              </c:numCache>
            </c:numRef>
          </c:val>
          <c:extLst>
            <c:ext xmlns:c16="http://schemas.microsoft.com/office/drawing/2014/chart" uri="{C3380CC4-5D6E-409C-BE32-E72D297353CC}">
              <c16:uniqueId val="{00000001-F89E-424E-848A-FCA051F2EE9A}"/>
            </c:ext>
          </c:extLst>
        </c:ser>
        <c:dLbls>
          <c:showLegendKey val="0"/>
          <c:showVal val="0"/>
          <c:showCatName val="0"/>
          <c:showSerName val="0"/>
          <c:showPercent val="0"/>
          <c:showBubbleSize val="0"/>
        </c:dLbls>
        <c:gapWidth val="65"/>
        <c:shape val="box"/>
        <c:axId val="647895944"/>
        <c:axId val="647899224"/>
        <c:axId val="0"/>
        <c:extLst>
          <c:ext xmlns:c15="http://schemas.microsoft.com/office/drawing/2012/chart" uri="{02D57815-91ED-43cb-92C2-25804820EDAC}">
            <c15:filteredBarSeries>
              <c15:ser>
                <c:idx val="2"/>
                <c:order val="2"/>
                <c:tx>
                  <c:strRef>
                    <c:extLst>
                      <c:ext uri="{02D57815-91ED-43cb-92C2-25804820EDAC}">
                        <c15:formulaRef>
                          <c15:sqref>'[Quartile data - March 2021.xlsx]Sheet1'!$A$4</c15:sqref>
                        </c15:formulaRef>
                      </c:ext>
                    </c:extLst>
                    <c:strCache>
                      <c:ptCount val="1"/>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extLst>
                      <c:ext uri="{02D57815-91ED-43cb-92C2-25804820EDAC}">
                        <c15:formulaRef>
                          <c15:sqref>'[Quartile data - March 2021.xlsx]Sheet1'!$B$1:$E$1</c15:sqref>
                        </c15:formulaRef>
                      </c:ext>
                    </c:extLst>
                    <c:strCache>
                      <c:ptCount val="4"/>
                      <c:pt idx="0">
                        <c:v>Lower Quartile</c:v>
                      </c:pt>
                      <c:pt idx="1">
                        <c:v>Lower Mid Quartile</c:v>
                      </c:pt>
                      <c:pt idx="2">
                        <c:v>Upper Mid Quartile </c:v>
                      </c:pt>
                      <c:pt idx="3">
                        <c:v>Upper Quartile</c:v>
                      </c:pt>
                    </c:strCache>
                  </c:strRef>
                </c:cat>
                <c:val>
                  <c:numRef>
                    <c:extLst>
                      <c:ext uri="{02D57815-91ED-43cb-92C2-25804820EDAC}">
                        <c15:formulaRef>
                          <c15:sqref>'[Quartile data - March 2021.xlsx]Sheet1'!$B$4:$E$4</c15:sqref>
                        </c15:formulaRef>
                      </c:ext>
                    </c:extLst>
                    <c:numCache>
                      <c:formatCode>General</c:formatCode>
                      <c:ptCount val="4"/>
                    </c:numCache>
                  </c:numRef>
                </c:val>
                <c:extLst>
                  <c:ext xmlns:c16="http://schemas.microsoft.com/office/drawing/2014/chart" uri="{C3380CC4-5D6E-409C-BE32-E72D297353CC}">
                    <c16:uniqueId val="{00000002-F89E-424E-848A-FCA051F2EE9A}"/>
                  </c:ext>
                </c:extLst>
              </c15:ser>
            </c15:filteredBarSeries>
          </c:ext>
        </c:extLst>
      </c:bar3DChart>
      <c:catAx>
        <c:axId val="647895944"/>
        <c:scaling>
          <c:orientation val="minMax"/>
        </c:scaling>
        <c:delete val="1"/>
        <c:axPos val="b"/>
        <c:numFmt formatCode="General" sourceLinked="1"/>
        <c:majorTickMark val="none"/>
        <c:minorTickMark val="none"/>
        <c:tickLblPos val="nextTo"/>
        <c:crossAx val="647899224"/>
        <c:crosses val="autoZero"/>
        <c:auto val="1"/>
        <c:lblAlgn val="ctr"/>
        <c:lblOffset val="100"/>
        <c:noMultiLvlLbl val="0"/>
      </c:catAx>
      <c:valAx>
        <c:axId val="647899224"/>
        <c:scaling>
          <c:orientation val="minMax"/>
        </c:scaling>
        <c:delete val="0"/>
        <c:axPos val="l"/>
        <c:majorGridlines>
          <c:spPr>
            <a:ln w="9525" cap="flat" cmpd="sng" algn="ctr">
              <a:no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647895944"/>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dTable>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0"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554ABC98CC544CA890302895171ED9" ma:contentTypeVersion="0" ma:contentTypeDescription="Create a new document." ma:contentTypeScope="" ma:versionID="b2b34110e141277297d92aceb839b9fd">
  <xsd:schema xmlns:xsd="http://www.w3.org/2001/XMLSchema" xmlns:xs="http://www.w3.org/2001/XMLSchema" xmlns:p="http://schemas.microsoft.com/office/2006/metadata/properties" targetNamespace="http://schemas.microsoft.com/office/2006/metadata/properties" ma:root="true" ma:fieldsID="0c2abe67aece085d303a5dba0aa217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54672-9A70-40C1-B163-33F5AD965E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EDCAF3-F42E-4381-9EC9-6FC6BC503BD0}">
  <ds:schemaRefs>
    <ds:schemaRef ds:uri="http://schemas.microsoft.com/sharepoint/v3/contenttype/forms"/>
  </ds:schemaRefs>
</ds:datastoreItem>
</file>

<file path=customXml/itemProps3.xml><?xml version="1.0" encoding="utf-8"?>
<ds:datastoreItem xmlns:ds="http://schemas.openxmlformats.org/officeDocument/2006/customXml" ds:itemID="{645759CB-A0C4-4F77-8B33-258F501CA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8</Pages>
  <Words>2185</Words>
  <Characters>12459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Steel</dc:creator>
  <cp:keywords/>
  <dc:description/>
  <cp:lastModifiedBy>Elaine Hammond</cp:lastModifiedBy>
  <cp:revision>143</cp:revision>
  <cp:lastPrinted>2021-01-27T12:32:00Z</cp:lastPrinted>
  <dcterms:created xsi:type="dcterms:W3CDTF">2024-01-23T11:52:00Z</dcterms:created>
  <dcterms:modified xsi:type="dcterms:W3CDTF">2024-01-23T18:00:00Z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0x010100AD554ABC98CC544CA890302895171ED9</vt:lpwstr>
  </property>
</Properties>
</file>