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Theme"/>
        <w:tblpPr w:leftFromText="180" w:rightFromText="180" w:horzAnchor="margin" w:tblpXSpec="center" w:tblpY="-660"/>
        <w:tblW w:w="14475" w:type="dxa"/>
        <w:tblLook w:val="0420" w:firstRow="1" w:lastRow="0" w:firstColumn="0" w:lastColumn="0" w:noHBand="0" w:noVBand="1"/>
      </w:tblPr>
      <w:tblGrid>
        <w:gridCol w:w="4825"/>
        <w:gridCol w:w="4825"/>
        <w:gridCol w:w="4825"/>
      </w:tblGrid>
      <w:tr w:rsidR="00EF4763" w:rsidRPr="00EF4763" w14:paraId="0E5F9035" w14:textId="77777777" w:rsidTr="00EF4763">
        <w:trPr>
          <w:trHeight w:val="768"/>
        </w:trPr>
        <w:tc>
          <w:tcPr>
            <w:tcW w:w="4825" w:type="dxa"/>
            <w:vAlign w:val="center"/>
            <w:hideMark/>
          </w:tcPr>
          <w:p w14:paraId="26229D40" w14:textId="77777777" w:rsidR="00EF4763" w:rsidRPr="00EF4763" w:rsidRDefault="00EF4763" w:rsidP="00EF4763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EF4763">
              <w:rPr>
                <w:b/>
                <w:bCs/>
                <w:sz w:val="40"/>
                <w:szCs w:val="40"/>
              </w:rPr>
              <w:t>Governors</w:t>
            </w:r>
          </w:p>
        </w:tc>
        <w:tc>
          <w:tcPr>
            <w:tcW w:w="4825" w:type="dxa"/>
            <w:vAlign w:val="center"/>
            <w:hideMark/>
          </w:tcPr>
          <w:p w14:paraId="18F76975" w14:textId="77777777" w:rsidR="00EF4763" w:rsidRPr="00EF4763" w:rsidRDefault="00EF4763" w:rsidP="00EF4763">
            <w:pPr>
              <w:jc w:val="center"/>
              <w:rPr>
                <w:sz w:val="40"/>
                <w:szCs w:val="40"/>
              </w:rPr>
            </w:pPr>
            <w:r w:rsidRPr="00EF4763">
              <w:rPr>
                <w:b/>
                <w:bCs/>
                <w:sz w:val="40"/>
                <w:szCs w:val="40"/>
              </w:rPr>
              <w:t>Headteachers</w:t>
            </w:r>
          </w:p>
        </w:tc>
        <w:tc>
          <w:tcPr>
            <w:tcW w:w="4825" w:type="dxa"/>
            <w:vAlign w:val="center"/>
            <w:hideMark/>
          </w:tcPr>
          <w:p w14:paraId="669572BC" w14:textId="77777777" w:rsidR="00EF4763" w:rsidRPr="00EF4763" w:rsidRDefault="00EF4763" w:rsidP="00EF4763">
            <w:pPr>
              <w:jc w:val="center"/>
              <w:rPr>
                <w:sz w:val="40"/>
                <w:szCs w:val="40"/>
              </w:rPr>
            </w:pPr>
            <w:r w:rsidRPr="00EF4763">
              <w:rPr>
                <w:b/>
                <w:bCs/>
                <w:sz w:val="40"/>
                <w:szCs w:val="40"/>
              </w:rPr>
              <w:t>SENCOs</w:t>
            </w:r>
          </w:p>
        </w:tc>
      </w:tr>
      <w:tr w:rsidR="00EF4763" w:rsidRPr="00EF4763" w14:paraId="4214DB12" w14:textId="77777777" w:rsidTr="00704EC2">
        <w:trPr>
          <w:trHeight w:val="961"/>
        </w:trPr>
        <w:tc>
          <w:tcPr>
            <w:tcW w:w="9650" w:type="dxa"/>
            <w:gridSpan w:val="2"/>
            <w:vAlign w:val="center"/>
            <w:hideMark/>
          </w:tcPr>
          <w:p w14:paraId="032C090A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Ensure you are familiar with Chapter 6 of the SEND Code of Practice (Jan 2015) including the 4 broad areas of need. It is 20 pages long.</w:t>
            </w:r>
          </w:p>
        </w:tc>
        <w:tc>
          <w:tcPr>
            <w:tcW w:w="4825" w:type="dxa"/>
            <w:vAlign w:val="center"/>
            <w:hideMark/>
          </w:tcPr>
          <w:p w14:paraId="4B63788F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Ensure you are familiar with the SEND Code of Practice (Jan 2015). It is 292 pages long.</w:t>
            </w:r>
          </w:p>
        </w:tc>
      </w:tr>
      <w:tr w:rsidR="00EF4763" w:rsidRPr="00EF4763" w14:paraId="1A98769E" w14:textId="77777777" w:rsidTr="00704EC2">
        <w:trPr>
          <w:trHeight w:val="691"/>
        </w:trPr>
        <w:tc>
          <w:tcPr>
            <w:tcW w:w="4825" w:type="dxa"/>
            <w:vAlign w:val="center"/>
            <w:hideMark/>
          </w:tcPr>
          <w:p w14:paraId="35251935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Ensure SEND and Pupil Premium receive similar coverage at board meetings. What is the offer for pupils who are double-disadvantaged and triple-funded?</w:t>
            </w:r>
          </w:p>
        </w:tc>
        <w:tc>
          <w:tcPr>
            <w:tcW w:w="4825" w:type="dxa"/>
            <w:vAlign w:val="center"/>
            <w:hideMark/>
          </w:tcPr>
          <w:p w14:paraId="6B44CDA9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Consider the deployment of the SENCO. Could they focus more on high quality teaching and less on paperwork?</w:t>
            </w:r>
          </w:p>
        </w:tc>
        <w:tc>
          <w:tcPr>
            <w:tcW w:w="4825" w:type="dxa"/>
            <w:vAlign w:val="center"/>
            <w:hideMark/>
          </w:tcPr>
          <w:p w14:paraId="4992AA34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Think about how to progress through the stages of coproduction (done to, done for, done with) and how to embed the ‘graduated approach’.</w:t>
            </w:r>
          </w:p>
        </w:tc>
      </w:tr>
      <w:tr w:rsidR="00EF4763" w:rsidRPr="00EF4763" w14:paraId="16BCC03E" w14:textId="77777777" w:rsidTr="00704EC2">
        <w:trPr>
          <w:trHeight w:val="1107"/>
        </w:trPr>
        <w:tc>
          <w:tcPr>
            <w:tcW w:w="9650" w:type="dxa"/>
            <w:gridSpan w:val="2"/>
            <w:vAlign w:val="center"/>
            <w:hideMark/>
          </w:tcPr>
          <w:p w14:paraId="660B4A30" w14:textId="1C5DC9DE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Use profile of need to inform strategic decision making (e.g. resource allocation and CPD priorities). Is our school a ‘SEND magnet’?</w:t>
            </w:r>
          </w:p>
        </w:tc>
        <w:tc>
          <w:tcPr>
            <w:tcW w:w="4825" w:type="dxa"/>
            <w:vAlign w:val="center"/>
            <w:hideMark/>
          </w:tcPr>
          <w:p w14:paraId="5A29F584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Use profile of need data to probe the accuracy of identification (and reduce exclusions) and to inform targeted small-group interventions.</w:t>
            </w:r>
          </w:p>
        </w:tc>
      </w:tr>
      <w:tr w:rsidR="00EF4763" w:rsidRPr="00EF4763" w14:paraId="2AADCC4B" w14:textId="77777777" w:rsidTr="00704EC2">
        <w:trPr>
          <w:trHeight w:val="836"/>
        </w:trPr>
        <w:tc>
          <w:tcPr>
            <w:tcW w:w="14475" w:type="dxa"/>
            <w:gridSpan w:val="3"/>
            <w:vAlign w:val="center"/>
            <w:hideMark/>
          </w:tcPr>
          <w:p w14:paraId="6227C497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Would you feel confident in articulating why your school (and its curriculum) is inclusive? Is this intent for inclusion consistently understood (including by families)?</w:t>
            </w:r>
          </w:p>
        </w:tc>
      </w:tr>
      <w:tr w:rsidR="00EF4763" w:rsidRPr="00EF4763" w14:paraId="4782752B" w14:textId="77777777" w:rsidTr="00704EC2">
        <w:trPr>
          <w:trHeight w:val="584"/>
        </w:trPr>
        <w:tc>
          <w:tcPr>
            <w:tcW w:w="4825" w:type="dxa"/>
            <w:vAlign w:val="center"/>
            <w:hideMark/>
          </w:tcPr>
          <w:p w14:paraId="68832140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Is your school fully compliant with statutory guidance (in particular the SEND Code of Practice 2015 and the Equality Act 2010)</w:t>
            </w:r>
            <w:proofErr w:type="gramStart"/>
            <w:r w:rsidRPr="00EF4763">
              <w:rPr>
                <w:sz w:val="26"/>
                <w:szCs w:val="26"/>
              </w:rPr>
              <w:t>.</w:t>
            </w:r>
            <w:proofErr w:type="gramEnd"/>
            <w:r w:rsidRPr="00EF4763">
              <w:rPr>
                <w:sz w:val="26"/>
                <w:szCs w:val="26"/>
              </w:rPr>
              <w:t xml:space="preserve"> Ensure your school has a high quality, accessible SEN Information Report</w:t>
            </w:r>
          </w:p>
        </w:tc>
        <w:tc>
          <w:tcPr>
            <w:tcW w:w="9650" w:type="dxa"/>
            <w:gridSpan w:val="2"/>
            <w:vAlign w:val="center"/>
            <w:hideMark/>
          </w:tcPr>
          <w:p w14:paraId="099F8372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What does it mean for students with SEND to ‘achieve exceptionally well’ in your school? Is this only about academic outcomes?</w:t>
            </w:r>
          </w:p>
        </w:tc>
      </w:tr>
      <w:tr w:rsidR="00EF4763" w:rsidRPr="00EF4763" w14:paraId="783834B6" w14:textId="77777777" w:rsidTr="00704EC2">
        <w:trPr>
          <w:trHeight w:val="1107"/>
        </w:trPr>
        <w:tc>
          <w:tcPr>
            <w:tcW w:w="9650" w:type="dxa"/>
            <w:gridSpan w:val="2"/>
            <w:vAlign w:val="center"/>
            <w:hideMark/>
          </w:tcPr>
          <w:p w14:paraId="72D5DAC5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Ensure that SEND is ‘built in’ to your school improvement plans and not a ‘bolt-on’. Undertaking SEND reviews at a range of levels could inform this.</w:t>
            </w:r>
          </w:p>
        </w:tc>
        <w:tc>
          <w:tcPr>
            <w:tcW w:w="4825" w:type="dxa"/>
            <w:vAlign w:val="center"/>
            <w:hideMark/>
          </w:tcPr>
          <w:p w14:paraId="1136A3D7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Ensure that teaching assistants are being deployed effectively (e.g. how much teacher-time do learners with SEND receive?)</w:t>
            </w:r>
          </w:p>
        </w:tc>
      </w:tr>
      <w:tr w:rsidR="00EF4763" w:rsidRPr="00EF4763" w14:paraId="202ACE68" w14:textId="77777777" w:rsidTr="00704EC2">
        <w:trPr>
          <w:trHeight w:val="760"/>
        </w:trPr>
        <w:tc>
          <w:tcPr>
            <w:tcW w:w="14475" w:type="dxa"/>
            <w:gridSpan w:val="3"/>
            <w:vAlign w:val="center"/>
            <w:hideMark/>
          </w:tcPr>
          <w:p w14:paraId="1F4B2082" w14:textId="77777777" w:rsidR="00EF4763" w:rsidRPr="00EF4763" w:rsidRDefault="00EF4763" w:rsidP="00704EC2">
            <w:pPr>
              <w:jc w:val="center"/>
              <w:rPr>
                <w:sz w:val="26"/>
                <w:szCs w:val="26"/>
              </w:rPr>
            </w:pPr>
            <w:r w:rsidRPr="00EF4763">
              <w:rPr>
                <w:sz w:val="26"/>
                <w:szCs w:val="26"/>
              </w:rPr>
              <w:t>Familiarise yourself with the SENCO Induction Handbook to ensure a triangulated approach to SEND leadership.</w:t>
            </w:r>
          </w:p>
        </w:tc>
      </w:tr>
    </w:tbl>
    <w:p w14:paraId="5F25C521" w14:textId="77777777" w:rsidR="009E2F68" w:rsidRDefault="00E944D5"/>
    <w:sectPr w:rsidR="009E2F68" w:rsidSect="00EF4763"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63"/>
    <w:rsid w:val="00043F32"/>
    <w:rsid w:val="00427679"/>
    <w:rsid w:val="00704EC2"/>
    <w:rsid w:val="008D1C96"/>
    <w:rsid w:val="00E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75C2"/>
  <w15:chartTrackingRefBased/>
  <w15:docId w15:val="{98D12FB0-81BA-42EA-8E5C-EC96A0A0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uiPriority w:val="99"/>
    <w:rsid w:val="00EF47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F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Boddison, Adam D. (Dr.)</dc:creator>
  <cp:keywords/>
  <dc:description/>
  <cp:lastModifiedBy>Simon Bainbridge</cp:lastModifiedBy>
  <cp:revision>2</cp:revision>
  <dcterms:created xsi:type="dcterms:W3CDTF">2020-04-28T11:29:00Z</dcterms:created>
  <dcterms:modified xsi:type="dcterms:W3CDTF">2020-04-28T11:29:00Z</dcterms:modified>
</cp:coreProperties>
</file>