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47EB9" w14:textId="53ACD534" w:rsidR="000D171F" w:rsidRDefault="007A4A08" w:rsidP="000D171F">
      <w:pPr>
        <w:pStyle w:val="paragraph"/>
        <w:spacing w:before="0" w:beforeAutospacing="0" w:after="0" w:afterAutospacing="0"/>
        <w:textAlignment w:val="baseline"/>
        <w:rPr>
          <w:rFonts w:ascii="Segoe UI" w:hAnsi="Segoe UI" w:cs="Segoe UI"/>
          <w:sz w:val="18"/>
          <w:szCs w:val="18"/>
        </w:rPr>
      </w:pPr>
      <w:r>
        <w:rPr>
          <w:rFonts w:ascii="Calibri" w:hAnsi="Calibri" w:cs="Calibri"/>
          <w:noProof/>
          <w:sz w:val="56"/>
          <w:szCs w:val="56"/>
        </w:rPr>
        <w:drawing>
          <wp:inline distT="0" distB="0" distL="0" distR="0" wp14:anchorId="287C1312" wp14:editId="6452ACB1">
            <wp:extent cx="5731510" cy="1019810"/>
            <wp:effectExtent l="0" t="0" r="254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019810"/>
                    </a:xfrm>
                    <a:prstGeom prst="rect">
                      <a:avLst/>
                    </a:prstGeom>
                  </pic:spPr>
                </pic:pic>
              </a:graphicData>
            </a:graphic>
          </wp:inline>
        </w:drawing>
      </w:r>
      <w:r w:rsidR="000D171F">
        <w:rPr>
          <w:rStyle w:val="eop"/>
          <w:rFonts w:ascii="Calibri" w:hAnsi="Calibri" w:cs="Calibri"/>
          <w:sz w:val="56"/>
          <w:szCs w:val="56"/>
        </w:rPr>
        <w:t> </w:t>
      </w:r>
    </w:p>
    <w:p w14:paraId="1AAE3C9D" w14:textId="77777777" w:rsidR="000D171F" w:rsidRDefault="000D171F" w:rsidP="000D171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32"/>
          <w:szCs w:val="32"/>
        </w:rPr>
        <w:t> </w:t>
      </w:r>
    </w:p>
    <w:p w14:paraId="330859CA" w14:textId="77777777" w:rsidR="000D171F" w:rsidRDefault="000D171F" w:rsidP="000D171F">
      <w:pPr>
        <w:pStyle w:val="paragraph"/>
        <w:spacing w:before="0" w:beforeAutospacing="0" w:after="0" w:afterAutospacing="0"/>
        <w:jc w:val="center"/>
        <w:textAlignment w:val="baseline"/>
        <w:rPr>
          <w:rFonts w:ascii="Segoe UI" w:hAnsi="Segoe UI" w:cs="Segoe UI"/>
          <w:sz w:val="18"/>
          <w:szCs w:val="18"/>
        </w:rPr>
      </w:pPr>
      <w:bookmarkStart w:id="0" w:name="_Hlk187755382"/>
      <w:r>
        <w:rPr>
          <w:rStyle w:val="normaltextrun"/>
          <w:rFonts w:ascii="Calibri" w:hAnsi="Calibri" w:cs="Calibri"/>
          <w:b/>
          <w:bCs/>
          <w:sz w:val="72"/>
          <w:szCs w:val="72"/>
        </w:rPr>
        <w:t>Literacy Policy</w:t>
      </w:r>
      <w:r>
        <w:rPr>
          <w:rStyle w:val="eop"/>
          <w:rFonts w:ascii="Calibri" w:hAnsi="Calibri" w:cs="Calibri"/>
          <w:sz w:val="72"/>
          <w:szCs w:val="72"/>
        </w:rPr>
        <w:t> </w:t>
      </w:r>
    </w:p>
    <w:bookmarkEnd w:id="0"/>
    <w:p w14:paraId="626973E2" w14:textId="13391161" w:rsidR="000D171F" w:rsidRDefault="000D171F" w:rsidP="000D171F">
      <w:pPr>
        <w:pStyle w:val="paragraph"/>
        <w:spacing w:before="0" w:beforeAutospacing="0" w:after="0" w:afterAutospacing="0"/>
        <w:textAlignment w:val="baseline"/>
        <w:rPr>
          <w:rFonts w:ascii="Segoe UI" w:hAnsi="Segoe UI" w:cs="Segoe UI"/>
          <w:sz w:val="18"/>
          <w:szCs w:val="18"/>
        </w:rPr>
      </w:pPr>
    </w:p>
    <w:p w14:paraId="028F90F7" w14:textId="77777777" w:rsidR="000D171F" w:rsidRDefault="000D171F" w:rsidP="000D171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51BCA10" w14:textId="38480055" w:rsidR="00D81CBB" w:rsidRDefault="00D81CBB" w:rsidP="000D171F">
      <w:pPr>
        <w:pStyle w:val="paragraph"/>
        <w:spacing w:before="0" w:beforeAutospacing="0" w:after="0" w:afterAutospacing="0"/>
        <w:textAlignment w:val="baseline"/>
        <w:rPr>
          <w:rStyle w:val="eop"/>
          <w:rFonts w:ascii="Calibri" w:hAnsi="Calibri" w:cs="Calibri"/>
          <w:sz w:val="20"/>
          <w:szCs w:val="22"/>
        </w:rPr>
      </w:pPr>
    </w:p>
    <w:p w14:paraId="3D419286" w14:textId="179EF826" w:rsidR="0000364C" w:rsidRDefault="0000364C" w:rsidP="000D171F">
      <w:pPr>
        <w:pStyle w:val="paragraph"/>
        <w:spacing w:before="0" w:beforeAutospacing="0" w:after="0" w:afterAutospacing="0"/>
        <w:textAlignment w:val="baseline"/>
        <w:rPr>
          <w:rStyle w:val="eop"/>
          <w:rFonts w:ascii="Calibri" w:hAnsi="Calibri" w:cs="Calibri"/>
          <w:sz w:val="20"/>
          <w:szCs w:val="22"/>
        </w:rPr>
      </w:pPr>
    </w:p>
    <w:p w14:paraId="48A278A2" w14:textId="1BFACCD9" w:rsidR="0000364C" w:rsidRDefault="0000364C" w:rsidP="000D171F">
      <w:pPr>
        <w:pStyle w:val="paragraph"/>
        <w:spacing w:before="0" w:beforeAutospacing="0" w:after="0" w:afterAutospacing="0"/>
        <w:textAlignment w:val="baseline"/>
        <w:rPr>
          <w:rStyle w:val="eop"/>
          <w:rFonts w:ascii="Calibri" w:hAnsi="Calibri" w:cs="Calibri"/>
          <w:sz w:val="20"/>
          <w:szCs w:val="22"/>
        </w:rPr>
      </w:pPr>
    </w:p>
    <w:p w14:paraId="7F916D2E" w14:textId="7F6366FF" w:rsidR="0000364C" w:rsidRDefault="0000364C" w:rsidP="000D171F">
      <w:pPr>
        <w:pStyle w:val="paragraph"/>
        <w:spacing w:before="0" w:beforeAutospacing="0" w:after="0" w:afterAutospacing="0"/>
        <w:textAlignment w:val="baseline"/>
        <w:rPr>
          <w:rStyle w:val="eop"/>
          <w:rFonts w:ascii="Calibri" w:hAnsi="Calibri" w:cs="Calibri"/>
          <w:sz w:val="20"/>
          <w:szCs w:val="22"/>
        </w:rPr>
      </w:pPr>
    </w:p>
    <w:p w14:paraId="23735207" w14:textId="1A1EA718" w:rsidR="0000364C" w:rsidRDefault="0000364C" w:rsidP="000D171F">
      <w:pPr>
        <w:pStyle w:val="paragraph"/>
        <w:spacing w:before="0" w:beforeAutospacing="0" w:after="0" w:afterAutospacing="0"/>
        <w:textAlignment w:val="baseline"/>
        <w:rPr>
          <w:rStyle w:val="eop"/>
          <w:rFonts w:ascii="Calibri" w:hAnsi="Calibri" w:cs="Calibri"/>
          <w:sz w:val="20"/>
          <w:szCs w:val="22"/>
        </w:rPr>
      </w:pPr>
    </w:p>
    <w:p w14:paraId="24FD0150" w14:textId="19281961" w:rsidR="0000364C" w:rsidRDefault="0000364C" w:rsidP="000D171F">
      <w:pPr>
        <w:pStyle w:val="paragraph"/>
        <w:spacing w:before="0" w:beforeAutospacing="0" w:after="0" w:afterAutospacing="0"/>
        <w:textAlignment w:val="baseline"/>
        <w:rPr>
          <w:rStyle w:val="eop"/>
          <w:rFonts w:ascii="Calibri" w:hAnsi="Calibri" w:cs="Calibri"/>
          <w:sz w:val="20"/>
          <w:szCs w:val="22"/>
        </w:rPr>
      </w:pPr>
    </w:p>
    <w:p w14:paraId="3F7065C0" w14:textId="55FC5C34" w:rsidR="0000364C" w:rsidRDefault="0000364C" w:rsidP="000D171F">
      <w:pPr>
        <w:pStyle w:val="paragraph"/>
        <w:spacing w:before="0" w:beforeAutospacing="0" w:after="0" w:afterAutospacing="0"/>
        <w:textAlignment w:val="baseline"/>
        <w:rPr>
          <w:rStyle w:val="eop"/>
          <w:rFonts w:ascii="Calibri" w:hAnsi="Calibri" w:cs="Calibri"/>
          <w:sz w:val="20"/>
          <w:szCs w:val="22"/>
        </w:rPr>
      </w:pPr>
    </w:p>
    <w:p w14:paraId="4D6A0E7B" w14:textId="77777777" w:rsidR="0000364C" w:rsidRPr="0000364C" w:rsidRDefault="0000364C" w:rsidP="000D171F">
      <w:pPr>
        <w:pStyle w:val="paragraph"/>
        <w:spacing w:before="0" w:beforeAutospacing="0" w:after="0" w:afterAutospacing="0"/>
        <w:textAlignment w:val="baseline"/>
        <w:rPr>
          <w:rStyle w:val="eop"/>
          <w:rFonts w:ascii="Calibri" w:hAnsi="Calibri" w:cs="Calibri"/>
          <w:sz w:val="20"/>
          <w:szCs w:val="22"/>
        </w:rPr>
      </w:pPr>
    </w:p>
    <w:p w14:paraId="0CD83922" w14:textId="77777777" w:rsidR="000D171F" w:rsidRDefault="000D171F" w:rsidP="000D171F">
      <w:pPr>
        <w:pStyle w:val="paragraph"/>
        <w:spacing w:before="0" w:beforeAutospacing="0" w:after="0" w:afterAutospacing="0"/>
        <w:textAlignment w:val="baseline"/>
        <w:rPr>
          <w:rFonts w:ascii="Segoe UI" w:hAnsi="Segoe UI" w:cs="Segoe UI"/>
          <w:color w:val="000000"/>
          <w:sz w:val="18"/>
          <w:szCs w:val="18"/>
        </w:rPr>
      </w:pPr>
      <w:r>
        <w:rPr>
          <w:rStyle w:val="eop"/>
          <w:rFonts w:ascii="Candara" w:hAnsi="Candara" w:cs="Segoe UI"/>
          <w:color w:val="000000"/>
        </w:rPr>
        <w:t> </w:t>
      </w:r>
    </w:p>
    <w:p w14:paraId="62F3D062" w14:textId="77777777" w:rsidR="000D171F" w:rsidRDefault="000D171F" w:rsidP="000D171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B883BB1" w14:textId="7A17D56B" w:rsidR="000D171F" w:rsidRDefault="000D171F" w:rsidP="0000364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tbl>
      <w:tblPr>
        <w:tblStyle w:val="TableGrid"/>
        <w:tblpPr w:leftFromText="180" w:rightFromText="180" w:vertAnchor="text" w:horzAnchor="margin" w:tblpX="-294" w:tblpY="138"/>
        <w:tblW w:w="9639" w:type="dxa"/>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ook w:val="04A0" w:firstRow="1" w:lastRow="0" w:firstColumn="1" w:lastColumn="0" w:noHBand="0" w:noVBand="1"/>
      </w:tblPr>
      <w:tblGrid>
        <w:gridCol w:w="4542"/>
        <w:gridCol w:w="5097"/>
      </w:tblGrid>
      <w:tr w:rsidR="007A4A08" w:rsidRPr="007A2D16" w14:paraId="0D594964" w14:textId="77777777" w:rsidTr="007A4A08">
        <w:tc>
          <w:tcPr>
            <w:tcW w:w="4542" w:type="dxa"/>
            <w:tcBorders>
              <w:top w:val="single" w:sz="4" w:space="0" w:color="D7D7D7"/>
              <w:left w:val="single" w:sz="4" w:space="0" w:color="D7D7D7"/>
              <w:bottom w:val="single" w:sz="4" w:space="0" w:color="D7D7D7"/>
              <w:right w:val="single" w:sz="4" w:space="0" w:color="D7D7D7"/>
            </w:tcBorders>
            <w:hideMark/>
          </w:tcPr>
          <w:p w14:paraId="62A7D1AE" w14:textId="77777777" w:rsidR="007A4A08" w:rsidRPr="0069501E" w:rsidRDefault="007A4A08" w:rsidP="007A4A08">
            <w:pPr>
              <w:rPr>
                <w:rFonts w:cstheme="minorHAnsi"/>
                <w:sz w:val="36"/>
                <w:szCs w:val="36"/>
              </w:rPr>
            </w:pPr>
            <w:bookmarkStart w:id="1" w:name="_Hlk187755416"/>
            <w:r w:rsidRPr="0069501E">
              <w:rPr>
                <w:rFonts w:cstheme="minorHAnsi"/>
                <w:sz w:val="36"/>
                <w:szCs w:val="36"/>
              </w:rPr>
              <w:t>Statutory or non-statutory:</w:t>
            </w:r>
          </w:p>
        </w:tc>
        <w:tc>
          <w:tcPr>
            <w:tcW w:w="5097" w:type="dxa"/>
            <w:tcBorders>
              <w:top w:val="single" w:sz="4" w:space="0" w:color="D7D7D7"/>
              <w:left w:val="single" w:sz="4" w:space="0" w:color="D7D7D7"/>
              <w:bottom w:val="single" w:sz="4" w:space="0" w:color="D7D7D7"/>
              <w:right w:val="single" w:sz="4" w:space="0" w:color="D7D7D7"/>
            </w:tcBorders>
            <w:hideMark/>
          </w:tcPr>
          <w:p w14:paraId="5B23F420" w14:textId="0E2CEDB3" w:rsidR="007A4A08" w:rsidRPr="007A4A08" w:rsidRDefault="009D4CB8" w:rsidP="007A4A08">
            <w:pPr>
              <w:rPr>
                <w:rFonts w:cstheme="minorHAnsi"/>
                <w:sz w:val="36"/>
                <w:szCs w:val="36"/>
              </w:rPr>
            </w:pPr>
            <w:r>
              <w:rPr>
                <w:rFonts w:cstheme="minorHAnsi"/>
                <w:sz w:val="36"/>
                <w:szCs w:val="36"/>
              </w:rPr>
              <w:t>N</w:t>
            </w:r>
            <w:r w:rsidR="007A4A08" w:rsidRPr="007A4A08">
              <w:rPr>
                <w:rFonts w:cstheme="minorHAnsi"/>
                <w:sz w:val="36"/>
                <w:szCs w:val="36"/>
              </w:rPr>
              <w:t>on-statutory</w:t>
            </w:r>
          </w:p>
        </w:tc>
      </w:tr>
      <w:tr w:rsidR="007A4A08" w:rsidRPr="007A2D16" w14:paraId="781952B8" w14:textId="77777777" w:rsidTr="007A4A08">
        <w:tc>
          <w:tcPr>
            <w:tcW w:w="4542" w:type="dxa"/>
            <w:tcBorders>
              <w:top w:val="single" w:sz="4" w:space="0" w:color="D7D7D7"/>
              <w:left w:val="single" w:sz="4" w:space="0" w:color="D7D7D7"/>
              <w:bottom w:val="single" w:sz="4" w:space="0" w:color="D7D7D7"/>
              <w:right w:val="single" w:sz="4" w:space="0" w:color="D7D7D7"/>
            </w:tcBorders>
            <w:hideMark/>
          </w:tcPr>
          <w:p w14:paraId="35614C08" w14:textId="77777777" w:rsidR="007A4A08" w:rsidRPr="0069501E" w:rsidRDefault="007A4A08" w:rsidP="007A4A08">
            <w:pPr>
              <w:rPr>
                <w:rFonts w:cstheme="minorHAnsi"/>
                <w:sz w:val="36"/>
                <w:szCs w:val="36"/>
              </w:rPr>
            </w:pPr>
            <w:r w:rsidRPr="0069501E">
              <w:rPr>
                <w:rFonts w:cstheme="minorHAnsi"/>
                <w:sz w:val="36"/>
                <w:szCs w:val="36"/>
              </w:rPr>
              <w:t>Author/Reviewer:</w:t>
            </w:r>
          </w:p>
        </w:tc>
        <w:tc>
          <w:tcPr>
            <w:tcW w:w="5097" w:type="dxa"/>
            <w:tcBorders>
              <w:top w:val="single" w:sz="4" w:space="0" w:color="D7D7D7"/>
              <w:left w:val="single" w:sz="4" w:space="0" w:color="D7D7D7"/>
              <w:bottom w:val="single" w:sz="4" w:space="0" w:color="D7D7D7"/>
              <w:right w:val="single" w:sz="4" w:space="0" w:color="D7D7D7"/>
            </w:tcBorders>
            <w:hideMark/>
          </w:tcPr>
          <w:p w14:paraId="70AEAC6A" w14:textId="24F63E44" w:rsidR="007A4A08" w:rsidRPr="007A4A08" w:rsidRDefault="007A4A08" w:rsidP="007A4A08">
            <w:pPr>
              <w:rPr>
                <w:rFonts w:cstheme="minorHAnsi"/>
                <w:sz w:val="36"/>
                <w:szCs w:val="36"/>
              </w:rPr>
            </w:pPr>
            <w:r w:rsidRPr="00A40992">
              <w:rPr>
                <w:rFonts w:cstheme="minorHAnsi"/>
                <w:sz w:val="36"/>
                <w:szCs w:val="36"/>
              </w:rPr>
              <w:t xml:space="preserve">S </w:t>
            </w:r>
            <w:r w:rsidR="00993ABE" w:rsidRPr="00A40992">
              <w:rPr>
                <w:rFonts w:cstheme="minorHAnsi"/>
                <w:sz w:val="36"/>
                <w:szCs w:val="36"/>
              </w:rPr>
              <w:t>Zhang</w:t>
            </w:r>
          </w:p>
        </w:tc>
      </w:tr>
      <w:tr w:rsidR="007A4A08" w:rsidRPr="007A2D16" w14:paraId="77436E8C" w14:textId="77777777" w:rsidTr="007A4A08">
        <w:tc>
          <w:tcPr>
            <w:tcW w:w="4542" w:type="dxa"/>
            <w:tcBorders>
              <w:top w:val="single" w:sz="4" w:space="0" w:color="D7D7D7"/>
              <w:left w:val="single" w:sz="4" w:space="0" w:color="D7D7D7"/>
              <w:bottom w:val="single" w:sz="4" w:space="0" w:color="D7D7D7"/>
              <w:right w:val="single" w:sz="4" w:space="0" w:color="D7D7D7"/>
            </w:tcBorders>
          </w:tcPr>
          <w:p w14:paraId="7E87528D" w14:textId="77777777" w:rsidR="007A4A08" w:rsidRPr="0069501E" w:rsidRDefault="007A4A08" w:rsidP="007A4A08">
            <w:pPr>
              <w:rPr>
                <w:rFonts w:cstheme="minorHAnsi"/>
                <w:sz w:val="36"/>
                <w:szCs w:val="36"/>
              </w:rPr>
            </w:pPr>
            <w:r w:rsidRPr="0069501E">
              <w:rPr>
                <w:rFonts w:cstheme="minorHAnsi"/>
                <w:sz w:val="36"/>
                <w:szCs w:val="36"/>
              </w:rPr>
              <w:t xml:space="preserve">Approved by Governors:  </w:t>
            </w:r>
          </w:p>
        </w:tc>
        <w:tc>
          <w:tcPr>
            <w:tcW w:w="5097" w:type="dxa"/>
            <w:tcBorders>
              <w:top w:val="single" w:sz="4" w:space="0" w:color="D7D7D7"/>
              <w:left w:val="single" w:sz="4" w:space="0" w:color="D7D7D7"/>
              <w:bottom w:val="single" w:sz="4" w:space="0" w:color="D7D7D7"/>
              <w:right w:val="single" w:sz="4" w:space="0" w:color="D7D7D7"/>
            </w:tcBorders>
          </w:tcPr>
          <w:p w14:paraId="2876F937" w14:textId="281A461B" w:rsidR="007A4A08" w:rsidRPr="007A4A08" w:rsidRDefault="007A4A08" w:rsidP="007A4A08">
            <w:pPr>
              <w:rPr>
                <w:rFonts w:cstheme="minorHAnsi"/>
                <w:sz w:val="36"/>
                <w:szCs w:val="36"/>
              </w:rPr>
            </w:pPr>
          </w:p>
        </w:tc>
      </w:tr>
      <w:tr w:rsidR="007A4A08" w:rsidRPr="007A2D16" w14:paraId="2530399A" w14:textId="77777777" w:rsidTr="007A4A08">
        <w:tc>
          <w:tcPr>
            <w:tcW w:w="4542" w:type="dxa"/>
            <w:tcBorders>
              <w:top w:val="single" w:sz="4" w:space="0" w:color="D7D7D7"/>
              <w:left w:val="single" w:sz="4" w:space="0" w:color="D7D7D7"/>
              <w:bottom w:val="single" w:sz="4" w:space="0" w:color="D7D7D7"/>
              <w:right w:val="single" w:sz="4" w:space="0" w:color="D7D7D7"/>
            </w:tcBorders>
          </w:tcPr>
          <w:p w14:paraId="70F4DA35" w14:textId="77777777" w:rsidR="007A4A08" w:rsidRPr="0069501E" w:rsidRDefault="007A4A08" w:rsidP="007A4A08">
            <w:pPr>
              <w:rPr>
                <w:rFonts w:cstheme="minorHAnsi"/>
                <w:sz w:val="36"/>
                <w:szCs w:val="36"/>
              </w:rPr>
            </w:pPr>
            <w:r w:rsidRPr="0069501E">
              <w:rPr>
                <w:rFonts w:cstheme="minorHAnsi"/>
                <w:sz w:val="36"/>
                <w:szCs w:val="36"/>
              </w:rPr>
              <w:t xml:space="preserve">Due for review: </w:t>
            </w:r>
          </w:p>
        </w:tc>
        <w:tc>
          <w:tcPr>
            <w:tcW w:w="5097" w:type="dxa"/>
            <w:tcBorders>
              <w:top w:val="single" w:sz="4" w:space="0" w:color="D7D7D7"/>
              <w:left w:val="single" w:sz="4" w:space="0" w:color="D7D7D7"/>
              <w:bottom w:val="single" w:sz="4" w:space="0" w:color="D7D7D7"/>
              <w:right w:val="single" w:sz="4" w:space="0" w:color="D7D7D7"/>
            </w:tcBorders>
          </w:tcPr>
          <w:p w14:paraId="7C640C13" w14:textId="77F91E70" w:rsidR="007A4A08" w:rsidRPr="007A4A08" w:rsidRDefault="007A4A08" w:rsidP="007A4A08">
            <w:pPr>
              <w:rPr>
                <w:rFonts w:cstheme="minorHAnsi"/>
                <w:sz w:val="36"/>
                <w:szCs w:val="36"/>
              </w:rPr>
            </w:pPr>
            <w:r w:rsidRPr="007A4A08">
              <w:rPr>
                <w:rFonts w:cstheme="minorHAnsi"/>
                <w:sz w:val="36"/>
                <w:szCs w:val="36"/>
              </w:rPr>
              <w:t xml:space="preserve">March </w:t>
            </w:r>
            <w:r>
              <w:rPr>
                <w:rFonts w:cstheme="minorHAnsi"/>
                <w:sz w:val="36"/>
                <w:szCs w:val="36"/>
              </w:rPr>
              <w:t>20</w:t>
            </w:r>
            <w:r w:rsidRPr="007A4A08">
              <w:rPr>
                <w:rFonts w:cstheme="minorHAnsi"/>
                <w:sz w:val="36"/>
                <w:szCs w:val="36"/>
              </w:rPr>
              <w:t>2</w:t>
            </w:r>
            <w:r w:rsidR="009D4CB8">
              <w:rPr>
                <w:rFonts w:cstheme="minorHAnsi"/>
                <w:sz w:val="36"/>
                <w:szCs w:val="36"/>
              </w:rPr>
              <w:t>5</w:t>
            </w:r>
          </w:p>
        </w:tc>
      </w:tr>
    </w:tbl>
    <w:bookmarkEnd w:id="1"/>
    <w:p w14:paraId="3466E672" w14:textId="77777777" w:rsidR="000D171F" w:rsidRDefault="000D171F" w:rsidP="000D171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782C69E4" w14:textId="77777777" w:rsidR="00D81CBB" w:rsidRDefault="00D81CBB">
      <w:pPr>
        <w:rPr>
          <w:b/>
          <w:i/>
        </w:rPr>
      </w:pPr>
      <w:r>
        <w:rPr>
          <w:b/>
          <w:i/>
        </w:rPr>
        <w:br w:type="page"/>
      </w:r>
    </w:p>
    <w:p w14:paraId="77844A02" w14:textId="77777777" w:rsidR="00B93077" w:rsidRPr="00B93077" w:rsidRDefault="00471FE1" w:rsidP="00B93077">
      <w:pPr>
        <w:pStyle w:val="ListParagraph"/>
        <w:numPr>
          <w:ilvl w:val="0"/>
          <w:numId w:val="11"/>
        </w:numPr>
        <w:jc w:val="both"/>
        <w:rPr>
          <w:rFonts w:cstheme="minorHAnsi"/>
          <w:b/>
          <w:u w:val="single"/>
        </w:rPr>
      </w:pPr>
      <w:r w:rsidRPr="00471FE1">
        <w:rPr>
          <w:rFonts w:cstheme="minorHAnsi"/>
          <w:b/>
          <w:u w:val="single"/>
        </w:rPr>
        <w:lastRenderedPageBreak/>
        <w:t>Rationale and aims:</w:t>
      </w:r>
      <w:r w:rsidR="00E70CC1" w:rsidRPr="00B93077">
        <w:rPr>
          <w:rFonts w:eastAsia="Times New Roman" w:cstheme="minorHAnsi"/>
          <w:bdr w:val="none" w:sz="0" w:space="0" w:color="auto" w:frame="1"/>
          <w:lang w:eastAsia="en-GB"/>
        </w:rPr>
        <w:t xml:space="preserve"> </w:t>
      </w:r>
    </w:p>
    <w:p w14:paraId="795A4629" w14:textId="3E08ED4C" w:rsidR="00E70CC1" w:rsidRPr="00B93077" w:rsidRDefault="00E70CC1" w:rsidP="00B93077">
      <w:pPr>
        <w:jc w:val="both"/>
        <w:rPr>
          <w:rFonts w:cstheme="minorHAnsi"/>
          <w:b/>
          <w:u w:val="single"/>
        </w:rPr>
      </w:pPr>
      <w:r w:rsidRPr="00B93077">
        <w:rPr>
          <w:rFonts w:eastAsia="Times New Roman" w:cstheme="minorHAnsi"/>
          <w:i/>
          <w:bdr w:val="none" w:sz="0" w:space="0" w:color="auto" w:frame="1"/>
          <w:lang w:eastAsia="en-GB"/>
        </w:rPr>
        <w:t>“Literacy is key to learning across all subjects in secondary school and a strong predictor of outcomes in later life</w:t>
      </w:r>
      <w:r w:rsidRPr="00B93077">
        <w:rPr>
          <w:rFonts w:eastAsia="Times New Roman" w:cstheme="minorHAnsi"/>
          <w:bdr w:val="none" w:sz="0" w:space="0" w:color="auto" w:frame="1"/>
          <w:lang w:eastAsia="en-GB"/>
        </w:rPr>
        <w:t>.”</w:t>
      </w:r>
    </w:p>
    <w:p w14:paraId="4BD16708" w14:textId="6B334670" w:rsidR="00173E75" w:rsidRPr="00E70CC1" w:rsidRDefault="00B93077" w:rsidP="00E70CC1">
      <w:pPr>
        <w:shd w:val="clear" w:color="auto" w:fill="FFFFFF"/>
        <w:spacing w:after="0" w:line="240" w:lineRule="auto"/>
        <w:jc w:val="both"/>
        <w:textAlignment w:val="baseline"/>
        <w:rPr>
          <w:rFonts w:eastAsia="Times New Roman" w:cstheme="minorHAnsi"/>
          <w:lang w:eastAsia="en-GB"/>
        </w:rPr>
      </w:pPr>
      <w:hyperlink r:id="rId9" w:history="1">
        <w:r w:rsidRPr="00B93077">
          <w:rPr>
            <w:color w:val="0000FF"/>
            <w:u w:val="single"/>
          </w:rPr>
          <w:t>Improving Literacy in Secondary Schools | EEF</w:t>
        </w:r>
      </w:hyperlink>
    </w:p>
    <w:p w14:paraId="470BD2BC" w14:textId="77777777" w:rsidR="00E70CC1" w:rsidRDefault="00E70CC1" w:rsidP="005D5828">
      <w:pPr>
        <w:shd w:val="clear" w:color="auto" w:fill="FFFFFF"/>
        <w:spacing w:after="0" w:line="240" w:lineRule="auto"/>
        <w:jc w:val="both"/>
        <w:textAlignment w:val="baseline"/>
        <w:rPr>
          <w:rFonts w:eastAsia="Times New Roman" w:cstheme="minorHAnsi"/>
          <w:b/>
          <w:bCs/>
          <w:color w:val="0B0C0C"/>
          <w:bdr w:val="none" w:sz="0" w:space="0" w:color="auto" w:frame="1"/>
          <w:shd w:val="clear" w:color="auto" w:fill="FFFFFF"/>
          <w:lang w:eastAsia="en-GB"/>
        </w:rPr>
      </w:pPr>
    </w:p>
    <w:p w14:paraId="700413F7" w14:textId="1C0BE88E" w:rsidR="00471FE1" w:rsidRPr="00CC5453" w:rsidRDefault="00471FE1" w:rsidP="005D5828">
      <w:pPr>
        <w:shd w:val="clear" w:color="auto" w:fill="FFFFFF"/>
        <w:spacing w:after="0" w:line="240" w:lineRule="auto"/>
        <w:jc w:val="both"/>
        <w:textAlignment w:val="baseline"/>
        <w:rPr>
          <w:rStyle w:val="eop"/>
          <w:rFonts w:eastAsia="Times New Roman" w:cstheme="minorHAnsi"/>
          <w:color w:val="0B0C0C"/>
          <w:bdr w:val="none" w:sz="0" w:space="0" w:color="auto" w:frame="1"/>
          <w:shd w:val="clear" w:color="auto" w:fill="FFFFFF"/>
          <w:lang w:eastAsia="en-GB"/>
        </w:rPr>
      </w:pPr>
      <w:r w:rsidRPr="00471FE1">
        <w:rPr>
          <w:rFonts w:eastAsia="Times New Roman" w:cstheme="minorHAnsi"/>
          <w:i/>
          <w:color w:val="0B0C0C"/>
          <w:bdr w:val="none" w:sz="0" w:space="0" w:color="auto" w:frame="1"/>
          <w:shd w:val="clear" w:color="auto" w:fill="FFFFFF"/>
          <w:lang w:eastAsia="en-GB"/>
        </w:rPr>
        <w:t xml:space="preserve">“Teachers should develop students’ spoken language, reading, writing and vocabulary as integral aspects of the teaching of every subject. English is both a subject </w:t>
      </w:r>
      <w:proofErr w:type="gramStart"/>
      <w:r w:rsidRPr="00471FE1">
        <w:rPr>
          <w:rFonts w:eastAsia="Times New Roman" w:cstheme="minorHAnsi"/>
          <w:i/>
          <w:color w:val="0B0C0C"/>
          <w:bdr w:val="none" w:sz="0" w:space="0" w:color="auto" w:frame="1"/>
          <w:shd w:val="clear" w:color="auto" w:fill="FFFFFF"/>
          <w:lang w:eastAsia="en-GB"/>
        </w:rPr>
        <w:t>in its own right and</w:t>
      </w:r>
      <w:proofErr w:type="gramEnd"/>
      <w:r w:rsidRPr="00471FE1">
        <w:rPr>
          <w:rFonts w:eastAsia="Times New Roman" w:cstheme="minorHAnsi"/>
          <w:i/>
          <w:color w:val="0B0C0C"/>
          <w:bdr w:val="none" w:sz="0" w:space="0" w:color="auto" w:frame="1"/>
          <w:shd w:val="clear" w:color="auto" w:fill="FFFFFF"/>
          <w:lang w:eastAsia="en-GB"/>
        </w:rPr>
        <w:t xml:space="preserve"> the medium for teaching; for students, understanding the language provides access to the whole curriculum. Fluency in the English language is an essential foundation for success in all subjects.”</w:t>
      </w:r>
    </w:p>
    <w:p w14:paraId="677ECCA9" w14:textId="77777777" w:rsidR="00471FE1" w:rsidRPr="00471FE1" w:rsidRDefault="00471FE1" w:rsidP="005D5828">
      <w:pPr>
        <w:pStyle w:val="paragraph"/>
        <w:spacing w:before="0" w:beforeAutospacing="0" w:after="0" w:afterAutospacing="0"/>
        <w:jc w:val="both"/>
        <w:textAlignment w:val="baseline"/>
        <w:rPr>
          <w:rStyle w:val="eop"/>
          <w:rFonts w:asciiTheme="minorHAnsi" w:hAnsiTheme="minorHAnsi" w:cstheme="minorHAnsi"/>
          <w:sz w:val="22"/>
          <w:szCs w:val="22"/>
        </w:rPr>
      </w:pPr>
    </w:p>
    <w:p w14:paraId="6B8891FE" w14:textId="460C38F4" w:rsidR="00471FE1" w:rsidRDefault="00471FE1" w:rsidP="005D5828">
      <w:pPr>
        <w:pStyle w:val="paragraph"/>
        <w:spacing w:before="0" w:beforeAutospacing="0" w:after="0" w:afterAutospacing="0"/>
        <w:jc w:val="both"/>
        <w:textAlignment w:val="baseline"/>
        <w:rPr>
          <w:rFonts w:asciiTheme="minorHAnsi" w:eastAsiaTheme="minorHAnsi" w:hAnsiTheme="minorHAnsi" w:cstheme="minorBidi"/>
          <w:sz w:val="22"/>
          <w:szCs w:val="22"/>
          <w:lang w:eastAsia="en-US"/>
        </w:rPr>
      </w:pPr>
      <w:r w:rsidRPr="00471FE1">
        <w:rPr>
          <w:rStyle w:val="eop"/>
          <w:rFonts w:asciiTheme="minorHAnsi" w:hAnsiTheme="minorHAnsi" w:cstheme="minorHAnsi"/>
          <w:sz w:val="22"/>
          <w:szCs w:val="22"/>
        </w:rPr>
        <w:t> </w:t>
      </w:r>
      <w:hyperlink r:id="rId10" w:history="1">
        <w:r w:rsidR="00CC5453" w:rsidRPr="00CC5453">
          <w:rPr>
            <w:rFonts w:asciiTheme="minorHAnsi" w:eastAsiaTheme="minorHAnsi" w:hAnsiTheme="minorHAnsi" w:cstheme="minorBidi"/>
            <w:color w:val="0000FF"/>
            <w:sz w:val="22"/>
            <w:szCs w:val="22"/>
            <w:u w:val="single"/>
            <w:lang w:eastAsia="en-US"/>
          </w:rPr>
          <w:t>National curriculum in England: framework for key stages 1 to 4 - GOV.UK</w:t>
        </w:r>
      </w:hyperlink>
    </w:p>
    <w:p w14:paraId="6CC88643" w14:textId="77777777" w:rsidR="00CC5453" w:rsidRPr="00471FE1" w:rsidRDefault="00CC5453" w:rsidP="005D5828">
      <w:pPr>
        <w:pStyle w:val="paragraph"/>
        <w:spacing w:before="0" w:beforeAutospacing="0" w:after="0" w:afterAutospacing="0"/>
        <w:jc w:val="both"/>
        <w:textAlignment w:val="baseline"/>
        <w:rPr>
          <w:rFonts w:asciiTheme="minorHAnsi" w:hAnsiTheme="minorHAnsi" w:cstheme="minorHAnsi"/>
          <w:sz w:val="22"/>
          <w:szCs w:val="22"/>
        </w:rPr>
      </w:pPr>
    </w:p>
    <w:p w14:paraId="3C9553A2" w14:textId="01AE8F81" w:rsidR="009D46B6" w:rsidRPr="00471FE1" w:rsidRDefault="005D5828" w:rsidP="00322910">
      <w:pPr>
        <w:jc w:val="both"/>
        <w:rPr>
          <w:rFonts w:cstheme="minorHAnsi"/>
        </w:rPr>
      </w:pPr>
      <w:r>
        <w:rPr>
          <w:rFonts w:cstheme="minorHAnsi"/>
        </w:rPr>
        <w:t>The Teachers Standards state that t</w:t>
      </w:r>
      <w:r w:rsidR="00461E15" w:rsidRPr="00471FE1">
        <w:rPr>
          <w:rFonts w:cstheme="minorHAnsi"/>
        </w:rPr>
        <w:t xml:space="preserve">eachers should “demonstrate an understanding of and take responsibility for promoting high standards of literacy, articulacy and the correct use of standard English, whatever the teacher’s specialist subject.” </w:t>
      </w:r>
    </w:p>
    <w:p w14:paraId="4A2AF44C" w14:textId="77777777" w:rsidR="009128D2" w:rsidRDefault="009128D2" w:rsidP="00093276">
      <w:hyperlink r:id="rId11" w:history="1">
        <w:r w:rsidRPr="009128D2">
          <w:rPr>
            <w:color w:val="0000FF"/>
            <w:u w:val="single"/>
          </w:rPr>
          <w:t>Teachers' standards: overview</w:t>
        </w:r>
      </w:hyperlink>
    </w:p>
    <w:p w14:paraId="4200FB3F" w14:textId="42124D77" w:rsidR="00093276" w:rsidRPr="00471FE1" w:rsidRDefault="00093276" w:rsidP="00093276">
      <w:pPr>
        <w:rPr>
          <w:rFonts w:cstheme="minorHAnsi"/>
        </w:rPr>
      </w:pPr>
      <w:r w:rsidRPr="00471FE1">
        <w:rPr>
          <w:rFonts w:cstheme="minorHAnsi"/>
        </w:rPr>
        <w:t xml:space="preserve">We are committed to developing literacy skills in our </w:t>
      </w:r>
      <w:r w:rsidR="007A4A08" w:rsidRPr="00471FE1">
        <w:rPr>
          <w:rFonts w:cstheme="minorHAnsi"/>
        </w:rPr>
        <w:t>students</w:t>
      </w:r>
      <w:r w:rsidRPr="00471FE1">
        <w:rPr>
          <w:rFonts w:cstheme="minorHAnsi"/>
        </w:rPr>
        <w:t xml:space="preserve">, in the belief that it will support their learning and raise standards across the curriculum, as: </w:t>
      </w:r>
    </w:p>
    <w:p w14:paraId="3AB381BE" w14:textId="595C5337" w:rsidR="00093276" w:rsidRPr="00471FE1" w:rsidRDefault="007A4A08" w:rsidP="00093276">
      <w:pPr>
        <w:pStyle w:val="NoSpacing"/>
        <w:numPr>
          <w:ilvl w:val="0"/>
          <w:numId w:val="8"/>
        </w:numPr>
        <w:rPr>
          <w:rFonts w:asciiTheme="minorHAnsi" w:hAnsiTheme="minorHAnsi" w:cstheme="minorHAnsi"/>
        </w:rPr>
      </w:pPr>
      <w:r w:rsidRPr="00471FE1">
        <w:rPr>
          <w:rFonts w:asciiTheme="minorHAnsi" w:hAnsiTheme="minorHAnsi" w:cstheme="minorHAnsi"/>
        </w:rPr>
        <w:t>students</w:t>
      </w:r>
      <w:r w:rsidR="00093276" w:rsidRPr="00471FE1">
        <w:rPr>
          <w:rFonts w:asciiTheme="minorHAnsi" w:hAnsiTheme="minorHAnsi" w:cstheme="minorHAnsi"/>
        </w:rPr>
        <w:t xml:space="preserve"> need vocabulary, analytical skills, </w:t>
      </w:r>
      <w:r w:rsidRPr="00471FE1">
        <w:rPr>
          <w:rFonts w:asciiTheme="minorHAnsi" w:hAnsiTheme="minorHAnsi" w:cstheme="minorHAnsi"/>
        </w:rPr>
        <w:t>expression,</w:t>
      </w:r>
      <w:r w:rsidR="00093276" w:rsidRPr="00471FE1">
        <w:rPr>
          <w:rFonts w:asciiTheme="minorHAnsi" w:hAnsiTheme="minorHAnsi" w:cstheme="minorHAnsi"/>
        </w:rPr>
        <w:t xml:space="preserve"> and organisational control to cope with the cognitive demands of </w:t>
      </w:r>
      <w:r w:rsidRPr="00471FE1">
        <w:rPr>
          <w:rFonts w:asciiTheme="minorHAnsi" w:hAnsiTheme="minorHAnsi" w:cstheme="minorHAnsi"/>
        </w:rPr>
        <w:t>subjects.</w:t>
      </w:r>
      <w:r w:rsidR="00093276" w:rsidRPr="00471FE1">
        <w:rPr>
          <w:rFonts w:asciiTheme="minorHAnsi" w:hAnsiTheme="minorHAnsi" w:cstheme="minorHAnsi"/>
        </w:rPr>
        <w:t xml:space="preserve"> </w:t>
      </w:r>
    </w:p>
    <w:p w14:paraId="13853868" w14:textId="393DFB7C" w:rsidR="00093276" w:rsidRPr="00471FE1" w:rsidRDefault="00093276" w:rsidP="00093276">
      <w:pPr>
        <w:pStyle w:val="NoSpacing"/>
        <w:numPr>
          <w:ilvl w:val="0"/>
          <w:numId w:val="8"/>
        </w:numPr>
        <w:rPr>
          <w:rFonts w:asciiTheme="minorHAnsi" w:hAnsiTheme="minorHAnsi" w:cstheme="minorHAnsi"/>
        </w:rPr>
      </w:pPr>
      <w:r w:rsidRPr="00471FE1">
        <w:rPr>
          <w:rFonts w:asciiTheme="minorHAnsi" w:hAnsiTheme="minorHAnsi" w:cstheme="minorHAnsi"/>
        </w:rPr>
        <w:t xml:space="preserve">language helps us to reflect, revise our beliefs and evaluate ourselves and </w:t>
      </w:r>
      <w:r w:rsidR="007A4A08" w:rsidRPr="00471FE1">
        <w:rPr>
          <w:rFonts w:asciiTheme="minorHAnsi" w:hAnsiTheme="minorHAnsi" w:cstheme="minorHAnsi"/>
        </w:rPr>
        <w:t>others.</w:t>
      </w:r>
    </w:p>
    <w:p w14:paraId="78D1B436" w14:textId="5E7CA471" w:rsidR="00093276" w:rsidRPr="00471FE1" w:rsidRDefault="00093276" w:rsidP="00093276">
      <w:pPr>
        <w:pStyle w:val="NoSpacing"/>
        <w:numPr>
          <w:ilvl w:val="0"/>
          <w:numId w:val="8"/>
        </w:numPr>
        <w:rPr>
          <w:rFonts w:asciiTheme="minorHAnsi" w:hAnsiTheme="minorHAnsi" w:cstheme="minorHAnsi"/>
        </w:rPr>
      </w:pPr>
      <w:r w:rsidRPr="00471FE1">
        <w:rPr>
          <w:rFonts w:asciiTheme="minorHAnsi" w:hAnsiTheme="minorHAnsi" w:cstheme="minorHAnsi"/>
        </w:rPr>
        <w:t xml:space="preserve">developing effective speaking and listening skills builds </w:t>
      </w:r>
      <w:r w:rsidR="007A4A08" w:rsidRPr="00471FE1">
        <w:rPr>
          <w:rFonts w:asciiTheme="minorHAnsi" w:hAnsiTheme="minorHAnsi" w:cstheme="minorHAnsi"/>
        </w:rPr>
        <w:t>confidence.</w:t>
      </w:r>
      <w:r w:rsidRPr="00471FE1">
        <w:rPr>
          <w:rFonts w:asciiTheme="minorHAnsi" w:hAnsiTheme="minorHAnsi" w:cstheme="minorHAnsi"/>
        </w:rPr>
        <w:t xml:space="preserve"> </w:t>
      </w:r>
    </w:p>
    <w:p w14:paraId="1FFB71EE" w14:textId="696FF1A5" w:rsidR="00093276" w:rsidRPr="00471FE1" w:rsidRDefault="00093276" w:rsidP="00093276">
      <w:pPr>
        <w:pStyle w:val="NoSpacing"/>
        <w:numPr>
          <w:ilvl w:val="0"/>
          <w:numId w:val="8"/>
        </w:numPr>
        <w:rPr>
          <w:rFonts w:asciiTheme="minorHAnsi" w:hAnsiTheme="minorHAnsi" w:cstheme="minorHAnsi"/>
        </w:rPr>
      </w:pPr>
      <w:r w:rsidRPr="00471FE1">
        <w:rPr>
          <w:rFonts w:asciiTheme="minorHAnsi" w:hAnsiTheme="minorHAnsi" w:cstheme="minorHAnsi"/>
        </w:rPr>
        <w:t xml:space="preserve">responding to higher order questions encourages the development of thinking skills and </w:t>
      </w:r>
      <w:r w:rsidR="007A4A08" w:rsidRPr="00471FE1">
        <w:rPr>
          <w:rFonts w:asciiTheme="minorHAnsi" w:hAnsiTheme="minorHAnsi" w:cstheme="minorHAnsi"/>
        </w:rPr>
        <w:t>enquiry.</w:t>
      </w:r>
      <w:r w:rsidRPr="00471FE1">
        <w:rPr>
          <w:rFonts w:asciiTheme="minorHAnsi" w:hAnsiTheme="minorHAnsi" w:cstheme="minorHAnsi"/>
        </w:rPr>
        <w:t xml:space="preserve"> </w:t>
      </w:r>
    </w:p>
    <w:p w14:paraId="0C4E8A1C" w14:textId="2AE2CEF2" w:rsidR="00093276" w:rsidRPr="00471FE1" w:rsidRDefault="00093276" w:rsidP="00093276">
      <w:pPr>
        <w:pStyle w:val="NoSpacing"/>
        <w:numPr>
          <w:ilvl w:val="0"/>
          <w:numId w:val="8"/>
        </w:numPr>
        <w:rPr>
          <w:rFonts w:asciiTheme="minorHAnsi" w:hAnsiTheme="minorHAnsi" w:cstheme="minorHAnsi"/>
        </w:rPr>
      </w:pPr>
      <w:r w:rsidRPr="00471FE1">
        <w:rPr>
          <w:rFonts w:asciiTheme="minorHAnsi" w:hAnsiTheme="minorHAnsi" w:cstheme="minorHAnsi"/>
        </w:rPr>
        <w:t xml:space="preserve">reading helps us to learn from sources beyond our immediate </w:t>
      </w:r>
      <w:r w:rsidR="007A4A08" w:rsidRPr="00471FE1">
        <w:rPr>
          <w:rFonts w:asciiTheme="minorHAnsi" w:hAnsiTheme="minorHAnsi" w:cstheme="minorHAnsi"/>
        </w:rPr>
        <w:t>experience.</w:t>
      </w:r>
      <w:r w:rsidRPr="00471FE1">
        <w:rPr>
          <w:rFonts w:asciiTheme="minorHAnsi" w:hAnsiTheme="minorHAnsi" w:cstheme="minorHAnsi"/>
        </w:rPr>
        <w:t xml:space="preserve"> </w:t>
      </w:r>
    </w:p>
    <w:p w14:paraId="3C15150F" w14:textId="2A0C5C37" w:rsidR="00093276" w:rsidRPr="00471FE1" w:rsidRDefault="00093276" w:rsidP="00093276">
      <w:pPr>
        <w:pStyle w:val="NoSpacing"/>
        <w:numPr>
          <w:ilvl w:val="0"/>
          <w:numId w:val="8"/>
        </w:numPr>
        <w:rPr>
          <w:rFonts w:asciiTheme="minorHAnsi" w:hAnsiTheme="minorHAnsi" w:cstheme="minorHAnsi"/>
        </w:rPr>
      </w:pPr>
      <w:r w:rsidRPr="00471FE1">
        <w:rPr>
          <w:rFonts w:asciiTheme="minorHAnsi" w:hAnsiTheme="minorHAnsi" w:cstheme="minorHAnsi"/>
        </w:rPr>
        <w:t xml:space="preserve">writing helps us to sustain and order our </w:t>
      </w:r>
      <w:r w:rsidR="007A4A08" w:rsidRPr="00471FE1">
        <w:rPr>
          <w:rFonts w:asciiTheme="minorHAnsi" w:hAnsiTheme="minorHAnsi" w:cstheme="minorHAnsi"/>
        </w:rPr>
        <w:t>thoughts.</w:t>
      </w:r>
      <w:r w:rsidRPr="00471FE1">
        <w:rPr>
          <w:rFonts w:asciiTheme="minorHAnsi" w:hAnsiTheme="minorHAnsi" w:cstheme="minorHAnsi"/>
        </w:rPr>
        <w:t xml:space="preserve"> </w:t>
      </w:r>
    </w:p>
    <w:p w14:paraId="0FD5C5D5" w14:textId="168D4F5D" w:rsidR="00093276" w:rsidRPr="00471FE1" w:rsidRDefault="00093276" w:rsidP="00093276">
      <w:pPr>
        <w:pStyle w:val="NoSpacing"/>
        <w:numPr>
          <w:ilvl w:val="0"/>
          <w:numId w:val="8"/>
        </w:numPr>
        <w:rPr>
          <w:rFonts w:asciiTheme="minorHAnsi" w:hAnsiTheme="minorHAnsi" w:cstheme="minorHAnsi"/>
        </w:rPr>
      </w:pPr>
      <w:r w:rsidRPr="00471FE1">
        <w:rPr>
          <w:rFonts w:asciiTheme="minorHAnsi" w:hAnsiTheme="minorHAnsi" w:cstheme="minorHAnsi"/>
        </w:rPr>
        <w:t xml:space="preserve">improving literacy and learning can have an impact on </w:t>
      </w:r>
      <w:r w:rsidR="007A4A08" w:rsidRPr="00471FE1">
        <w:rPr>
          <w:rFonts w:asciiTheme="minorHAnsi" w:hAnsiTheme="minorHAnsi" w:cstheme="minorHAnsi"/>
        </w:rPr>
        <w:t>students</w:t>
      </w:r>
      <w:r w:rsidRPr="00471FE1">
        <w:rPr>
          <w:rFonts w:asciiTheme="minorHAnsi" w:hAnsiTheme="minorHAnsi" w:cstheme="minorHAnsi"/>
        </w:rPr>
        <w:t xml:space="preserve">’ self-esteem, on motivation and behaviour; it allows them to learn </w:t>
      </w:r>
      <w:r w:rsidR="007A4A08" w:rsidRPr="00471FE1">
        <w:rPr>
          <w:rFonts w:asciiTheme="minorHAnsi" w:hAnsiTheme="minorHAnsi" w:cstheme="minorHAnsi"/>
        </w:rPr>
        <w:t>independently.</w:t>
      </w:r>
    </w:p>
    <w:p w14:paraId="171326A4" w14:textId="4EA0C875" w:rsidR="00093276" w:rsidRDefault="00093276" w:rsidP="00093276">
      <w:pPr>
        <w:pStyle w:val="NoSpacing"/>
        <w:numPr>
          <w:ilvl w:val="0"/>
          <w:numId w:val="8"/>
        </w:numPr>
        <w:rPr>
          <w:rFonts w:asciiTheme="minorHAnsi" w:hAnsiTheme="minorHAnsi" w:cstheme="minorHAnsi"/>
        </w:rPr>
      </w:pPr>
      <w:r w:rsidRPr="00471FE1">
        <w:rPr>
          <w:rFonts w:asciiTheme="minorHAnsi" w:hAnsiTheme="minorHAnsi" w:cstheme="minorHAnsi"/>
        </w:rPr>
        <w:t xml:space="preserve">literacy skills are essential to higher education and </w:t>
      </w:r>
      <w:r w:rsidR="007A4A08" w:rsidRPr="00471FE1">
        <w:rPr>
          <w:rFonts w:asciiTheme="minorHAnsi" w:hAnsiTheme="minorHAnsi" w:cstheme="minorHAnsi"/>
        </w:rPr>
        <w:t>employability.</w:t>
      </w:r>
    </w:p>
    <w:p w14:paraId="26A87CB4" w14:textId="77777777" w:rsidR="00C17ED8" w:rsidRDefault="00C17ED8" w:rsidP="00C17ED8">
      <w:pPr>
        <w:pStyle w:val="NoSpacing"/>
        <w:rPr>
          <w:rFonts w:asciiTheme="minorHAnsi" w:hAnsiTheme="minorHAnsi" w:cstheme="minorHAnsi"/>
        </w:rPr>
      </w:pPr>
    </w:p>
    <w:p w14:paraId="65AB61E4" w14:textId="6497C7B5" w:rsidR="009D46B6" w:rsidRPr="00471FE1" w:rsidRDefault="00C17ED8" w:rsidP="009D46B6">
      <w:pPr>
        <w:jc w:val="both"/>
        <w:rPr>
          <w:rFonts w:cstheme="minorHAnsi"/>
        </w:rPr>
      </w:pPr>
      <w:r w:rsidRPr="00471FE1">
        <w:rPr>
          <w:rFonts w:cstheme="minorHAnsi"/>
        </w:rPr>
        <w:t>All teachers are teachers of literacy</w:t>
      </w:r>
      <w:r>
        <w:rPr>
          <w:rFonts w:cstheme="minorHAnsi"/>
        </w:rPr>
        <w:t xml:space="preserve">, and are expected to </w:t>
      </w:r>
      <w:r w:rsidRPr="00471FE1">
        <w:rPr>
          <w:rFonts w:cstheme="minorHAnsi"/>
        </w:rPr>
        <w:t>ensure that their own speaking, listening, writing, and reading of English support students in developing their language and vocabulary well.</w:t>
      </w:r>
      <w:r w:rsidR="009D46B6">
        <w:rPr>
          <w:rFonts w:cstheme="minorHAnsi"/>
        </w:rPr>
        <w:t xml:space="preserve"> </w:t>
      </w:r>
      <w:r w:rsidR="009D46B6" w:rsidRPr="00471FE1">
        <w:rPr>
          <w:rFonts w:cstheme="minorHAnsi"/>
        </w:rPr>
        <w:t xml:space="preserve">We recognise that some staff may have SEND needs, for example in relation to dyslexia, hearing, or speech. We will ensure that colleagues are supported to model literacy if necessary and ensure that adjustments are made in line with the requirements of the Equality Act 2010. We will discuss with colleagues what adjustments or support they require and how we can support this. </w:t>
      </w:r>
    </w:p>
    <w:p w14:paraId="19A22961" w14:textId="77777777" w:rsidR="009D46B6" w:rsidRPr="00471FE1" w:rsidRDefault="009D46B6" w:rsidP="00C17ED8">
      <w:pPr>
        <w:jc w:val="both"/>
        <w:rPr>
          <w:rFonts w:cstheme="minorHAnsi"/>
        </w:rPr>
      </w:pPr>
    </w:p>
    <w:p w14:paraId="1DC9EE46" w14:textId="77777777" w:rsidR="00093276" w:rsidRPr="00471FE1" w:rsidRDefault="00093276" w:rsidP="00093276">
      <w:pPr>
        <w:pStyle w:val="ListParagraph"/>
        <w:numPr>
          <w:ilvl w:val="0"/>
          <w:numId w:val="11"/>
        </w:numPr>
        <w:jc w:val="both"/>
        <w:rPr>
          <w:rFonts w:cstheme="minorHAnsi"/>
          <w:b/>
          <w:u w:val="single"/>
        </w:rPr>
      </w:pPr>
      <w:r w:rsidRPr="00471FE1">
        <w:rPr>
          <w:rFonts w:cstheme="minorHAnsi"/>
          <w:b/>
          <w:u w:val="single"/>
        </w:rPr>
        <w:t xml:space="preserve">Skill Development </w:t>
      </w:r>
    </w:p>
    <w:p w14:paraId="66C6B9EF" w14:textId="2113C208" w:rsidR="00093276" w:rsidRPr="00780955" w:rsidRDefault="005C6ECA" w:rsidP="00093276">
      <w:pPr>
        <w:jc w:val="both"/>
        <w:rPr>
          <w:rFonts w:cstheme="minorHAnsi"/>
          <w:b/>
          <w:u w:val="single"/>
        </w:rPr>
      </w:pPr>
      <w:r w:rsidRPr="00780955">
        <w:rPr>
          <w:rFonts w:cstheme="minorHAnsi"/>
          <w:b/>
          <w:u w:val="single"/>
        </w:rPr>
        <w:t xml:space="preserve">2a. </w:t>
      </w:r>
      <w:r w:rsidR="00093276" w:rsidRPr="00780955">
        <w:rPr>
          <w:rFonts w:cstheme="minorHAnsi"/>
          <w:b/>
          <w:u w:val="single"/>
        </w:rPr>
        <w:t>Oracy</w:t>
      </w:r>
    </w:p>
    <w:p w14:paraId="7D1BB535" w14:textId="62886BA2" w:rsidR="009F73FC" w:rsidRDefault="00093276" w:rsidP="00093276">
      <w:pPr>
        <w:jc w:val="both"/>
        <w:rPr>
          <w:rFonts w:cstheme="minorHAnsi"/>
        </w:rPr>
      </w:pPr>
      <w:r w:rsidRPr="00471FE1">
        <w:rPr>
          <w:rFonts w:cstheme="minorHAnsi"/>
        </w:rPr>
        <w:t xml:space="preserve">We recognise the importance of </w:t>
      </w:r>
      <w:r w:rsidR="007A4A08" w:rsidRPr="00471FE1">
        <w:rPr>
          <w:rFonts w:cstheme="minorHAnsi"/>
        </w:rPr>
        <w:t>high-quality</w:t>
      </w:r>
      <w:r w:rsidRPr="00471FE1">
        <w:rPr>
          <w:rFonts w:cstheme="minorHAnsi"/>
        </w:rPr>
        <w:t xml:space="preserve"> discussion, questioning and dialogue with </w:t>
      </w:r>
      <w:r w:rsidR="007A4A08" w:rsidRPr="00471FE1">
        <w:rPr>
          <w:rFonts w:cstheme="minorHAnsi"/>
        </w:rPr>
        <w:t>students</w:t>
      </w:r>
      <w:r w:rsidRPr="00471FE1">
        <w:rPr>
          <w:rFonts w:cstheme="minorHAnsi"/>
        </w:rPr>
        <w:t>,</w:t>
      </w:r>
      <w:r w:rsidR="00C31615">
        <w:rPr>
          <w:rFonts w:cstheme="minorHAnsi"/>
        </w:rPr>
        <w:t xml:space="preserve"> in supporting students to</w:t>
      </w:r>
      <w:r w:rsidR="009F73FC">
        <w:rPr>
          <w:rFonts w:cstheme="minorHAnsi"/>
        </w:rPr>
        <w:t xml:space="preserve"> explore and formulate their ideas and high quality written responses. </w:t>
      </w:r>
    </w:p>
    <w:p w14:paraId="15350F9F" w14:textId="77777777" w:rsidR="00886444" w:rsidRDefault="00B00429" w:rsidP="00093276">
      <w:pPr>
        <w:jc w:val="both"/>
        <w:rPr>
          <w:rFonts w:cstheme="minorHAnsi"/>
        </w:rPr>
      </w:pPr>
      <w:r>
        <w:rPr>
          <w:rFonts w:cstheme="minorHAnsi"/>
        </w:rPr>
        <w:t xml:space="preserve">The following strategies will be used to encourage </w:t>
      </w:r>
      <w:r w:rsidR="00886444">
        <w:rPr>
          <w:rFonts w:cstheme="minorHAnsi"/>
        </w:rPr>
        <w:t xml:space="preserve">high quality and meaningful talk in the classroom: </w:t>
      </w:r>
    </w:p>
    <w:p w14:paraId="46A5D27A" w14:textId="7A4CAC98" w:rsidR="009F73FC" w:rsidRDefault="003E037A" w:rsidP="00886444">
      <w:pPr>
        <w:pStyle w:val="ListParagraph"/>
        <w:numPr>
          <w:ilvl w:val="0"/>
          <w:numId w:val="15"/>
        </w:numPr>
        <w:jc w:val="both"/>
        <w:rPr>
          <w:rFonts w:cstheme="minorHAnsi"/>
        </w:rPr>
      </w:pPr>
      <w:r>
        <w:rPr>
          <w:rFonts w:cstheme="minorHAnsi"/>
        </w:rPr>
        <w:t xml:space="preserve">Use of </w:t>
      </w:r>
      <w:r w:rsidR="00886444">
        <w:rPr>
          <w:rFonts w:cstheme="minorHAnsi"/>
        </w:rPr>
        <w:t>Think -</w:t>
      </w:r>
      <w:r w:rsidR="00077000">
        <w:rPr>
          <w:rFonts w:cstheme="minorHAnsi"/>
        </w:rPr>
        <w:t xml:space="preserve"> </w:t>
      </w:r>
      <w:r w:rsidR="00886444">
        <w:rPr>
          <w:rFonts w:cstheme="minorHAnsi"/>
        </w:rPr>
        <w:t xml:space="preserve">pair – share  </w:t>
      </w:r>
      <w:r>
        <w:rPr>
          <w:rFonts w:cstheme="minorHAnsi"/>
        </w:rPr>
        <w:t>to check</w:t>
      </w:r>
      <w:r w:rsidR="00886444">
        <w:rPr>
          <w:rFonts w:cstheme="minorHAnsi"/>
        </w:rPr>
        <w:t xml:space="preserve"> for understanding </w:t>
      </w:r>
    </w:p>
    <w:p w14:paraId="0B7C41DA" w14:textId="5D77B992" w:rsidR="00EB62C4" w:rsidRDefault="003E037A" w:rsidP="00886444">
      <w:pPr>
        <w:pStyle w:val="ListParagraph"/>
        <w:numPr>
          <w:ilvl w:val="0"/>
          <w:numId w:val="15"/>
        </w:numPr>
        <w:jc w:val="both"/>
        <w:rPr>
          <w:rFonts w:cstheme="minorHAnsi"/>
        </w:rPr>
      </w:pPr>
      <w:r>
        <w:rPr>
          <w:rFonts w:cstheme="minorHAnsi"/>
        </w:rPr>
        <w:lastRenderedPageBreak/>
        <w:t>Respond</w:t>
      </w:r>
      <w:r w:rsidR="00EB62C4">
        <w:rPr>
          <w:rFonts w:cstheme="minorHAnsi"/>
        </w:rPr>
        <w:t xml:space="preserve"> – build – challenge prompts</w:t>
      </w:r>
      <w:r w:rsidR="00AD2DE1">
        <w:rPr>
          <w:rFonts w:cstheme="minorHAnsi"/>
        </w:rPr>
        <w:t xml:space="preserve"> </w:t>
      </w:r>
      <w:r w:rsidR="00EB62C4">
        <w:rPr>
          <w:rFonts w:cstheme="minorHAnsi"/>
        </w:rPr>
        <w:t>to structure  group discussion</w:t>
      </w:r>
    </w:p>
    <w:p w14:paraId="5B9B8C15" w14:textId="7B10CA52" w:rsidR="00EB62C4" w:rsidRPr="00886444" w:rsidRDefault="00077000" w:rsidP="00886444">
      <w:pPr>
        <w:pStyle w:val="ListParagraph"/>
        <w:numPr>
          <w:ilvl w:val="0"/>
          <w:numId w:val="15"/>
        </w:numPr>
        <w:jc w:val="both"/>
        <w:rPr>
          <w:rFonts w:cstheme="minorHAnsi"/>
        </w:rPr>
      </w:pPr>
      <w:r>
        <w:rPr>
          <w:rFonts w:cstheme="minorHAnsi"/>
        </w:rPr>
        <w:t>Opportunities for group work  or to present ideas to a group or the class</w:t>
      </w:r>
    </w:p>
    <w:p w14:paraId="4107D6E4" w14:textId="01E9DF2D" w:rsidR="00093276" w:rsidRPr="00780955" w:rsidRDefault="00904C7D" w:rsidP="00093276">
      <w:pPr>
        <w:jc w:val="both"/>
        <w:rPr>
          <w:rFonts w:cstheme="minorHAnsi"/>
          <w:b/>
          <w:u w:val="single"/>
        </w:rPr>
      </w:pPr>
      <w:r w:rsidRPr="00780955">
        <w:rPr>
          <w:rFonts w:cstheme="minorHAnsi"/>
          <w:b/>
          <w:u w:val="single"/>
        </w:rPr>
        <w:t xml:space="preserve">2b. </w:t>
      </w:r>
      <w:r w:rsidR="00093276" w:rsidRPr="00780955">
        <w:rPr>
          <w:rFonts w:cstheme="minorHAnsi"/>
          <w:b/>
          <w:u w:val="single"/>
        </w:rPr>
        <w:t xml:space="preserve">Reading </w:t>
      </w:r>
    </w:p>
    <w:p w14:paraId="181B6641" w14:textId="203C1899" w:rsidR="004B7DCC" w:rsidRPr="004B7DCC" w:rsidRDefault="00853D15" w:rsidP="00093276">
      <w:pPr>
        <w:jc w:val="both"/>
        <w:rPr>
          <w:rFonts w:cstheme="minorHAnsi"/>
        </w:rPr>
      </w:pPr>
      <w:r w:rsidRPr="00471FE1">
        <w:rPr>
          <w:rFonts w:cstheme="minorHAnsi"/>
        </w:rPr>
        <w:t xml:space="preserve"> </w:t>
      </w:r>
      <w:r w:rsidR="004B1976">
        <w:rPr>
          <w:rFonts w:cstheme="minorHAnsi"/>
        </w:rPr>
        <w:t>“</w:t>
      </w:r>
      <w:r w:rsidR="004B1976" w:rsidRPr="00471FE1">
        <w:rPr>
          <w:rFonts w:cstheme="minorHAnsi"/>
        </w:rPr>
        <w:t>Wide recreational reading expands pupils’ knowledge about the world and about language, as well as their understanding of subject-specific academic and technical vocabulary.</w:t>
      </w:r>
      <w:r w:rsidR="004B1976">
        <w:rPr>
          <w:rFonts w:cstheme="minorHAnsi"/>
        </w:rPr>
        <w:t>”</w:t>
      </w:r>
      <w:r w:rsidR="004B7DCC">
        <w:rPr>
          <w:rFonts w:cstheme="minorHAnsi"/>
        </w:rPr>
        <w:t xml:space="preserve"> </w:t>
      </w:r>
      <w:hyperlink r:id="rId12" w:history="1">
        <w:r w:rsidR="004B7DCC" w:rsidRPr="004B7DCC">
          <w:rPr>
            <w:color w:val="0000FF"/>
            <w:u w:val="single"/>
          </w:rPr>
          <w:t>The reading framework</w:t>
        </w:r>
      </w:hyperlink>
    </w:p>
    <w:p w14:paraId="39D1B331" w14:textId="14F1B78D" w:rsidR="00B6207D" w:rsidRDefault="00B6207D" w:rsidP="00093276">
      <w:pPr>
        <w:jc w:val="both"/>
        <w:rPr>
          <w:rFonts w:cstheme="minorHAnsi"/>
          <w:bCs/>
        </w:rPr>
      </w:pPr>
      <w:r w:rsidRPr="00014B0B">
        <w:rPr>
          <w:rFonts w:cstheme="minorHAnsi"/>
          <w:bCs/>
        </w:rPr>
        <w:t xml:space="preserve">Reading varied texts of a suitable level for 20 minutes per day will significantly develop a student’s reading ability which will support their </w:t>
      </w:r>
      <w:r w:rsidR="00014B0B" w:rsidRPr="00014B0B">
        <w:rPr>
          <w:rFonts w:cstheme="minorHAnsi"/>
          <w:bCs/>
        </w:rPr>
        <w:t xml:space="preserve">academic progress. </w:t>
      </w:r>
    </w:p>
    <w:p w14:paraId="30C301BA" w14:textId="77777777" w:rsidR="00E04353" w:rsidRPr="00E04353" w:rsidRDefault="00E04353" w:rsidP="00014B0B">
      <w:pPr>
        <w:jc w:val="both"/>
        <w:rPr>
          <w:rFonts w:cstheme="minorHAnsi"/>
          <w:b/>
        </w:rPr>
      </w:pPr>
      <w:r w:rsidRPr="00E04353">
        <w:rPr>
          <w:rFonts w:cstheme="minorHAnsi"/>
          <w:b/>
        </w:rPr>
        <w:t xml:space="preserve">DEAR time </w:t>
      </w:r>
    </w:p>
    <w:p w14:paraId="434AF149" w14:textId="38F1D69C" w:rsidR="00216230" w:rsidRDefault="00014B0B" w:rsidP="00014B0B">
      <w:pPr>
        <w:jc w:val="both"/>
        <w:rPr>
          <w:rFonts w:cstheme="minorHAnsi"/>
          <w:bCs/>
        </w:rPr>
      </w:pPr>
      <w:r>
        <w:rPr>
          <w:rFonts w:cstheme="minorHAnsi"/>
          <w:bCs/>
        </w:rPr>
        <w:t xml:space="preserve">All students in Year 7-10 are expected to have a suitable reading book with them in school and to read for 10 minutes </w:t>
      </w:r>
      <w:r w:rsidR="00216230">
        <w:rPr>
          <w:rFonts w:cstheme="minorHAnsi"/>
          <w:bCs/>
        </w:rPr>
        <w:t xml:space="preserve">of DEAR (“drop everything and read”) </w:t>
      </w:r>
      <w:r>
        <w:rPr>
          <w:rFonts w:cstheme="minorHAnsi"/>
          <w:bCs/>
        </w:rPr>
        <w:t xml:space="preserve">at the start of tutor time. </w:t>
      </w:r>
      <w:r w:rsidR="00216230">
        <w:rPr>
          <w:rFonts w:cstheme="minorHAnsi"/>
          <w:bCs/>
        </w:rPr>
        <w:t>During the 10 m</w:t>
      </w:r>
      <w:r w:rsidR="003E5DCF">
        <w:rPr>
          <w:rFonts w:cstheme="minorHAnsi"/>
          <w:bCs/>
        </w:rPr>
        <w:t>in</w:t>
      </w:r>
      <w:r w:rsidR="00216230">
        <w:rPr>
          <w:rFonts w:cstheme="minorHAnsi"/>
          <w:bCs/>
        </w:rPr>
        <w:t xml:space="preserve">ute DEAR session at </w:t>
      </w:r>
      <w:r w:rsidR="00E8580C">
        <w:rPr>
          <w:rFonts w:cstheme="minorHAnsi"/>
          <w:bCs/>
        </w:rPr>
        <w:t>t</w:t>
      </w:r>
      <w:r w:rsidR="00216230">
        <w:rPr>
          <w:rFonts w:cstheme="minorHAnsi"/>
          <w:bCs/>
        </w:rPr>
        <w:t>he start of lesson 5, teachers may set a su</w:t>
      </w:r>
      <w:r w:rsidR="00E8580C">
        <w:rPr>
          <w:rFonts w:cstheme="minorHAnsi"/>
          <w:bCs/>
        </w:rPr>
        <w:t>bject related DEAR task or ask students to read their own reading book. Teachers are encouraged to set a short DEAR question or task to increase reading accountability</w:t>
      </w:r>
      <w:r w:rsidR="003E5DCF">
        <w:rPr>
          <w:rFonts w:cstheme="minorHAnsi"/>
          <w:bCs/>
        </w:rPr>
        <w:t xml:space="preserve">. </w:t>
      </w:r>
    </w:p>
    <w:p w14:paraId="42EC1A71" w14:textId="77777777" w:rsidR="00E04353" w:rsidRPr="00E04353" w:rsidRDefault="00E04353" w:rsidP="00014B0B">
      <w:pPr>
        <w:jc w:val="both"/>
        <w:rPr>
          <w:rFonts w:cstheme="minorHAnsi"/>
          <w:b/>
          <w:bCs/>
        </w:rPr>
      </w:pPr>
      <w:r w:rsidRPr="00E04353">
        <w:rPr>
          <w:rFonts w:cstheme="minorHAnsi"/>
          <w:b/>
          <w:bCs/>
        </w:rPr>
        <w:t>Library Lessons</w:t>
      </w:r>
    </w:p>
    <w:p w14:paraId="777D00AC" w14:textId="27F6D23C" w:rsidR="00014B0B" w:rsidRDefault="00E66F67" w:rsidP="00014B0B">
      <w:pPr>
        <w:jc w:val="both"/>
        <w:rPr>
          <w:rFonts w:cstheme="minorHAnsi"/>
        </w:rPr>
      </w:pPr>
      <w:r>
        <w:rPr>
          <w:rFonts w:cstheme="minorHAnsi"/>
        </w:rPr>
        <w:t xml:space="preserve">All students in Year 7 and 8 have a fortnightly library lesson as part of the English curriculum. This uses the STAR reading test and Accelerated Reader </w:t>
      </w:r>
      <w:proofErr w:type="spellStart"/>
      <w:r>
        <w:rPr>
          <w:rFonts w:cstheme="minorHAnsi"/>
        </w:rPr>
        <w:t>progamme</w:t>
      </w:r>
      <w:proofErr w:type="spellEnd"/>
      <w:r>
        <w:rPr>
          <w:rFonts w:cstheme="minorHAnsi"/>
        </w:rPr>
        <w:t xml:space="preserve">. </w:t>
      </w:r>
    </w:p>
    <w:p w14:paraId="1F7CA71C" w14:textId="3F58D3A9" w:rsidR="00037D82" w:rsidRDefault="00037D82" w:rsidP="00037D82">
      <w:pPr>
        <w:pStyle w:val="ListParagraph"/>
        <w:numPr>
          <w:ilvl w:val="0"/>
          <w:numId w:val="17"/>
        </w:numPr>
        <w:jc w:val="both"/>
        <w:rPr>
          <w:rFonts w:cstheme="minorHAnsi"/>
          <w:bCs/>
        </w:rPr>
      </w:pPr>
      <w:r>
        <w:rPr>
          <w:rFonts w:cstheme="minorHAnsi"/>
          <w:bCs/>
        </w:rPr>
        <w:t xml:space="preserve">Students are allocated a reading band based on the outcome of a reading comprehension test. </w:t>
      </w:r>
    </w:p>
    <w:p w14:paraId="5EBF83A2" w14:textId="4F0320F8" w:rsidR="00037D82" w:rsidRDefault="00037D82" w:rsidP="00037D82">
      <w:pPr>
        <w:pStyle w:val="ListParagraph"/>
        <w:numPr>
          <w:ilvl w:val="0"/>
          <w:numId w:val="17"/>
        </w:numPr>
        <w:jc w:val="both"/>
        <w:rPr>
          <w:rFonts w:cstheme="minorHAnsi"/>
          <w:bCs/>
        </w:rPr>
      </w:pPr>
      <w:r>
        <w:rPr>
          <w:rFonts w:cstheme="minorHAnsi"/>
          <w:bCs/>
        </w:rPr>
        <w:t xml:space="preserve">Students are </w:t>
      </w:r>
      <w:r w:rsidR="008410E8">
        <w:rPr>
          <w:rFonts w:cstheme="minorHAnsi"/>
          <w:bCs/>
        </w:rPr>
        <w:t>encouraged</w:t>
      </w:r>
      <w:r>
        <w:rPr>
          <w:rFonts w:cstheme="minorHAnsi"/>
          <w:bCs/>
        </w:rPr>
        <w:t xml:space="preserve"> to read a range of texts </w:t>
      </w:r>
      <w:r w:rsidR="008410E8">
        <w:rPr>
          <w:rFonts w:cstheme="minorHAnsi"/>
          <w:bCs/>
        </w:rPr>
        <w:t xml:space="preserve">in or around the reading band. </w:t>
      </w:r>
    </w:p>
    <w:p w14:paraId="288DF3B9" w14:textId="53409CDF" w:rsidR="008410E8" w:rsidRDefault="008410E8" w:rsidP="00037D82">
      <w:pPr>
        <w:pStyle w:val="ListParagraph"/>
        <w:numPr>
          <w:ilvl w:val="0"/>
          <w:numId w:val="17"/>
        </w:numPr>
        <w:jc w:val="both"/>
        <w:rPr>
          <w:rFonts w:cstheme="minorHAnsi"/>
          <w:bCs/>
        </w:rPr>
      </w:pPr>
      <w:r>
        <w:rPr>
          <w:rFonts w:cstheme="minorHAnsi"/>
          <w:bCs/>
        </w:rPr>
        <w:t xml:space="preserve">On completing each text, they complete a quiz to test comprehension. </w:t>
      </w:r>
    </w:p>
    <w:p w14:paraId="2182D242" w14:textId="4D6A2D73" w:rsidR="008410E8" w:rsidRPr="00037D82" w:rsidRDefault="00004065" w:rsidP="00037D82">
      <w:pPr>
        <w:pStyle w:val="ListParagraph"/>
        <w:numPr>
          <w:ilvl w:val="0"/>
          <w:numId w:val="17"/>
        </w:numPr>
        <w:jc w:val="both"/>
        <w:rPr>
          <w:rFonts w:cstheme="minorHAnsi"/>
          <w:bCs/>
        </w:rPr>
      </w:pPr>
      <w:r>
        <w:rPr>
          <w:rFonts w:cstheme="minorHAnsi"/>
          <w:bCs/>
        </w:rPr>
        <w:t>Additional interventions are put in place for students whose reading age is below their chronological age</w:t>
      </w:r>
      <w:r w:rsidR="00E04353">
        <w:rPr>
          <w:rFonts w:cstheme="minorHAnsi"/>
          <w:bCs/>
        </w:rPr>
        <w:t xml:space="preserve"> – this includes individual or group reading with an adult during library lessons for students on watch or requiring intervention. </w:t>
      </w:r>
    </w:p>
    <w:p w14:paraId="59795BD5" w14:textId="60C10400" w:rsidR="00DE5D72" w:rsidRPr="00780955" w:rsidRDefault="00DE5D72" w:rsidP="00DE5D72">
      <w:pPr>
        <w:jc w:val="both"/>
        <w:rPr>
          <w:rFonts w:cstheme="minorHAnsi"/>
          <w:b/>
          <w:bCs/>
        </w:rPr>
      </w:pPr>
      <w:r w:rsidRPr="00780955">
        <w:rPr>
          <w:rFonts w:cstheme="minorHAnsi"/>
          <w:b/>
          <w:bCs/>
        </w:rPr>
        <w:t>Disciplinary reading</w:t>
      </w:r>
    </w:p>
    <w:p w14:paraId="5866A971" w14:textId="7BBECC03" w:rsidR="00DE5D72" w:rsidRDefault="00DE5D72" w:rsidP="00DE5D72">
      <w:pPr>
        <w:jc w:val="both"/>
        <w:rPr>
          <w:rFonts w:cstheme="minorHAnsi"/>
        </w:rPr>
      </w:pPr>
      <w:r>
        <w:rPr>
          <w:rFonts w:cstheme="minorHAnsi"/>
        </w:rPr>
        <w:t xml:space="preserve">All subjects are encouraged to introduce </w:t>
      </w:r>
      <w:r w:rsidR="005803F5">
        <w:rPr>
          <w:rFonts w:cstheme="minorHAnsi"/>
        </w:rPr>
        <w:t xml:space="preserve">students to authentic, subject specific texts that </w:t>
      </w:r>
      <w:r w:rsidR="001C6362">
        <w:rPr>
          <w:rFonts w:cstheme="minorHAnsi"/>
        </w:rPr>
        <w:t xml:space="preserve">are suitably challenging, with activities that encourage them to access and interrogate the text. </w:t>
      </w:r>
    </w:p>
    <w:p w14:paraId="28AA943B" w14:textId="00B02D2B" w:rsidR="001C6362" w:rsidRPr="00DE5D72" w:rsidRDefault="001C6362" w:rsidP="00DE5D72">
      <w:pPr>
        <w:jc w:val="both"/>
        <w:rPr>
          <w:rFonts w:cstheme="minorHAnsi"/>
        </w:rPr>
      </w:pPr>
      <w:r>
        <w:rPr>
          <w:rFonts w:cstheme="minorHAnsi"/>
        </w:rPr>
        <w:t xml:space="preserve">Teachers </w:t>
      </w:r>
      <w:r w:rsidR="002F6AAA">
        <w:rPr>
          <w:rFonts w:cstheme="minorHAnsi"/>
        </w:rPr>
        <w:t xml:space="preserve">are encouraged to model reading aloud while students follow the text, and to support opportunities for students to read aloud </w:t>
      </w:r>
      <w:proofErr w:type="spellStart"/>
      <w:r w:rsidR="002F6AAA">
        <w:rPr>
          <w:rFonts w:cstheme="minorHAnsi"/>
        </w:rPr>
        <w:t>eg.</w:t>
      </w:r>
      <w:proofErr w:type="spellEnd"/>
      <w:r w:rsidR="002F6AAA">
        <w:rPr>
          <w:rFonts w:cstheme="minorHAnsi"/>
        </w:rPr>
        <w:t xml:space="preserve"> popcorn reading</w:t>
      </w:r>
      <w:r w:rsidR="00C62087">
        <w:rPr>
          <w:rFonts w:cstheme="minorHAnsi"/>
        </w:rPr>
        <w:t xml:space="preserve">, as well as to provide appropriate opportunities for students to read individually or in pairs. </w:t>
      </w:r>
    </w:p>
    <w:p w14:paraId="5EBFB12F" w14:textId="4F9B8894" w:rsidR="002F6AAA" w:rsidRPr="00780955" w:rsidRDefault="002F6AAA" w:rsidP="002F6AAA">
      <w:pPr>
        <w:jc w:val="both"/>
        <w:rPr>
          <w:rFonts w:cstheme="minorHAnsi"/>
          <w:b/>
        </w:rPr>
      </w:pPr>
      <w:r w:rsidRPr="00780955">
        <w:rPr>
          <w:rFonts w:cstheme="minorHAnsi"/>
          <w:b/>
        </w:rPr>
        <w:t>Promoting reading for pleasure</w:t>
      </w:r>
    </w:p>
    <w:p w14:paraId="7AFD4577" w14:textId="77777777" w:rsidR="002F6AAA" w:rsidRDefault="002F6AAA" w:rsidP="002F6AAA">
      <w:pPr>
        <w:jc w:val="both"/>
        <w:rPr>
          <w:rFonts w:cstheme="minorHAnsi"/>
          <w:bCs/>
        </w:rPr>
      </w:pPr>
      <w:r>
        <w:rPr>
          <w:rFonts w:cstheme="minorHAnsi"/>
          <w:bCs/>
        </w:rPr>
        <w:t xml:space="preserve">The school: </w:t>
      </w:r>
    </w:p>
    <w:p w14:paraId="615EEDED" w14:textId="77777777" w:rsidR="002F6AAA" w:rsidRDefault="002F6AAA" w:rsidP="002F6AAA">
      <w:pPr>
        <w:pStyle w:val="ListParagraph"/>
        <w:numPr>
          <w:ilvl w:val="0"/>
          <w:numId w:val="18"/>
        </w:numPr>
        <w:jc w:val="both"/>
        <w:rPr>
          <w:rFonts w:cstheme="minorHAnsi"/>
        </w:rPr>
      </w:pPr>
      <w:r w:rsidRPr="00E04353">
        <w:rPr>
          <w:rFonts w:cstheme="minorHAnsi"/>
          <w:bCs/>
        </w:rPr>
        <w:t>participate</w:t>
      </w:r>
      <w:r>
        <w:rPr>
          <w:rFonts w:cstheme="minorHAnsi"/>
          <w:bCs/>
        </w:rPr>
        <w:t>s</w:t>
      </w:r>
      <w:r w:rsidRPr="00E04353">
        <w:rPr>
          <w:rFonts w:cstheme="minorHAnsi"/>
        </w:rPr>
        <w:t xml:space="preserve"> in local and national reading for pleasure initiatives, such as Carnegie and Brilliant Book Awards</w:t>
      </w:r>
    </w:p>
    <w:p w14:paraId="11DA7524" w14:textId="77777777" w:rsidR="002F6AAA" w:rsidRPr="00E04353" w:rsidRDefault="002F6AAA" w:rsidP="002F6AAA">
      <w:pPr>
        <w:pStyle w:val="ListParagraph"/>
        <w:numPr>
          <w:ilvl w:val="0"/>
          <w:numId w:val="18"/>
        </w:numPr>
        <w:jc w:val="both"/>
        <w:rPr>
          <w:rFonts w:cstheme="minorHAnsi"/>
        </w:rPr>
      </w:pPr>
      <w:r w:rsidRPr="00E04353">
        <w:rPr>
          <w:rFonts w:cstheme="minorHAnsi"/>
        </w:rPr>
        <w:t>maintain</w:t>
      </w:r>
      <w:r>
        <w:rPr>
          <w:rFonts w:cstheme="minorHAnsi"/>
        </w:rPr>
        <w:t>s</w:t>
      </w:r>
      <w:r w:rsidRPr="00E04353">
        <w:rPr>
          <w:rFonts w:cstheme="minorHAnsi"/>
        </w:rPr>
        <w:t xml:space="preserve"> a vibrant and well-curated library stock that responds to student interests and requests.</w:t>
      </w:r>
    </w:p>
    <w:p w14:paraId="04CCA9F8" w14:textId="77777777" w:rsidR="002F6AAA" w:rsidRDefault="002F6AAA" w:rsidP="002F6AAA">
      <w:pPr>
        <w:pStyle w:val="ListParagraph"/>
        <w:numPr>
          <w:ilvl w:val="0"/>
          <w:numId w:val="12"/>
        </w:numPr>
        <w:jc w:val="both"/>
        <w:rPr>
          <w:rFonts w:cstheme="minorHAnsi"/>
        </w:rPr>
      </w:pPr>
      <w:r w:rsidRPr="00471FE1">
        <w:rPr>
          <w:rFonts w:cstheme="minorHAnsi"/>
        </w:rPr>
        <w:t>build networks with other schools within the trust to share good practice, especially at the transition from primary to secondary school.</w:t>
      </w:r>
    </w:p>
    <w:p w14:paraId="5A044C57" w14:textId="77777777" w:rsidR="009D46B6" w:rsidRPr="009D46B6" w:rsidRDefault="009D46B6" w:rsidP="009D46B6">
      <w:pPr>
        <w:spacing w:after="200" w:line="276" w:lineRule="auto"/>
        <w:jc w:val="both"/>
        <w:rPr>
          <w:rFonts w:cstheme="minorHAnsi"/>
        </w:rPr>
      </w:pPr>
    </w:p>
    <w:p w14:paraId="6C46540D" w14:textId="77777777" w:rsidR="00904C7D" w:rsidRDefault="00904C7D" w:rsidP="00093276">
      <w:pPr>
        <w:jc w:val="both"/>
        <w:rPr>
          <w:rFonts w:cstheme="minorHAnsi"/>
          <w:b/>
          <w:u w:val="single"/>
        </w:rPr>
      </w:pPr>
      <w:r w:rsidRPr="00780955">
        <w:rPr>
          <w:rFonts w:cstheme="minorHAnsi"/>
          <w:b/>
          <w:u w:val="single"/>
        </w:rPr>
        <w:t>2c. Vocabulary</w:t>
      </w:r>
    </w:p>
    <w:p w14:paraId="56A0BC1B" w14:textId="0D990B11" w:rsidR="002C22DE" w:rsidRDefault="002C22DE" w:rsidP="00093276">
      <w:pPr>
        <w:jc w:val="both"/>
        <w:rPr>
          <w:rFonts w:cstheme="minorHAnsi"/>
          <w:bCs/>
        </w:rPr>
      </w:pPr>
      <w:r w:rsidRPr="002C22DE">
        <w:rPr>
          <w:rFonts w:cstheme="minorHAnsi"/>
          <w:bCs/>
        </w:rPr>
        <w:lastRenderedPageBreak/>
        <w:t xml:space="preserve">All Curriculum areas should identify key vocabulary </w:t>
      </w:r>
      <w:r>
        <w:rPr>
          <w:rFonts w:cstheme="minorHAnsi"/>
          <w:bCs/>
        </w:rPr>
        <w:t xml:space="preserve">in each scheme of learning and actively teach, model and check for understanding of pronunciation, spelling, meaning and appropriate use. </w:t>
      </w:r>
    </w:p>
    <w:p w14:paraId="3DB8AE0B" w14:textId="630ECBE9" w:rsidR="00904C7D" w:rsidRDefault="003879B2" w:rsidP="00093276">
      <w:pPr>
        <w:jc w:val="both"/>
        <w:rPr>
          <w:rFonts w:cstheme="minorHAnsi"/>
          <w:bCs/>
        </w:rPr>
      </w:pPr>
      <w:r>
        <w:rPr>
          <w:rFonts w:cstheme="minorHAnsi"/>
          <w:bCs/>
        </w:rPr>
        <w:t xml:space="preserve">Teachers should be mindful of any Tier 2 vocabulary and check that students understand its meaning in the context of the subject, revisiting this regularly. </w:t>
      </w:r>
    </w:p>
    <w:p w14:paraId="3A6FB953" w14:textId="77777777" w:rsidR="003879B2" w:rsidRPr="003879B2" w:rsidRDefault="003879B2" w:rsidP="00093276">
      <w:pPr>
        <w:jc w:val="both"/>
        <w:rPr>
          <w:rFonts w:cstheme="minorHAnsi"/>
          <w:bCs/>
        </w:rPr>
      </w:pPr>
    </w:p>
    <w:p w14:paraId="148A450B" w14:textId="4CAF35C1" w:rsidR="00093276" w:rsidRDefault="00904C7D" w:rsidP="00093276">
      <w:pPr>
        <w:jc w:val="both"/>
        <w:rPr>
          <w:rFonts w:cstheme="minorHAnsi"/>
          <w:b/>
        </w:rPr>
      </w:pPr>
      <w:r>
        <w:rPr>
          <w:rFonts w:cstheme="minorHAnsi"/>
          <w:b/>
        </w:rPr>
        <w:t xml:space="preserve">2d. </w:t>
      </w:r>
      <w:r w:rsidR="00093276" w:rsidRPr="00471FE1">
        <w:rPr>
          <w:rFonts w:cstheme="minorHAnsi"/>
          <w:b/>
        </w:rPr>
        <w:t xml:space="preserve">Writing </w:t>
      </w:r>
    </w:p>
    <w:p w14:paraId="729839DF" w14:textId="47D2E709" w:rsidR="00CB1B69" w:rsidRDefault="004F33E0" w:rsidP="00093276">
      <w:pPr>
        <w:jc w:val="both"/>
        <w:rPr>
          <w:rFonts w:cstheme="minorHAnsi"/>
          <w:bCs/>
        </w:rPr>
      </w:pPr>
      <w:r w:rsidRPr="00AC720C">
        <w:rPr>
          <w:rFonts w:cstheme="minorHAnsi"/>
          <w:bCs/>
        </w:rPr>
        <w:t xml:space="preserve">Oracy activities, regular reading and </w:t>
      </w:r>
      <w:r w:rsidR="00AC720C" w:rsidRPr="00AC720C">
        <w:rPr>
          <w:rFonts w:cstheme="minorHAnsi"/>
          <w:bCs/>
        </w:rPr>
        <w:t xml:space="preserve">precise teaching of vocabulary will all support the development of students writing skills. </w:t>
      </w:r>
    </w:p>
    <w:p w14:paraId="3A0A04D8" w14:textId="3C2C536A" w:rsidR="00846F7C" w:rsidRDefault="00F07EB7" w:rsidP="00093276">
      <w:pPr>
        <w:jc w:val="both"/>
        <w:rPr>
          <w:rFonts w:cstheme="minorHAnsi"/>
          <w:bCs/>
        </w:rPr>
      </w:pPr>
      <w:r>
        <w:rPr>
          <w:rFonts w:cstheme="minorHAnsi"/>
          <w:bCs/>
        </w:rPr>
        <w:t>We will teach students</w:t>
      </w:r>
      <w:r w:rsidR="00846F7C">
        <w:rPr>
          <w:rFonts w:cstheme="minorHAnsi"/>
          <w:bCs/>
        </w:rPr>
        <w:t>:</w:t>
      </w:r>
    </w:p>
    <w:p w14:paraId="54B5B43A" w14:textId="77777777" w:rsidR="00846F7C" w:rsidRDefault="00F07EB7" w:rsidP="00846F7C">
      <w:pPr>
        <w:pStyle w:val="ListParagraph"/>
        <w:numPr>
          <w:ilvl w:val="0"/>
          <w:numId w:val="12"/>
        </w:numPr>
        <w:jc w:val="both"/>
        <w:rPr>
          <w:rFonts w:cstheme="minorHAnsi"/>
          <w:bCs/>
        </w:rPr>
      </w:pPr>
      <w:r w:rsidRPr="00846F7C">
        <w:rPr>
          <w:rFonts w:cstheme="minorHAnsi"/>
          <w:bCs/>
        </w:rPr>
        <w:t>to write clearly and with technical accuracy in terms of spelling, punctuation and grammar,</w:t>
      </w:r>
    </w:p>
    <w:p w14:paraId="50E96D49" w14:textId="77777777" w:rsidR="00846F7C" w:rsidRDefault="00846F7C" w:rsidP="00846F7C">
      <w:pPr>
        <w:pStyle w:val="ListParagraph"/>
        <w:numPr>
          <w:ilvl w:val="0"/>
          <w:numId w:val="12"/>
        </w:numPr>
        <w:jc w:val="both"/>
        <w:rPr>
          <w:rFonts w:cstheme="minorHAnsi"/>
          <w:bCs/>
        </w:rPr>
      </w:pPr>
      <w:r>
        <w:rPr>
          <w:rFonts w:cstheme="minorHAnsi"/>
          <w:bCs/>
        </w:rPr>
        <w:t>To draft and edit work where appropriate</w:t>
      </w:r>
    </w:p>
    <w:p w14:paraId="5E259461" w14:textId="5D05CEB1" w:rsidR="00846F7C" w:rsidRDefault="00846F7C" w:rsidP="00846F7C">
      <w:pPr>
        <w:pStyle w:val="ListParagraph"/>
        <w:numPr>
          <w:ilvl w:val="0"/>
          <w:numId w:val="12"/>
        </w:numPr>
        <w:jc w:val="both"/>
        <w:rPr>
          <w:rFonts w:cstheme="minorHAnsi"/>
          <w:bCs/>
        </w:rPr>
      </w:pPr>
      <w:r>
        <w:rPr>
          <w:rFonts w:cstheme="minorHAnsi"/>
          <w:bCs/>
        </w:rPr>
        <w:t>To write in different styles and to recognise the importance of audience</w:t>
      </w:r>
      <w:r w:rsidR="00391763">
        <w:rPr>
          <w:rFonts w:cstheme="minorHAnsi"/>
          <w:bCs/>
        </w:rPr>
        <w:t xml:space="preserve"> and purpose</w:t>
      </w:r>
    </w:p>
    <w:p w14:paraId="6FC54424" w14:textId="7FECD820" w:rsidR="00846F7C" w:rsidRDefault="00846F7C" w:rsidP="00846F7C">
      <w:pPr>
        <w:pStyle w:val="ListParagraph"/>
        <w:numPr>
          <w:ilvl w:val="0"/>
          <w:numId w:val="12"/>
        </w:numPr>
        <w:jc w:val="both"/>
        <w:rPr>
          <w:rFonts w:cstheme="minorHAnsi"/>
          <w:bCs/>
        </w:rPr>
      </w:pPr>
      <w:r>
        <w:rPr>
          <w:rFonts w:cstheme="minorHAnsi"/>
          <w:bCs/>
        </w:rPr>
        <w:t xml:space="preserve">To </w:t>
      </w:r>
      <w:r w:rsidR="00391763">
        <w:rPr>
          <w:rFonts w:cstheme="minorHAnsi"/>
          <w:bCs/>
        </w:rPr>
        <w:t xml:space="preserve">be able to </w:t>
      </w:r>
      <w:r>
        <w:rPr>
          <w:rFonts w:cstheme="minorHAnsi"/>
          <w:bCs/>
        </w:rPr>
        <w:t xml:space="preserve">summarise, write succinct responses, </w:t>
      </w:r>
      <w:r w:rsidR="00391763">
        <w:rPr>
          <w:rFonts w:cstheme="minorHAnsi"/>
          <w:bCs/>
        </w:rPr>
        <w:t xml:space="preserve">and sustained writing  </w:t>
      </w:r>
    </w:p>
    <w:p w14:paraId="5C4C4B9B" w14:textId="44403F32" w:rsidR="00AC720C" w:rsidRPr="00846F7C" w:rsidRDefault="00F07EB7" w:rsidP="00846F7C">
      <w:pPr>
        <w:pStyle w:val="ListParagraph"/>
        <w:numPr>
          <w:ilvl w:val="0"/>
          <w:numId w:val="12"/>
        </w:numPr>
        <w:jc w:val="both"/>
        <w:rPr>
          <w:rFonts w:cstheme="minorHAnsi"/>
          <w:bCs/>
        </w:rPr>
      </w:pPr>
      <w:r w:rsidRPr="00846F7C">
        <w:rPr>
          <w:rFonts w:cstheme="minorHAnsi"/>
          <w:bCs/>
        </w:rPr>
        <w:t>including encouraging and pro</w:t>
      </w:r>
    </w:p>
    <w:p w14:paraId="41764F6A" w14:textId="5FB08EC5" w:rsidR="00CB1B69" w:rsidRPr="006402BA" w:rsidRDefault="00391763" w:rsidP="00093276">
      <w:pPr>
        <w:jc w:val="both"/>
        <w:rPr>
          <w:rFonts w:cstheme="minorHAnsi"/>
          <w:bCs/>
        </w:rPr>
      </w:pPr>
      <w:r w:rsidRPr="006402BA">
        <w:rPr>
          <w:rFonts w:cstheme="minorHAnsi"/>
          <w:bCs/>
        </w:rPr>
        <w:t xml:space="preserve">Modelling and scaffolding will be used to support students. </w:t>
      </w:r>
    </w:p>
    <w:p w14:paraId="2A7385C6" w14:textId="5EBB425B" w:rsidR="00C17ED8" w:rsidRDefault="00B51AA5" w:rsidP="00AE2849">
      <w:pPr>
        <w:jc w:val="both"/>
        <w:rPr>
          <w:rFonts w:cstheme="minorHAnsi"/>
          <w:bCs/>
        </w:rPr>
      </w:pPr>
      <w:r w:rsidRPr="006402BA">
        <w:rPr>
          <w:rFonts w:cstheme="minorHAnsi"/>
          <w:bCs/>
        </w:rPr>
        <w:t>A</w:t>
      </w:r>
      <w:r w:rsidR="006402BA" w:rsidRPr="006402BA">
        <w:rPr>
          <w:rFonts w:cstheme="minorHAnsi"/>
          <w:bCs/>
        </w:rPr>
        <w:t xml:space="preserve">t </w:t>
      </w:r>
      <w:r w:rsidRPr="006402BA">
        <w:rPr>
          <w:rFonts w:cstheme="minorHAnsi"/>
          <w:bCs/>
        </w:rPr>
        <w:t xml:space="preserve">times, feedback and target tacking will focus on </w:t>
      </w:r>
      <w:r w:rsidR="006402BA" w:rsidRPr="006402BA">
        <w:rPr>
          <w:rFonts w:cstheme="minorHAnsi"/>
          <w:bCs/>
        </w:rPr>
        <w:t xml:space="preserve">improving writing, technically or in terms of style or precision. </w:t>
      </w:r>
    </w:p>
    <w:p w14:paraId="42BD52CB" w14:textId="77777777" w:rsidR="00AE2849" w:rsidRPr="00AE2849" w:rsidRDefault="00AE2849" w:rsidP="00AE2849">
      <w:pPr>
        <w:jc w:val="both"/>
        <w:rPr>
          <w:rFonts w:cstheme="minorHAnsi"/>
          <w:bCs/>
        </w:rPr>
      </w:pPr>
    </w:p>
    <w:p w14:paraId="12D57908" w14:textId="77777777" w:rsidR="00093276" w:rsidRPr="00471FE1" w:rsidRDefault="00093276" w:rsidP="00920CC2">
      <w:pPr>
        <w:pStyle w:val="ListParagraph"/>
        <w:numPr>
          <w:ilvl w:val="0"/>
          <w:numId w:val="11"/>
        </w:numPr>
        <w:rPr>
          <w:rFonts w:cstheme="minorHAnsi"/>
          <w:b/>
          <w:u w:val="single"/>
        </w:rPr>
      </w:pPr>
      <w:r w:rsidRPr="00471FE1">
        <w:rPr>
          <w:rFonts w:cstheme="minorHAnsi"/>
          <w:b/>
          <w:u w:val="single"/>
        </w:rPr>
        <w:t>Roles and Responsibilities:</w:t>
      </w:r>
    </w:p>
    <w:p w14:paraId="2290E773" w14:textId="22BB94AA" w:rsidR="00093276" w:rsidRPr="00471FE1" w:rsidRDefault="00093276" w:rsidP="00093276">
      <w:pPr>
        <w:jc w:val="both"/>
        <w:rPr>
          <w:rFonts w:cstheme="minorHAnsi"/>
        </w:rPr>
      </w:pPr>
      <w:r w:rsidRPr="00471FE1">
        <w:rPr>
          <w:rFonts w:cstheme="minorHAnsi"/>
          <w:b/>
        </w:rPr>
        <w:t xml:space="preserve">Literacy and Library TLR postholder: </w:t>
      </w:r>
      <w:r w:rsidRPr="00471FE1">
        <w:rPr>
          <w:rFonts w:cstheme="minorHAnsi"/>
        </w:rPr>
        <w:t xml:space="preserve">To lead the whole school literacy strategy, sharing strategies and approaches with all staff, and ensure that the library inspires a love of and engagement with reading for all </w:t>
      </w:r>
      <w:r w:rsidR="007A4A08" w:rsidRPr="00471FE1">
        <w:rPr>
          <w:rFonts w:cstheme="minorHAnsi"/>
        </w:rPr>
        <w:t>students.</w:t>
      </w:r>
    </w:p>
    <w:p w14:paraId="2C0BDB74" w14:textId="26C7C30D" w:rsidR="00093276" w:rsidRPr="00471FE1" w:rsidRDefault="00093276" w:rsidP="00093276">
      <w:pPr>
        <w:jc w:val="both"/>
        <w:rPr>
          <w:rFonts w:cstheme="minorHAnsi"/>
        </w:rPr>
      </w:pPr>
      <w:r w:rsidRPr="00471FE1">
        <w:rPr>
          <w:rFonts w:cstheme="minorHAnsi"/>
          <w:b/>
        </w:rPr>
        <w:t>English Faculty</w:t>
      </w:r>
      <w:r w:rsidRPr="00471FE1">
        <w:rPr>
          <w:rFonts w:cstheme="minorHAnsi"/>
        </w:rPr>
        <w:t xml:space="preserve">: provide </w:t>
      </w:r>
      <w:r w:rsidR="007A4A08" w:rsidRPr="00471FE1">
        <w:rPr>
          <w:rFonts w:cstheme="minorHAnsi"/>
        </w:rPr>
        <w:t>students</w:t>
      </w:r>
      <w:r w:rsidRPr="00471FE1">
        <w:rPr>
          <w:rFonts w:cstheme="minorHAnsi"/>
        </w:rPr>
        <w:t xml:space="preserve"> with the knowledge, skills and understanding they need to read, </w:t>
      </w:r>
      <w:r w:rsidR="007A4A08" w:rsidRPr="00471FE1">
        <w:rPr>
          <w:rFonts w:cstheme="minorHAnsi"/>
        </w:rPr>
        <w:t>write,</w:t>
      </w:r>
      <w:r w:rsidRPr="00471FE1">
        <w:rPr>
          <w:rFonts w:cstheme="minorHAnsi"/>
        </w:rPr>
        <w:t xml:space="preserve"> and speak and listen effectively. </w:t>
      </w:r>
    </w:p>
    <w:p w14:paraId="5DEEBF37" w14:textId="1BCF0DB6" w:rsidR="00093276" w:rsidRPr="00471FE1" w:rsidRDefault="00093276" w:rsidP="00636926">
      <w:pPr>
        <w:jc w:val="both"/>
        <w:rPr>
          <w:rFonts w:cstheme="minorHAnsi"/>
        </w:rPr>
      </w:pPr>
      <w:r w:rsidRPr="00471FE1">
        <w:rPr>
          <w:rFonts w:cstheme="minorHAnsi"/>
          <w:b/>
        </w:rPr>
        <w:t>Teachers across the curriculum:</w:t>
      </w:r>
      <w:r w:rsidRPr="00471FE1">
        <w:rPr>
          <w:rFonts w:cstheme="minorHAnsi"/>
        </w:rPr>
        <w:t xml:space="preserve"> provide a consistent approach to </w:t>
      </w:r>
      <w:r w:rsidR="007A4A08" w:rsidRPr="00471FE1">
        <w:rPr>
          <w:rFonts w:cstheme="minorHAnsi"/>
        </w:rPr>
        <w:t>students</w:t>
      </w:r>
      <w:r w:rsidRPr="00471FE1">
        <w:rPr>
          <w:rFonts w:cstheme="minorHAnsi"/>
        </w:rPr>
        <w:t xml:space="preserve"> in the development of language, since speaking, listening, </w:t>
      </w:r>
      <w:r w:rsidR="007A4A08" w:rsidRPr="00471FE1">
        <w:rPr>
          <w:rFonts w:cstheme="minorHAnsi"/>
        </w:rPr>
        <w:t>writing,</w:t>
      </w:r>
      <w:r w:rsidRPr="00471FE1">
        <w:rPr>
          <w:rFonts w:cstheme="minorHAnsi"/>
        </w:rPr>
        <w:t xml:space="preserve"> and reading are</w:t>
      </w:r>
      <w:r w:rsidR="00FA7732" w:rsidRPr="00471FE1">
        <w:rPr>
          <w:rFonts w:cstheme="minorHAnsi"/>
        </w:rPr>
        <w:t xml:space="preserve"> </w:t>
      </w:r>
      <w:r w:rsidRPr="00471FE1">
        <w:rPr>
          <w:rFonts w:cstheme="minorHAnsi"/>
        </w:rPr>
        <w:t xml:space="preserve">integral to all lessons.  </w:t>
      </w:r>
    </w:p>
    <w:p w14:paraId="2B2A8529" w14:textId="7780FC37" w:rsidR="00093276" w:rsidRPr="00471FE1" w:rsidRDefault="007A4A08" w:rsidP="00093276">
      <w:pPr>
        <w:jc w:val="both"/>
        <w:rPr>
          <w:rFonts w:cstheme="minorHAnsi"/>
        </w:rPr>
      </w:pPr>
      <w:r w:rsidRPr="00471FE1">
        <w:rPr>
          <w:rFonts w:cstheme="minorHAnsi"/>
          <w:b/>
        </w:rPr>
        <w:t>Students</w:t>
      </w:r>
      <w:r w:rsidR="00093276" w:rsidRPr="00471FE1">
        <w:rPr>
          <w:rFonts w:cstheme="minorHAnsi"/>
          <w:b/>
        </w:rPr>
        <w:t>:</w:t>
      </w:r>
      <w:r w:rsidR="00093276" w:rsidRPr="00471FE1">
        <w:rPr>
          <w:rFonts w:cstheme="minorHAnsi"/>
        </w:rPr>
        <w:t xml:space="preserve"> understand what strategies are being used in lessons, take increasing responsibility for recognising their own literacy needs, make improvements using such strategies and commit to reading widely outside of school. </w:t>
      </w:r>
      <w:r w:rsidRPr="00471FE1">
        <w:rPr>
          <w:rFonts w:cstheme="minorHAnsi"/>
        </w:rPr>
        <w:t>Students</w:t>
      </w:r>
      <w:r w:rsidR="00093276" w:rsidRPr="00471FE1">
        <w:rPr>
          <w:rFonts w:cstheme="minorHAnsi"/>
        </w:rPr>
        <w:t xml:space="preserve"> are to use green pen in all subjects to develop an understanding of common errors in their work and how to improve their literacy standards across all subjects regularly.</w:t>
      </w:r>
    </w:p>
    <w:p w14:paraId="19434A1E" w14:textId="77777777" w:rsidR="00093276" w:rsidRPr="00471FE1" w:rsidRDefault="00093276" w:rsidP="00093276">
      <w:pPr>
        <w:jc w:val="both"/>
        <w:rPr>
          <w:rFonts w:cstheme="minorHAnsi"/>
        </w:rPr>
      </w:pPr>
      <w:r w:rsidRPr="00471FE1">
        <w:rPr>
          <w:rFonts w:cstheme="minorHAnsi"/>
          <w:b/>
        </w:rPr>
        <w:t>Parents:</w:t>
      </w:r>
      <w:r w:rsidRPr="00471FE1">
        <w:rPr>
          <w:rFonts w:cstheme="minorHAnsi"/>
        </w:rPr>
        <w:t xml:space="preserve"> should encourage their children to read at home and write with accuracy. </w:t>
      </w:r>
    </w:p>
    <w:p w14:paraId="457F1AAB" w14:textId="77777777" w:rsidR="00093276" w:rsidRPr="00471FE1" w:rsidRDefault="00093276" w:rsidP="00093276">
      <w:pPr>
        <w:jc w:val="both"/>
        <w:rPr>
          <w:rFonts w:cstheme="minorHAnsi"/>
        </w:rPr>
      </w:pPr>
      <w:r w:rsidRPr="00471FE1">
        <w:rPr>
          <w:rFonts w:cstheme="minorHAnsi"/>
          <w:b/>
        </w:rPr>
        <w:t>SENCO:</w:t>
      </w:r>
      <w:r w:rsidRPr="00471FE1">
        <w:rPr>
          <w:rFonts w:cstheme="minorHAnsi"/>
        </w:rPr>
        <w:t xml:space="preserve"> the SENCO and Teaching Assistants will identify appropriate support for students requiring urgent intervention, and co-ordinate the process for assessment for exam access arrangements.</w:t>
      </w:r>
    </w:p>
    <w:p w14:paraId="382EEDAF" w14:textId="7625BB87" w:rsidR="00093276" w:rsidRPr="00471FE1" w:rsidRDefault="005A59B1" w:rsidP="00093276">
      <w:pPr>
        <w:autoSpaceDE w:val="0"/>
        <w:autoSpaceDN w:val="0"/>
        <w:adjustRightInd w:val="0"/>
        <w:spacing w:after="0" w:line="240" w:lineRule="auto"/>
        <w:rPr>
          <w:rFonts w:cstheme="minorHAnsi"/>
        </w:rPr>
      </w:pPr>
      <w:r w:rsidRPr="00471FE1">
        <w:rPr>
          <w:rFonts w:cstheme="minorHAnsi"/>
          <w:b/>
        </w:rPr>
        <w:t>Library Team</w:t>
      </w:r>
      <w:r w:rsidR="00093276" w:rsidRPr="00471FE1">
        <w:rPr>
          <w:rFonts w:cstheme="minorHAnsi"/>
          <w:b/>
        </w:rPr>
        <w:t>:</w:t>
      </w:r>
      <w:r w:rsidR="00093276" w:rsidRPr="00471FE1">
        <w:rPr>
          <w:rFonts w:cstheme="minorHAnsi"/>
          <w:b/>
          <w:color w:val="FF0000"/>
        </w:rPr>
        <w:t xml:space="preserve"> </w:t>
      </w:r>
      <w:r w:rsidR="00093276" w:rsidRPr="00471FE1">
        <w:rPr>
          <w:rFonts w:cstheme="minorHAnsi"/>
        </w:rPr>
        <w:t xml:space="preserve">the library is pivotal in supporting the development of literacy and provides a secure supportive working environment to develop project or research work.  The </w:t>
      </w:r>
      <w:r w:rsidRPr="00471FE1">
        <w:rPr>
          <w:rFonts w:cstheme="minorHAnsi"/>
        </w:rPr>
        <w:t>Library assistants</w:t>
      </w:r>
      <w:r w:rsidR="00093276" w:rsidRPr="00471FE1">
        <w:rPr>
          <w:rFonts w:cstheme="minorHAnsi"/>
        </w:rPr>
        <w:t xml:space="preserve"> should: </w:t>
      </w:r>
    </w:p>
    <w:p w14:paraId="7B612B10" w14:textId="77777777" w:rsidR="00093276" w:rsidRPr="00471FE1" w:rsidRDefault="00093276" w:rsidP="00093276">
      <w:pPr>
        <w:autoSpaceDE w:val="0"/>
        <w:autoSpaceDN w:val="0"/>
        <w:adjustRightInd w:val="0"/>
        <w:spacing w:after="0" w:line="240" w:lineRule="auto"/>
        <w:rPr>
          <w:rFonts w:cstheme="minorHAnsi"/>
        </w:rPr>
      </w:pPr>
    </w:p>
    <w:p w14:paraId="2E791299" w14:textId="77777777" w:rsidR="00093276" w:rsidRPr="00471FE1" w:rsidRDefault="00093276" w:rsidP="00093276">
      <w:pPr>
        <w:pStyle w:val="ListParagraph"/>
        <w:numPr>
          <w:ilvl w:val="0"/>
          <w:numId w:val="9"/>
        </w:numPr>
        <w:autoSpaceDE w:val="0"/>
        <w:autoSpaceDN w:val="0"/>
        <w:adjustRightInd w:val="0"/>
        <w:spacing w:after="0" w:line="240" w:lineRule="auto"/>
        <w:rPr>
          <w:rFonts w:cstheme="minorHAnsi"/>
        </w:rPr>
      </w:pPr>
      <w:r w:rsidRPr="00471FE1">
        <w:rPr>
          <w:rFonts w:cstheme="minorHAnsi"/>
        </w:rPr>
        <w:t>help promote reading for pleasure across the school</w:t>
      </w:r>
    </w:p>
    <w:p w14:paraId="75CB36D2" w14:textId="77777777" w:rsidR="00093276" w:rsidRPr="00471FE1" w:rsidRDefault="00093276" w:rsidP="00093276">
      <w:pPr>
        <w:pStyle w:val="ListParagraph"/>
        <w:numPr>
          <w:ilvl w:val="0"/>
          <w:numId w:val="9"/>
        </w:numPr>
        <w:spacing w:after="200" w:line="276" w:lineRule="auto"/>
        <w:jc w:val="both"/>
        <w:rPr>
          <w:rFonts w:cstheme="minorHAnsi"/>
        </w:rPr>
      </w:pPr>
      <w:r w:rsidRPr="00471FE1">
        <w:rPr>
          <w:rFonts w:cstheme="minorHAnsi"/>
        </w:rPr>
        <w:t xml:space="preserve">provide facilities and support to encourage independent reading and writing </w:t>
      </w:r>
    </w:p>
    <w:p w14:paraId="100312D3" w14:textId="2F7AE4F5" w:rsidR="00093276" w:rsidRPr="00471FE1" w:rsidRDefault="00093276" w:rsidP="00093276">
      <w:pPr>
        <w:jc w:val="both"/>
        <w:rPr>
          <w:rFonts w:cstheme="minorHAnsi"/>
        </w:rPr>
      </w:pPr>
      <w:r w:rsidRPr="00471FE1">
        <w:rPr>
          <w:rFonts w:cstheme="minorHAnsi"/>
        </w:rPr>
        <w:lastRenderedPageBreak/>
        <w:t>Each academic year, key staff will identify and implement new approaches through INSET</w:t>
      </w:r>
      <w:r w:rsidR="00B979F2" w:rsidRPr="00471FE1">
        <w:rPr>
          <w:rFonts w:cstheme="minorHAnsi"/>
        </w:rPr>
        <w:t xml:space="preserve"> and Teaching and Learning Briefings.</w:t>
      </w:r>
    </w:p>
    <w:p w14:paraId="60F5D7EE" w14:textId="4990F1CE" w:rsidR="00093276" w:rsidRDefault="00093276" w:rsidP="00093276">
      <w:pPr>
        <w:jc w:val="both"/>
        <w:rPr>
          <w:rFonts w:cstheme="minorHAnsi"/>
        </w:rPr>
      </w:pPr>
      <w:r w:rsidRPr="00471FE1">
        <w:rPr>
          <w:rFonts w:cstheme="minorHAnsi"/>
          <w:b/>
        </w:rPr>
        <w:t>Governors</w:t>
      </w:r>
      <w:r w:rsidRPr="00471FE1">
        <w:rPr>
          <w:rFonts w:cstheme="minorHAnsi"/>
        </w:rPr>
        <w:t xml:space="preserve">: governors may meet with staff and </w:t>
      </w:r>
      <w:r w:rsidR="007A4A08" w:rsidRPr="00471FE1">
        <w:rPr>
          <w:rFonts w:cstheme="minorHAnsi"/>
        </w:rPr>
        <w:t>students</w:t>
      </w:r>
      <w:r w:rsidRPr="00471FE1">
        <w:rPr>
          <w:rFonts w:cstheme="minorHAnsi"/>
        </w:rPr>
        <w:t xml:space="preserve"> (</w:t>
      </w:r>
      <w:r w:rsidR="007A4A08" w:rsidRPr="00471FE1">
        <w:rPr>
          <w:rFonts w:cstheme="minorHAnsi"/>
        </w:rPr>
        <w:t>e.g.,</w:t>
      </w:r>
      <w:r w:rsidRPr="00471FE1">
        <w:rPr>
          <w:rFonts w:cstheme="minorHAnsi"/>
        </w:rPr>
        <w:t xml:space="preserve"> at link visits) and report progress and issues to the governing body. </w:t>
      </w:r>
    </w:p>
    <w:p w14:paraId="4E0B290A" w14:textId="77777777" w:rsidR="00C82666" w:rsidRDefault="00C82666" w:rsidP="00C82666">
      <w:pPr>
        <w:jc w:val="both"/>
        <w:rPr>
          <w:rFonts w:cstheme="minorHAnsi"/>
        </w:rPr>
      </w:pPr>
    </w:p>
    <w:p w14:paraId="3A2B2DA3" w14:textId="3F24E988" w:rsidR="00093276" w:rsidRDefault="00685390" w:rsidP="00C82666">
      <w:pPr>
        <w:pStyle w:val="ListParagraph"/>
        <w:numPr>
          <w:ilvl w:val="0"/>
          <w:numId w:val="11"/>
        </w:numPr>
        <w:jc w:val="both"/>
        <w:rPr>
          <w:rFonts w:cstheme="minorHAnsi"/>
          <w:b/>
          <w:u w:val="single"/>
        </w:rPr>
      </w:pPr>
      <w:r>
        <w:rPr>
          <w:rFonts w:cstheme="minorHAnsi"/>
          <w:b/>
          <w:u w:val="single"/>
        </w:rPr>
        <w:t xml:space="preserve">Assessment  </w:t>
      </w:r>
    </w:p>
    <w:p w14:paraId="4974EB12" w14:textId="64F6AAC5" w:rsidR="00C82666" w:rsidRPr="00E50FC4" w:rsidRDefault="00C82666" w:rsidP="00C82666">
      <w:pPr>
        <w:jc w:val="both"/>
        <w:rPr>
          <w:rFonts w:cstheme="minorHAnsi"/>
          <w:bCs/>
        </w:rPr>
      </w:pPr>
      <w:r w:rsidRPr="00E50FC4">
        <w:rPr>
          <w:rFonts w:cstheme="minorHAnsi"/>
          <w:bCs/>
        </w:rPr>
        <w:t>Oracy: students oracy skills will mainly be monitored through lesson visits</w:t>
      </w:r>
      <w:r w:rsidR="00E50FC4" w:rsidRPr="00E50FC4">
        <w:rPr>
          <w:rFonts w:cstheme="minorHAnsi"/>
          <w:bCs/>
        </w:rPr>
        <w:t xml:space="preserve">. </w:t>
      </w:r>
    </w:p>
    <w:p w14:paraId="7FDE89DD" w14:textId="5AC2C30C" w:rsidR="00E50FC4" w:rsidRPr="00E50FC4" w:rsidRDefault="00E50FC4" w:rsidP="00C82666">
      <w:pPr>
        <w:jc w:val="both"/>
        <w:rPr>
          <w:rFonts w:cstheme="minorHAnsi"/>
          <w:bCs/>
        </w:rPr>
      </w:pPr>
      <w:r w:rsidRPr="00E50FC4">
        <w:rPr>
          <w:rFonts w:cstheme="minorHAnsi"/>
          <w:bCs/>
        </w:rPr>
        <w:t xml:space="preserve">Reading: STAR reading tests will be used to measure reading comprehension in Year 7-8. </w:t>
      </w:r>
    </w:p>
    <w:p w14:paraId="278ACC94" w14:textId="42A7E25C" w:rsidR="00E50FC4" w:rsidRDefault="00E50FC4" w:rsidP="00C82666">
      <w:pPr>
        <w:jc w:val="both"/>
        <w:rPr>
          <w:rFonts w:cstheme="minorHAnsi"/>
          <w:bCs/>
        </w:rPr>
      </w:pPr>
      <w:r w:rsidRPr="00E50FC4">
        <w:rPr>
          <w:rFonts w:cstheme="minorHAnsi"/>
          <w:bCs/>
        </w:rPr>
        <w:t xml:space="preserve">Vocabulary: This will mainly be assessed through subject assessment tasks. </w:t>
      </w:r>
    </w:p>
    <w:p w14:paraId="096F40ED" w14:textId="55430E11" w:rsidR="00E50FC4" w:rsidRDefault="00E50FC4" w:rsidP="00C82666">
      <w:pPr>
        <w:jc w:val="both"/>
        <w:rPr>
          <w:rFonts w:cstheme="minorHAnsi"/>
          <w:bCs/>
        </w:rPr>
      </w:pPr>
      <w:r>
        <w:rPr>
          <w:rFonts w:cstheme="minorHAnsi"/>
          <w:bCs/>
        </w:rPr>
        <w:t xml:space="preserve">Writing: </w:t>
      </w:r>
      <w:r w:rsidR="00134728">
        <w:rPr>
          <w:rFonts w:cstheme="minorHAnsi"/>
          <w:bCs/>
        </w:rPr>
        <w:t xml:space="preserve">Writing is assessed through the No More Marking tasks carried out in English lessons in Year 7 and 9. </w:t>
      </w:r>
    </w:p>
    <w:p w14:paraId="648D3836" w14:textId="74D48064" w:rsidR="00685390" w:rsidRPr="00E50FC4" w:rsidRDefault="00685390" w:rsidP="00C82666">
      <w:pPr>
        <w:jc w:val="both"/>
        <w:rPr>
          <w:rFonts w:cstheme="minorHAnsi"/>
          <w:bCs/>
        </w:rPr>
      </w:pPr>
      <w:r>
        <w:rPr>
          <w:rFonts w:cstheme="minorHAnsi"/>
          <w:bCs/>
        </w:rPr>
        <w:t xml:space="preserve">Literacy skills will all be assessed as part of the assessments carried out in each subject area. </w:t>
      </w:r>
    </w:p>
    <w:p w14:paraId="22EB1D6A" w14:textId="77777777" w:rsidR="00C82666" w:rsidRDefault="00C82666" w:rsidP="00093276">
      <w:pPr>
        <w:jc w:val="both"/>
        <w:rPr>
          <w:rFonts w:cstheme="minorHAnsi"/>
          <w:b/>
        </w:rPr>
      </w:pPr>
    </w:p>
    <w:p w14:paraId="7D4F858C" w14:textId="01E7566C" w:rsidR="00093276" w:rsidRPr="00471FE1" w:rsidRDefault="00C82666" w:rsidP="00093276">
      <w:pPr>
        <w:jc w:val="both"/>
        <w:rPr>
          <w:rFonts w:cstheme="minorHAnsi"/>
          <w:b/>
          <w:u w:val="single"/>
        </w:rPr>
      </w:pPr>
      <w:r>
        <w:rPr>
          <w:rFonts w:cstheme="minorHAnsi"/>
          <w:b/>
        </w:rPr>
        <w:t>5</w:t>
      </w:r>
      <w:r w:rsidR="00093276" w:rsidRPr="00471FE1">
        <w:rPr>
          <w:rFonts w:cstheme="minorHAnsi"/>
          <w:b/>
        </w:rPr>
        <w:t xml:space="preserve">.  </w:t>
      </w:r>
      <w:r w:rsidR="00093276" w:rsidRPr="00471FE1">
        <w:rPr>
          <w:rFonts w:cstheme="minorHAnsi"/>
          <w:b/>
          <w:u w:val="single"/>
        </w:rPr>
        <w:t>Targeted Intervention and Support</w:t>
      </w:r>
    </w:p>
    <w:p w14:paraId="0489DB55" w14:textId="7B251AC8" w:rsidR="00890669" w:rsidRDefault="00663934" w:rsidP="00093276">
      <w:pPr>
        <w:jc w:val="both"/>
        <w:rPr>
          <w:rFonts w:cstheme="minorHAnsi"/>
          <w:bCs/>
        </w:rPr>
      </w:pPr>
      <w:r w:rsidRPr="00430723">
        <w:t>KS2 reading test data and Accelerated Reader scores are use</w:t>
      </w:r>
      <w:r>
        <w:t>d</w:t>
      </w:r>
      <w:r w:rsidRPr="00430723">
        <w:t xml:space="preserve"> to identify students for urgent intervention. </w:t>
      </w:r>
      <w:r w:rsidR="002F6443">
        <w:rPr>
          <w:rFonts w:cstheme="minorHAnsi"/>
          <w:bCs/>
        </w:rPr>
        <w:t xml:space="preserve">Interventions will be graduated according to need and may include: </w:t>
      </w:r>
    </w:p>
    <w:p w14:paraId="2508FD77" w14:textId="1FFA44CD" w:rsidR="002F6443" w:rsidRDefault="00AC15A2" w:rsidP="00AC15A2">
      <w:pPr>
        <w:pStyle w:val="ListParagraph"/>
        <w:numPr>
          <w:ilvl w:val="0"/>
          <w:numId w:val="14"/>
        </w:numPr>
        <w:jc w:val="both"/>
        <w:rPr>
          <w:rFonts w:cstheme="minorHAnsi"/>
          <w:bCs/>
        </w:rPr>
      </w:pPr>
      <w:r>
        <w:rPr>
          <w:rFonts w:cstheme="minorHAnsi"/>
          <w:bCs/>
        </w:rPr>
        <w:t xml:space="preserve">Group and individual reading with active reading techniques such as prediction, </w:t>
      </w:r>
      <w:r w:rsidR="002F3388">
        <w:rPr>
          <w:rFonts w:cstheme="minorHAnsi"/>
          <w:bCs/>
        </w:rPr>
        <w:t xml:space="preserve">questions to check for understanding </w:t>
      </w:r>
      <w:r w:rsidR="00663934">
        <w:rPr>
          <w:rFonts w:cstheme="minorHAnsi"/>
          <w:bCs/>
        </w:rPr>
        <w:t>during library lessons</w:t>
      </w:r>
    </w:p>
    <w:p w14:paraId="236A52B4" w14:textId="77777777" w:rsidR="00663934" w:rsidRDefault="00663934" w:rsidP="00663934">
      <w:pPr>
        <w:pStyle w:val="ListParagraph"/>
        <w:numPr>
          <w:ilvl w:val="0"/>
          <w:numId w:val="14"/>
        </w:numPr>
        <w:spacing w:line="279" w:lineRule="auto"/>
      </w:pPr>
      <w:r>
        <w:t>Y7 TAs support 1:1 reading with students with reading ages significantly below chronological age during DEAR time daily using short comprehension books.</w:t>
      </w:r>
    </w:p>
    <w:p w14:paraId="23CEB1A9" w14:textId="77777777" w:rsidR="00663934" w:rsidRDefault="00663934" w:rsidP="00663934">
      <w:pPr>
        <w:pStyle w:val="ListParagraph"/>
        <w:numPr>
          <w:ilvl w:val="0"/>
          <w:numId w:val="14"/>
        </w:numPr>
        <w:spacing w:line="279" w:lineRule="auto"/>
      </w:pPr>
      <w:r w:rsidRPr="00430723">
        <w:t>Switch-On</w:t>
      </w:r>
      <w:r>
        <w:t>*</w:t>
      </w:r>
      <w:r w:rsidRPr="00430723">
        <w:t xml:space="preserve"> reading strategie</w:t>
      </w:r>
      <w:r>
        <w:t xml:space="preserve">s are used in 1:1 sessions for approximately 20 minutes, focusing on word recognition and language comprehension. </w:t>
      </w:r>
    </w:p>
    <w:p w14:paraId="3FF03FB3" w14:textId="77777777" w:rsidR="00663934" w:rsidRPr="00430723" w:rsidRDefault="00663934" w:rsidP="00663934">
      <w:pPr>
        <w:pStyle w:val="ListParagraph"/>
        <w:numPr>
          <w:ilvl w:val="0"/>
          <w:numId w:val="14"/>
        </w:numPr>
        <w:spacing w:line="279" w:lineRule="auto"/>
      </w:pPr>
      <w:r>
        <w:t>Literacy sessions are timetabled in the Nurture classroom to address and practise KS2 literacy skills which may not be embedded, as well as KS3 literacy skills.</w:t>
      </w:r>
    </w:p>
    <w:p w14:paraId="0F8EF76C" w14:textId="2BF971DF" w:rsidR="00663934" w:rsidRDefault="00663934" w:rsidP="00663934">
      <w:pPr>
        <w:pStyle w:val="ListParagraph"/>
        <w:numPr>
          <w:ilvl w:val="0"/>
          <w:numId w:val="14"/>
        </w:numPr>
        <w:spacing w:line="279" w:lineRule="auto"/>
      </w:pPr>
      <w:r>
        <w:t>Handwriting and touch-typing sessions run on a weekly basis to support students identified as needing additional support and practice in these written communication skills.</w:t>
      </w:r>
    </w:p>
    <w:p w14:paraId="7AB6B190" w14:textId="77777777" w:rsidR="00663934" w:rsidRDefault="00663934" w:rsidP="00663934">
      <w:pPr>
        <w:pStyle w:val="ListParagraph"/>
      </w:pPr>
    </w:p>
    <w:p w14:paraId="2D5CB7D3" w14:textId="77777777" w:rsidR="002C5063" w:rsidRDefault="002C5063" w:rsidP="002C5063">
      <w:r>
        <w:t>*Switch-On is a research-based diagnostic strategy which identifies common errors in a student’s reading, e.g. omitting words, struggling to blend - allowing the adult to target these skills.</w:t>
      </w:r>
    </w:p>
    <w:p w14:paraId="3E6F1A8D" w14:textId="77777777" w:rsidR="00176B2B" w:rsidRDefault="00176B2B" w:rsidP="002C5063"/>
    <w:p w14:paraId="72DA7333" w14:textId="6CA0C173" w:rsidR="00176B2B" w:rsidRPr="00337050" w:rsidRDefault="00176B2B" w:rsidP="00337050">
      <w:pPr>
        <w:pStyle w:val="ListParagraph"/>
        <w:numPr>
          <w:ilvl w:val="0"/>
          <w:numId w:val="21"/>
        </w:numPr>
        <w:rPr>
          <w:b/>
          <w:bCs/>
          <w:u w:val="single"/>
        </w:rPr>
      </w:pPr>
      <w:r w:rsidRPr="00337050">
        <w:rPr>
          <w:b/>
          <w:bCs/>
          <w:u w:val="single"/>
        </w:rPr>
        <w:t>Monitoring and Evaluation</w:t>
      </w:r>
    </w:p>
    <w:p w14:paraId="10C9EEC3" w14:textId="352D80E7" w:rsidR="00A40992" w:rsidRPr="00176B2B" w:rsidRDefault="00A40992" w:rsidP="002C5063">
      <w:r>
        <w:t xml:space="preserve">This policy is reviewed annually and approved by the Local Governing Body. </w:t>
      </w:r>
    </w:p>
    <w:p w14:paraId="73443BA4" w14:textId="77777777" w:rsidR="002C5063" w:rsidRPr="00994C0E" w:rsidRDefault="002C5063" w:rsidP="002C5063">
      <w:pPr>
        <w:rPr>
          <w:b/>
          <w:bCs/>
        </w:rPr>
      </w:pPr>
    </w:p>
    <w:p w14:paraId="52CE17D5" w14:textId="7B88FB5E" w:rsidR="00A62D2D" w:rsidRPr="00471FE1" w:rsidRDefault="00A62D2D" w:rsidP="00A62D2D">
      <w:pPr>
        <w:rPr>
          <w:rFonts w:cstheme="minorHAnsi"/>
        </w:rPr>
      </w:pPr>
    </w:p>
    <w:sectPr w:rsidR="00A62D2D" w:rsidRPr="00471F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4226"/>
    <w:multiLevelType w:val="hybridMultilevel"/>
    <w:tmpl w:val="FB14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97005"/>
    <w:multiLevelType w:val="hybridMultilevel"/>
    <w:tmpl w:val="8CB0CB0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 w15:restartNumberingAfterBreak="0">
    <w:nsid w:val="168351A8"/>
    <w:multiLevelType w:val="hybridMultilevel"/>
    <w:tmpl w:val="B812F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C3DA4"/>
    <w:multiLevelType w:val="hybridMultilevel"/>
    <w:tmpl w:val="0296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E3819"/>
    <w:multiLevelType w:val="hybridMultilevel"/>
    <w:tmpl w:val="EE781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2386D"/>
    <w:multiLevelType w:val="hybridMultilevel"/>
    <w:tmpl w:val="BC4C5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53F46"/>
    <w:multiLevelType w:val="hybridMultilevel"/>
    <w:tmpl w:val="36E6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D7974"/>
    <w:multiLevelType w:val="hybridMultilevel"/>
    <w:tmpl w:val="F83EF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100A0"/>
    <w:multiLevelType w:val="hybridMultilevel"/>
    <w:tmpl w:val="504C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912EE"/>
    <w:multiLevelType w:val="hybridMultilevel"/>
    <w:tmpl w:val="EE3CF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3344B9"/>
    <w:multiLevelType w:val="hybridMultilevel"/>
    <w:tmpl w:val="6D247026"/>
    <w:lvl w:ilvl="0" w:tplc="FFFFFFFF">
      <w:start w:val="1"/>
      <w:numFmt w:val="decimal"/>
      <w:lvlText w:val="%1."/>
      <w:lvlJc w:val="left"/>
      <w:pPr>
        <w:ind w:left="720" w:hanging="360"/>
      </w:pPr>
      <w:rPr>
        <w:rFonts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251A91"/>
    <w:multiLevelType w:val="hybridMultilevel"/>
    <w:tmpl w:val="C7E05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A33A1"/>
    <w:multiLevelType w:val="hybridMultilevel"/>
    <w:tmpl w:val="EE642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18618F"/>
    <w:multiLevelType w:val="hybridMultilevel"/>
    <w:tmpl w:val="F36AAD50"/>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674FA0"/>
    <w:multiLevelType w:val="hybridMultilevel"/>
    <w:tmpl w:val="D5D87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1808CB"/>
    <w:multiLevelType w:val="hybridMultilevel"/>
    <w:tmpl w:val="01F8F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DD579D"/>
    <w:multiLevelType w:val="hybridMultilevel"/>
    <w:tmpl w:val="D2F2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013B13"/>
    <w:multiLevelType w:val="hybridMultilevel"/>
    <w:tmpl w:val="4AD8AA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EB486A"/>
    <w:multiLevelType w:val="hybridMultilevel"/>
    <w:tmpl w:val="795A0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724616"/>
    <w:multiLevelType w:val="hybridMultilevel"/>
    <w:tmpl w:val="975879C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730825"/>
    <w:multiLevelType w:val="hybridMultilevel"/>
    <w:tmpl w:val="34C6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6641186">
    <w:abstractNumId w:val="7"/>
  </w:num>
  <w:num w:numId="2" w16cid:durableId="1077361414">
    <w:abstractNumId w:val="12"/>
  </w:num>
  <w:num w:numId="3" w16cid:durableId="2068723067">
    <w:abstractNumId w:val="5"/>
  </w:num>
  <w:num w:numId="4" w16cid:durableId="473453081">
    <w:abstractNumId w:val="9"/>
  </w:num>
  <w:num w:numId="5" w16cid:durableId="1746686682">
    <w:abstractNumId w:val="3"/>
  </w:num>
  <w:num w:numId="6" w16cid:durableId="1137650809">
    <w:abstractNumId w:val="20"/>
  </w:num>
  <w:num w:numId="7" w16cid:durableId="1153066710">
    <w:abstractNumId w:val="6"/>
  </w:num>
  <w:num w:numId="8" w16cid:durableId="125783201">
    <w:abstractNumId w:val="2"/>
  </w:num>
  <w:num w:numId="9" w16cid:durableId="1199465729">
    <w:abstractNumId w:val="8"/>
  </w:num>
  <w:num w:numId="10" w16cid:durableId="46339500">
    <w:abstractNumId w:val="15"/>
  </w:num>
  <w:num w:numId="11" w16cid:durableId="1600064916">
    <w:abstractNumId w:val="13"/>
  </w:num>
  <w:num w:numId="12" w16cid:durableId="1648168785">
    <w:abstractNumId w:val="4"/>
  </w:num>
  <w:num w:numId="13" w16cid:durableId="1325669956">
    <w:abstractNumId w:val="17"/>
  </w:num>
  <w:num w:numId="14" w16cid:durableId="1998990274">
    <w:abstractNumId w:val="18"/>
  </w:num>
  <w:num w:numId="15" w16cid:durableId="1646666140">
    <w:abstractNumId w:val="1"/>
  </w:num>
  <w:num w:numId="16" w16cid:durableId="808089935">
    <w:abstractNumId w:val="10"/>
  </w:num>
  <w:num w:numId="17" w16cid:durableId="103500667">
    <w:abstractNumId w:val="14"/>
  </w:num>
  <w:num w:numId="18" w16cid:durableId="869100987">
    <w:abstractNumId w:val="16"/>
  </w:num>
  <w:num w:numId="19" w16cid:durableId="45759800">
    <w:abstractNumId w:val="11"/>
  </w:num>
  <w:num w:numId="20" w16cid:durableId="350956002">
    <w:abstractNumId w:val="0"/>
  </w:num>
  <w:num w:numId="21" w16cid:durableId="20444726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276"/>
    <w:rsid w:val="0000364C"/>
    <w:rsid w:val="00004065"/>
    <w:rsid w:val="00014B0B"/>
    <w:rsid w:val="00037D82"/>
    <w:rsid w:val="000471D5"/>
    <w:rsid w:val="00065ECF"/>
    <w:rsid w:val="00077000"/>
    <w:rsid w:val="00093276"/>
    <w:rsid w:val="000A4AF9"/>
    <w:rsid w:val="000B3BC4"/>
    <w:rsid w:val="000D171F"/>
    <w:rsid w:val="00100EFD"/>
    <w:rsid w:val="00134728"/>
    <w:rsid w:val="00140744"/>
    <w:rsid w:val="00150EF5"/>
    <w:rsid w:val="0016697C"/>
    <w:rsid w:val="00173E75"/>
    <w:rsid w:val="00176B2B"/>
    <w:rsid w:val="001A4CF4"/>
    <w:rsid w:val="001B70EA"/>
    <w:rsid w:val="001C6362"/>
    <w:rsid w:val="00216230"/>
    <w:rsid w:val="002302C0"/>
    <w:rsid w:val="0024168C"/>
    <w:rsid w:val="002C22DE"/>
    <w:rsid w:val="002C2DE2"/>
    <w:rsid w:val="002C5063"/>
    <w:rsid w:val="002C5E1D"/>
    <w:rsid w:val="002F3388"/>
    <w:rsid w:val="002F6443"/>
    <w:rsid w:val="002F6AAA"/>
    <w:rsid w:val="00322910"/>
    <w:rsid w:val="00327F0A"/>
    <w:rsid w:val="00337050"/>
    <w:rsid w:val="003879B2"/>
    <w:rsid w:val="00391763"/>
    <w:rsid w:val="003A76B1"/>
    <w:rsid w:val="003E037A"/>
    <w:rsid w:val="003E5DCF"/>
    <w:rsid w:val="00401DDF"/>
    <w:rsid w:val="00461E15"/>
    <w:rsid w:val="00471FE1"/>
    <w:rsid w:val="004B1976"/>
    <w:rsid w:val="004B7DCC"/>
    <w:rsid w:val="004D587D"/>
    <w:rsid w:val="004F33E0"/>
    <w:rsid w:val="005803F5"/>
    <w:rsid w:val="00584A21"/>
    <w:rsid w:val="005A59B1"/>
    <w:rsid w:val="005B0D8C"/>
    <w:rsid w:val="005C6ECA"/>
    <w:rsid w:val="005D5828"/>
    <w:rsid w:val="00602AEC"/>
    <w:rsid w:val="00616136"/>
    <w:rsid w:val="00636926"/>
    <w:rsid w:val="006402BA"/>
    <w:rsid w:val="00663934"/>
    <w:rsid w:val="00675286"/>
    <w:rsid w:val="00685390"/>
    <w:rsid w:val="00687FC5"/>
    <w:rsid w:val="006C07FC"/>
    <w:rsid w:val="006C5FC8"/>
    <w:rsid w:val="006D3DA9"/>
    <w:rsid w:val="006E5C17"/>
    <w:rsid w:val="006F25E0"/>
    <w:rsid w:val="00724BE2"/>
    <w:rsid w:val="00780955"/>
    <w:rsid w:val="0079009F"/>
    <w:rsid w:val="007A4A08"/>
    <w:rsid w:val="007A743E"/>
    <w:rsid w:val="007B088B"/>
    <w:rsid w:val="007B309E"/>
    <w:rsid w:val="007C57C6"/>
    <w:rsid w:val="007E4FCB"/>
    <w:rsid w:val="007F7F59"/>
    <w:rsid w:val="008074A0"/>
    <w:rsid w:val="008110DE"/>
    <w:rsid w:val="00832F6F"/>
    <w:rsid w:val="008410E8"/>
    <w:rsid w:val="00846F7C"/>
    <w:rsid w:val="00853D15"/>
    <w:rsid w:val="00886444"/>
    <w:rsid w:val="00890669"/>
    <w:rsid w:val="008A58F4"/>
    <w:rsid w:val="008D4E72"/>
    <w:rsid w:val="00904C7D"/>
    <w:rsid w:val="009128D2"/>
    <w:rsid w:val="00920CC2"/>
    <w:rsid w:val="00926D48"/>
    <w:rsid w:val="00993ABE"/>
    <w:rsid w:val="009C0D63"/>
    <w:rsid w:val="009D46B6"/>
    <w:rsid w:val="009D4CB8"/>
    <w:rsid w:val="009F73FC"/>
    <w:rsid w:val="00A40992"/>
    <w:rsid w:val="00A62D2D"/>
    <w:rsid w:val="00A64CD6"/>
    <w:rsid w:val="00AA53CA"/>
    <w:rsid w:val="00AB7611"/>
    <w:rsid w:val="00AC15A2"/>
    <w:rsid w:val="00AC720C"/>
    <w:rsid w:val="00AD2DE1"/>
    <w:rsid w:val="00AE2849"/>
    <w:rsid w:val="00B00429"/>
    <w:rsid w:val="00B213DB"/>
    <w:rsid w:val="00B461BB"/>
    <w:rsid w:val="00B51AA5"/>
    <w:rsid w:val="00B6207D"/>
    <w:rsid w:val="00B93077"/>
    <w:rsid w:val="00B979F2"/>
    <w:rsid w:val="00C01BA1"/>
    <w:rsid w:val="00C17ED8"/>
    <w:rsid w:val="00C31615"/>
    <w:rsid w:val="00C45C0C"/>
    <w:rsid w:val="00C62087"/>
    <w:rsid w:val="00C82666"/>
    <w:rsid w:val="00CB1B69"/>
    <w:rsid w:val="00CC5453"/>
    <w:rsid w:val="00D442F0"/>
    <w:rsid w:val="00D81CBB"/>
    <w:rsid w:val="00DE0EBF"/>
    <w:rsid w:val="00DE5D72"/>
    <w:rsid w:val="00E04353"/>
    <w:rsid w:val="00E36945"/>
    <w:rsid w:val="00E406D7"/>
    <w:rsid w:val="00E50FC4"/>
    <w:rsid w:val="00E66F67"/>
    <w:rsid w:val="00E70CC1"/>
    <w:rsid w:val="00E8580C"/>
    <w:rsid w:val="00E85C3A"/>
    <w:rsid w:val="00EB62C4"/>
    <w:rsid w:val="00EE135A"/>
    <w:rsid w:val="00F07EB7"/>
    <w:rsid w:val="00F756B9"/>
    <w:rsid w:val="00F804C9"/>
    <w:rsid w:val="00FA7732"/>
    <w:rsid w:val="00FC5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5B5ED"/>
  <w15:chartTrackingRefBased/>
  <w15:docId w15:val="{D9E48962-A6A3-438B-BF62-A6B0E843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276"/>
    <w:pPr>
      <w:ind w:left="720"/>
      <w:contextualSpacing/>
    </w:pPr>
  </w:style>
  <w:style w:type="paragraph" w:styleId="NoSpacing">
    <w:name w:val="No Spacing"/>
    <w:uiPriority w:val="1"/>
    <w:qFormat/>
    <w:rsid w:val="00093276"/>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F804C9"/>
    <w:rPr>
      <w:color w:val="0563C1" w:themeColor="hyperlink"/>
      <w:u w:val="single"/>
    </w:rPr>
  </w:style>
  <w:style w:type="character" w:styleId="UnresolvedMention">
    <w:name w:val="Unresolved Mention"/>
    <w:basedOn w:val="DefaultParagraphFont"/>
    <w:uiPriority w:val="99"/>
    <w:semiHidden/>
    <w:unhideWhenUsed/>
    <w:rsid w:val="00F804C9"/>
    <w:rPr>
      <w:color w:val="605E5C"/>
      <w:shd w:val="clear" w:color="auto" w:fill="E1DFDD"/>
    </w:rPr>
  </w:style>
  <w:style w:type="character" w:styleId="FollowedHyperlink">
    <w:name w:val="FollowedHyperlink"/>
    <w:basedOn w:val="DefaultParagraphFont"/>
    <w:uiPriority w:val="99"/>
    <w:semiHidden/>
    <w:unhideWhenUsed/>
    <w:rsid w:val="00602AEC"/>
    <w:rPr>
      <w:color w:val="954F72" w:themeColor="followedHyperlink"/>
      <w:u w:val="single"/>
    </w:rPr>
  </w:style>
  <w:style w:type="paragraph" w:customStyle="1" w:styleId="paragraph">
    <w:name w:val="paragraph"/>
    <w:basedOn w:val="Normal"/>
    <w:rsid w:val="000D17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D171F"/>
  </w:style>
  <w:style w:type="character" w:customStyle="1" w:styleId="eop">
    <w:name w:val="eop"/>
    <w:basedOn w:val="DefaultParagraphFont"/>
    <w:rsid w:val="000D171F"/>
  </w:style>
  <w:style w:type="character" w:customStyle="1" w:styleId="xelementtoproof">
    <w:name w:val="x_elementtoproof"/>
    <w:basedOn w:val="DefaultParagraphFont"/>
    <w:rsid w:val="00E406D7"/>
  </w:style>
  <w:style w:type="table" w:styleId="TableGrid">
    <w:name w:val="Table Grid"/>
    <w:basedOn w:val="TableNormal"/>
    <w:rsid w:val="007A4A0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81427">
      <w:bodyDiv w:val="1"/>
      <w:marLeft w:val="0"/>
      <w:marRight w:val="0"/>
      <w:marTop w:val="0"/>
      <w:marBottom w:val="0"/>
      <w:divBdr>
        <w:top w:val="none" w:sz="0" w:space="0" w:color="auto"/>
        <w:left w:val="none" w:sz="0" w:space="0" w:color="auto"/>
        <w:bottom w:val="none" w:sz="0" w:space="0" w:color="auto"/>
        <w:right w:val="none" w:sz="0" w:space="0" w:color="auto"/>
      </w:divBdr>
      <w:divsChild>
        <w:div w:id="137309336">
          <w:marLeft w:val="0"/>
          <w:marRight w:val="0"/>
          <w:marTop w:val="0"/>
          <w:marBottom w:val="0"/>
          <w:divBdr>
            <w:top w:val="none" w:sz="0" w:space="0" w:color="auto"/>
            <w:left w:val="none" w:sz="0" w:space="0" w:color="auto"/>
            <w:bottom w:val="none" w:sz="0" w:space="0" w:color="auto"/>
            <w:right w:val="none" w:sz="0" w:space="0" w:color="auto"/>
          </w:divBdr>
        </w:div>
        <w:div w:id="1389375946">
          <w:marLeft w:val="0"/>
          <w:marRight w:val="0"/>
          <w:marTop w:val="0"/>
          <w:marBottom w:val="0"/>
          <w:divBdr>
            <w:top w:val="none" w:sz="0" w:space="0" w:color="auto"/>
            <w:left w:val="none" w:sz="0" w:space="0" w:color="auto"/>
            <w:bottom w:val="none" w:sz="0" w:space="0" w:color="auto"/>
            <w:right w:val="none" w:sz="0" w:space="0" w:color="auto"/>
          </w:divBdr>
        </w:div>
      </w:divsChild>
    </w:div>
    <w:div w:id="559563283">
      <w:bodyDiv w:val="1"/>
      <w:marLeft w:val="0"/>
      <w:marRight w:val="0"/>
      <w:marTop w:val="0"/>
      <w:marBottom w:val="0"/>
      <w:divBdr>
        <w:top w:val="none" w:sz="0" w:space="0" w:color="auto"/>
        <w:left w:val="none" w:sz="0" w:space="0" w:color="auto"/>
        <w:bottom w:val="none" w:sz="0" w:space="0" w:color="auto"/>
        <w:right w:val="none" w:sz="0" w:space="0" w:color="auto"/>
      </w:divBdr>
      <w:divsChild>
        <w:div w:id="233053545">
          <w:marLeft w:val="0"/>
          <w:marRight w:val="0"/>
          <w:marTop w:val="0"/>
          <w:marBottom w:val="0"/>
          <w:divBdr>
            <w:top w:val="none" w:sz="0" w:space="0" w:color="auto"/>
            <w:left w:val="none" w:sz="0" w:space="0" w:color="auto"/>
            <w:bottom w:val="none" w:sz="0" w:space="0" w:color="auto"/>
            <w:right w:val="none" w:sz="0" w:space="0" w:color="auto"/>
          </w:divBdr>
        </w:div>
        <w:div w:id="1590506709">
          <w:marLeft w:val="0"/>
          <w:marRight w:val="0"/>
          <w:marTop w:val="0"/>
          <w:marBottom w:val="0"/>
          <w:divBdr>
            <w:top w:val="none" w:sz="0" w:space="0" w:color="auto"/>
            <w:left w:val="none" w:sz="0" w:space="0" w:color="auto"/>
            <w:bottom w:val="none" w:sz="0" w:space="0" w:color="auto"/>
            <w:right w:val="none" w:sz="0" w:space="0" w:color="auto"/>
          </w:divBdr>
        </w:div>
        <w:div w:id="1785424891">
          <w:marLeft w:val="0"/>
          <w:marRight w:val="0"/>
          <w:marTop w:val="0"/>
          <w:marBottom w:val="0"/>
          <w:divBdr>
            <w:top w:val="none" w:sz="0" w:space="0" w:color="auto"/>
            <w:left w:val="none" w:sz="0" w:space="0" w:color="auto"/>
            <w:bottom w:val="none" w:sz="0" w:space="0" w:color="auto"/>
            <w:right w:val="none" w:sz="0" w:space="0" w:color="auto"/>
          </w:divBdr>
        </w:div>
      </w:divsChild>
    </w:div>
    <w:div w:id="690645237">
      <w:bodyDiv w:val="1"/>
      <w:marLeft w:val="0"/>
      <w:marRight w:val="0"/>
      <w:marTop w:val="0"/>
      <w:marBottom w:val="0"/>
      <w:divBdr>
        <w:top w:val="none" w:sz="0" w:space="0" w:color="auto"/>
        <w:left w:val="none" w:sz="0" w:space="0" w:color="auto"/>
        <w:bottom w:val="none" w:sz="0" w:space="0" w:color="auto"/>
        <w:right w:val="none" w:sz="0" w:space="0" w:color="auto"/>
      </w:divBdr>
      <w:divsChild>
        <w:div w:id="1032340062">
          <w:marLeft w:val="0"/>
          <w:marRight w:val="0"/>
          <w:marTop w:val="0"/>
          <w:marBottom w:val="0"/>
          <w:divBdr>
            <w:top w:val="none" w:sz="0" w:space="0" w:color="auto"/>
            <w:left w:val="none" w:sz="0" w:space="0" w:color="auto"/>
            <w:bottom w:val="none" w:sz="0" w:space="0" w:color="auto"/>
            <w:right w:val="none" w:sz="0" w:space="0" w:color="auto"/>
          </w:divBdr>
        </w:div>
        <w:div w:id="1007560448">
          <w:marLeft w:val="0"/>
          <w:marRight w:val="0"/>
          <w:marTop w:val="0"/>
          <w:marBottom w:val="0"/>
          <w:divBdr>
            <w:top w:val="none" w:sz="0" w:space="0" w:color="auto"/>
            <w:left w:val="none" w:sz="0" w:space="0" w:color="auto"/>
            <w:bottom w:val="none" w:sz="0" w:space="0" w:color="auto"/>
            <w:right w:val="none" w:sz="0" w:space="0" w:color="auto"/>
          </w:divBdr>
        </w:div>
        <w:div w:id="1219980181">
          <w:marLeft w:val="0"/>
          <w:marRight w:val="0"/>
          <w:marTop w:val="0"/>
          <w:marBottom w:val="0"/>
          <w:divBdr>
            <w:top w:val="none" w:sz="0" w:space="0" w:color="auto"/>
            <w:left w:val="none" w:sz="0" w:space="0" w:color="auto"/>
            <w:bottom w:val="none" w:sz="0" w:space="0" w:color="auto"/>
            <w:right w:val="none" w:sz="0" w:space="0" w:color="auto"/>
          </w:divBdr>
        </w:div>
        <w:div w:id="1573732442">
          <w:marLeft w:val="0"/>
          <w:marRight w:val="0"/>
          <w:marTop w:val="0"/>
          <w:marBottom w:val="0"/>
          <w:divBdr>
            <w:top w:val="none" w:sz="0" w:space="0" w:color="auto"/>
            <w:left w:val="none" w:sz="0" w:space="0" w:color="auto"/>
            <w:bottom w:val="none" w:sz="0" w:space="0" w:color="auto"/>
            <w:right w:val="none" w:sz="0" w:space="0" w:color="auto"/>
          </w:divBdr>
        </w:div>
        <w:div w:id="1549757651">
          <w:marLeft w:val="0"/>
          <w:marRight w:val="0"/>
          <w:marTop w:val="0"/>
          <w:marBottom w:val="0"/>
          <w:divBdr>
            <w:top w:val="none" w:sz="0" w:space="0" w:color="auto"/>
            <w:left w:val="none" w:sz="0" w:space="0" w:color="auto"/>
            <w:bottom w:val="none" w:sz="0" w:space="0" w:color="auto"/>
            <w:right w:val="none" w:sz="0" w:space="0" w:color="auto"/>
          </w:divBdr>
        </w:div>
        <w:div w:id="22217010">
          <w:marLeft w:val="0"/>
          <w:marRight w:val="0"/>
          <w:marTop w:val="0"/>
          <w:marBottom w:val="0"/>
          <w:divBdr>
            <w:top w:val="none" w:sz="0" w:space="0" w:color="auto"/>
            <w:left w:val="none" w:sz="0" w:space="0" w:color="auto"/>
            <w:bottom w:val="none" w:sz="0" w:space="0" w:color="auto"/>
            <w:right w:val="none" w:sz="0" w:space="0" w:color="auto"/>
          </w:divBdr>
        </w:div>
        <w:div w:id="1679117984">
          <w:marLeft w:val="0"/>
          <w:marRight w:val="0"/>
          <w:marTop w:val="0"/>
          <w:marBottom w:val="0"/>
          <w:divBdr>
            <w:top w:val="none" w:sz="0" w:space="0" w:color="auto"/>
            <w:left w:val="none" w:sz="0" w:space="0" w:color="auto"/>
            <w:bottom w:val="none" w:sz="0" w:space="0" w:color="auto"/>
            <w:right w:val="none" w:sz="0" w:space="0" w:color="auto"/>
          </w:divBdr>
        </w:div>
        <w:div w:id="1634603457">
          <w:marLeft w:val="0"/>
          <w:marRight w:val="0"/>
          <w:marTop w:val="0"/>
          <w:marBottom w:val="0"/>
          <w:divBdr>
            <w:top w:val="none" w:sz="0" w:space="0" w:color="auto"/>
            <w:left w:val="none" w:sz="0" w:space="0" w:color="auto"/>
            <w:bottom w:val="none" w:sz="0" w:space="0" w:color="auto"/>
            <w:right w:val="none" w:sz="0" w:space="0" w:color="auto"/>
          </w:divBdr>
        </w:div>
        <w:div w:id="516962988">
          <w:marLeft w:val="0"/>
          <w:marRight w:val="0"/>
          <w:marTop w:val="0"/>
          <w:marBottom w:val="0"/>
          <w:divBdr>
            <w:top w:val="none" w:sz="0" w:space="0" w:color="auto"/>
            <w:left w:val="none" w:sz="0" w:space="0" w:color="auto"/>
            <w:bottom w:val="none" w:sz="0" w:space="0" w:color="auto"/>
            <w:right w:val="none" w:sz="0" w:space="0" w:color="auto"/>
          </w:divBdr>
        </w:div>
        <w:div w:id="2112511607">
          <w:marLeft w:val="0"/>
          <w:marRight w:val="0"/>
          <w:marTop w:val="0"/>
          <w:marBottom w:val="0"/>
          <w:divBdr>
            <w:top w:val="none" w:sz="0" w:space="0" w:color="auto"/>
            <w:left w:val="none" w:sz="0" w:space="0" w:color="auto"/>
            <w:bottom w:val="none" w:sz="0" w:space="0" w:color="auto"/>
            <w:right w:val="none" w:sz="0" w:space="0" w:color="auto"/>
          </w:divBdr>
        </w:div>
        <w:div w:id="432170522">
          <w:marLeft w:val="0"/>
          <w:marRight w:val="0"/>
          <w:marTop w:val="0"/>
          <w:marBottom w:val="0"/>
          <w:divBdr>
            <w:top w:val="none" w:sz="0" w:space="0" w:color="auto"/>
            <w:left w:val="none" w:sz="0" w:space="0" w:color="auto"/>
            <w:bottom w:val="none" w:sz="0" w:space="0" w:color="auto"/>
            <w:right w:val="none" w:sz="0" w:space="0" w:color="auto"/>
          </w:divBdr>
        </w:div>
        <w:div w:id="485511028">
          <w:marLeft w:val="0"/>
          <w:marRight w:val="0"/>
          <w:marTop w:val="0"/>
          <w:marBottom w:val="0"/>
          <w:divBdr>
            <w:top w:val="none" w:sz="0" w:space="0" w:color="auto"/>
            <w:left w:val="none" w:sz="0" w:space="0" w:color="auto"/>
            <w:bottom w:val="none" w:sz="0" w:space="0" w:color="auto"/>
            <w:right w:val="none" w:sz="0" w:space="0" w:color="auto"/>
          </w:divBdr>
        </w:div>
        <w:div w:id="862326002">
          <w:marLeft w:val="0"/>
          <w:marRight w:val="0"/>
          <w:marTop w:val="0"/>
          <w:marBottom w:val="0"/>
          <w:divBdr>
            <w:top w:val="none" w:sz="0" w:space="0" w:color="auto"/>
            <w:left w:val="none" w:sz="0" w:space="0" w:color="auto"/>
            <w:bottom w:val="none" w:sz="0" w:space="0" w:color="auto"/>
            <w:right w:val="none" w:sz="0" w:space="0" w:color="auto"/>
          </w:divBdr>
        </w:div>
        <w:div w:id="1020277632">
          <w:marLeft w:val="0"/>
          <w:marRight w:val="0"/>
          <w:marTop w:val="0"/>
          <w:marBottom w:val="0"/>
          <w:divBdr>
            <w:top w:val="none" w:sz="0" w:space="0" w:color="auto"/>
            <w:left w:val="none" w:sz="0" w:space="0" w:color="auto"/>
            <w:bottom w:val="none" w:sz="0" w:space="0" w:color="auto"/>
            <w:right w:val="none" w:sz="0" w:space="0" w:color="auto"/>
          </w:divBdr>
        </w:div>
        <w:div w:id="1021586794">
          <w:marLeft w:val="0"/>
          <w:marRight w:val="0"/>
          <w:marTop w:val="0"/>
          <w:marBottom w:val="0"/>
          <w:divBdr>
            <w:top w:val="none" w:sz="0" w:space="0" w:color="auto"/>
            <w:left w:val="none" w:sz="0" w:space="0" w:color="auto"/>
            <w:bottom w:val="none" w:sz="0" w:space="0" w:color="auto"/>
            <w:right w:val="none" w:sz="0" w:space="0" w:color="auto"/>
          </w:divBdr>
        </w:div>
        <w:div w:id="1328904678">
          <w:marLeft w:val="0"/>
          <w:marRight w:val="0"/>
          <w:marTop w:val="0"/>
          <w:marBottom w:val="0"/>
          <w:divBdr>
            <w:top w:val="none" w:sz="0" w:space="0" w:color="auto"/>
            <w:left w:val="none" w:sz="0" w:space="0" w:color="auto"/>
            <w:bottom w:val="none" w:sz="0" w:space="0" w:color="auto"/>
            <w:right w:val="none" w:sz="0" w:space="0" w:color="auto"/>
          </w:divBdr>
        </w:div>
        <w:div w:id="481430294">
          <w:marLeft w:val="0"/>
          <w:marRight w:val="0"/>
          <w:marTop w:val="0"/>
          <w:marBottom w:val="0"/>
          <w:divBdr>
            <w:top w:val="none" w:sz="0" w:space="0" w:color="auto"/>
            <w:left w:val="none" w:sz="0" w:space="0" w:color="auto"/>
            <w:bottom w:val="none" w:sz="0" w:space="0" w:color="auto"/>
            <w:right w:val="none" w:sz="0" w:space="0" w:color="auto"/>
          </w:divBdr>
        </w:div>
        <w:div w:id="1655916218">
          <w:marLeft w:val="0"/>
          <w:marRight w:val="0"/>
          <w:marTop w:val="0"/>
          <w:marBottom w:val="0"/>
          <w:divBdr>
            <w:top w:val="none" w:sz="0" w:space="0" w:color="auto"/>
            <w:left w:val="none" w:sz="0" w:space="0" w:color="auto"/>
            <w:bottom w:val="none" w:sz="0" w:space="0" w:color="auto"/>
            <w:right w:val="none" w:sz="0" w:space="0" w:color="auto"/>
          </w:divBdr>
        </w:div>
        <w:div w:id="1994066991">
          <w:marLeft w:val="0"/>
          <w:marRight w:val="0"/>
          <w:marTop w:val="0"/>
          <w:marBottom w:val="0"/>
          <w:divBdr>
            <w:top w:val="none" w:sz="0" w:space="0" w:color="auto"/>
            <w:left w:val="none" w:sz="0" w:space="0" w:color="auto"/>
            <w:bottom w:val="none" w:sz="0" w:space="0" w:color="auto"/>
            <w:right w:val="none" w:sz="0" w:space="0" w:color="auto"/>
          </w:divBdr>
        </w:div>
        <w:div w:id="4255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media/664f600c05e5fe28788fc437/The_reading_framework_.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5a750668ed915d3c7d529cad/Teachers_standard_information.pdf" TargetMode="External"/><Relationship Id="rId5" Type="http://schemas.openxmlformats.org/officeDocument/2006/relationships/styles" Target="styles.xml"/><Relationship Id="rId10" Type="http://schemas.openxmlformats.org/officeDocument/2006/relationships/hyperlink" Target="https://www.gov.uk/government/publications/national-curriculum-in-england-framework-for-key-stages-1-to-4" TargetMode="External"/><Relationship Id="rId4" Type="http://schemas.openxmlformats.org/officeDocument/2006/relationships/numbering" Target="numbering.xml"/><Relationship Id="rId9" Type="http://schemas.openxmlformats.org/officeDocument/2006/relationships/hyperlink" Target="https://educationendowmentfoundation.org.uk/education-evidence/guidance-reports/literacy-ks3-ks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625c6d-7d40-4234-8833-6f778970b430">
      <Terms xmlns="http://schemas.microsoft.com/office/infopath/2007/PartnerControls"/>
    </lcf76f155ced4ddcb4097134ff3c332f>
    <TaxCatchAll xmlns="ae36fa4e-c9d9-4d7c-adcf-c3d090d6f535" xsi:nil="true"/>
    <Thumbnail xmlns="54625c6d-7d40-4234-8833-6f778970b430">
      <Url xsi:nil="true"/>
      <Description xsi:nil="true"/>
    </Thumbnai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BC9E9A4DCA8F44A7A332BD0AEA8C9D" ma:contentTypeVersion="21" ma:contentTypeDescription="Create a new document." ma:contentTypeScope="" ma:versionID="74c2adcdeefadb98e6b7cc6f8116ed16">
  <xsd:schema xmlns:xsd="http://www.w3.org/2001/XMLSchema" xmlns:xs="http://www.w3.org/2001/XMLSchema" xmlns:p="http://schemas.microsoft.com/office/2006/metadata/properties" xmlns:ns2="54625c6d-7d40-4234-8833-6f778970b430" xmlns:ns3="ae36fa4e-c9d9-4d7c-adcf-c3d090d6f535" targetNamespace="http://schemas.microsoft.com/office/2006/metadata/properties" ma:root="true" ma:fieldsID="6f635371492329545411b195302e76a9" ns2:_="" ns3:_="">
    <xsd:import namespace="54625c6d-7d40-4234-8833-6f778970b430"/>
    <xsd:import namespace="ae36fa4e-c9d9-4d7c-adcf-c3d090d6f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Thumbnai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25c6d-7d40-4234-8833-6f778970b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Thumbnail" ma:index="23"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36fa4e-c9d9-4d7c-adcf-c3d090d6f5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d92090-1dc9-4d7e-a038-c8d7b7798cef}" ma:internalName="TaxCatchAll" ma:showField="CatchAllData" ma:web="ae36fa4e-c9d9-4d7c-adcf-c3d090d6f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9C2A2-EB97-4276-A826-40D0DF5CC1F1}">
  <ds:schemaRefs>
    <ds:schemaRef ds:uri="http://schemas.microsoft.com/office/2006/metadata/properties"/>
    <ds:schemaRef ds:uri="http://schemas.microsoft.com/office/infopath/2007/PartnerControls"/>
    <ds:schemaRef ds:uri="54625c6d-7d40-4234-8833-6f778970b430"/>
    <ds:schemaRef ds:uri="ae36fa4e-c9d9-4d7c-adcf-c3d090d6f535"/>
  </ds:schemaRefs>
</ds:datastoreItem>
</file>

<file path=customXml/itemProps2.xml><?xml version="1.0" encoding="utf-8"?>
<ds:datastoreItem xmlns:ds="http://schemas.openxmlformats.org/officeDocument/2006/customXml" ds:itemID="{F8FC4469-E82B-4048-B1BA-0BC2CB8B484D}"/>
</file>

<file path=customXml/itemProps3.xml><?xml version="1.0" encoding="utf-8"?>
<ds:datastoreItem xmlns:ds="http://schemas.openxmlformats.org/officeDocument/2006/customXml" ds:itemID="{41FBC36B-B199-471A-8ACB-8E80E17F33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The White Hills Park Trust</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Annwen Mellors</dc:creator>
  <cp:keywords/>
  <dc:description/>
  <cp:lastModifiedBy>Annwen Mellors</cp:lastModifiedBy>
  <cp:revision>81</cp:revision>
  <dcterms:created xsi:type="dcterms:W3CDTF">2025-01-14T15:16:00Z</dcterms:created>
  <dcterms:modified xsi:type="dcterms:W3CDTF">2025-04-25T10:43:00Z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0x0101004CBC9E9A4DCA8F44A7A332BD0AEA8C9D</vt:lpwstr>
  </property>
  <property fmtid="{D5CDD505-2E9C-101B-9397-08002B2CF9AE}" pid="3" name="MediaServiceImageTags">
    <vt:lpwstr/>
  </property>
</Properties>
</file>