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4020591B" w:rsidR="00EA0EBB" w:rsidRPr="00EA0EBB" w:rsidRDefault="00706369"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Governors</w:t>
      </w:r>
      <w:r w:rsidR="00B33CED">
        <w:rPr>
          <w:rFonts w:ascii="Calibri" w:eastAsia="Times New Roman" w:hAnsi="Calibri" w:cs="Calibri"/>
          <w:b/>
          <w:bCs/>
          <w:sz w:val="40"/>
          <w:szCs w:val="40"/>
          <w:lang w:eastAsia="en-GB"/>
        </w:rPr>
        <w:t>’</w:t>
      </w:r>
      <w:r>
        <w:rPr>
          <w:rFonts w:ascii="Calibri" w:eastAsia="Times New Roman" w:hAnsi="Calibri" w:cs="Calibri"/>
          <w:b/>
          <w:bCs/>
          <w:sz w:val="40"/>
          <w:szCs w:val="40"/>
          <w:lang w:eastAsia="en-GB"/>
        </w:rPr>
        <w:t xml:space="preserve"> Allowances </w:t>
      </w:r>
      <w:r w:rsidR="00EA0EBB"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34073208"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7D0495A1" w14:textId="77777777" w:rsidR="005D4920" w:rsidRPr="00B33CED" w:rsidRDefault="005D4920" w:rsidP="005D4920">
      <w:pPr>
        <w:pStyle w:val="1bodycopy10pt"/>
        <w:rPr>
          <w:rFonts w:asciiTheme="majorHAnsi" w:hAnsiTheme="majorHAnsi" w:cstheme="majorHAnsi"/>
          <w:sz w:val="24"/>
          <w:lang w:val="en-GB"/>
        </w:rPr>
      </w:pPr>
      <w:r w:rsidRPr="00B33CED">
        <w:rPr>
          <w:rFonts w:asciiTheme="majorHAnsi" w:hAnsiTheme="majorHAnsi" w:cstheme="majorHAnsi"/>
          <w:sz w:val="24"/>
          <w:lang w:val="en-GB"/>
        </w:rPr>
        <w:lastRenderedPageBreak/>
        <w:t xml:space="preserve">The </w:t>
      </w:r>
      <w:r w:rsidRPr="00B33CED">
        <w:rPr>
          <w:rFonts w:asciiTheme="majorHAnsi" w:hAnsiTheme="majorHAnsi" w:cstheme="majorHAnsi"/>
          <w:sz w:val="24"/>
        </w:rPr>
        <w:t>Governance Guide for maintained schools</w:t>
      </w:r>
      <w:r w:rsidRPr="00B33CED">
        <w:rPr>
          <w:rFonts w:asciiTheme="majorHAnsi" w:hAnsiTheme="majorHAnsi" w:cstheme="majorHAnsi"/>
          <w:sz w:val="24"/>
          <w:lang w:val="en-GB"/>
        </w:rPr>
        <w:t xml:space="preserve"> says that boards in maintained schools with a delegated budget can choose whether or not to pay allowances to board members. Where they choose to do so, it must be in accordance with a policy or scheme.</w:t>
      </w:r>
    </w:p>
    <w:p w14:paraId="33ED44C4" w14:textId="77777777" w:rsidR="005D4920" w:rsidRPr="00B33CED" w:rsidRDefault="005D4920" w:rsidP="005D4920">
      <w:pPr>
        <w:pStyle w:val="1bodycopy10pt"/>
        <w:rPr>
          <w:rFonts w:asciiTheme="majorHAnsi" w:hAnsiTheme="majorHAnsi" w:cstheme="majorHAnsi"/>
          <w:lang w:val="en-GB"/>
        </w:rPr>
      </w:pPr>
      <w:r w:rsidRPr="00B33CED">
        <w:rPr>
          <w:rFonts w:asciiTheme="majorHAnsi" w:hAnsiTheme="majorHAnsi" w:cstheme="majorHAnsi"/>
          <w:sz w:val="24"/>
          <w:lang w:val="en-GB"/>
        </w:rPr>
        <w:t xml:space="preserve">The legislation on governors’ allowances is set out in the </w:t>
      </w:r>
      <w:hyperlink r:id="rId12" w:history="1">
        <w:r w:rsidRPr="00B33CED">
          <w:rPr>
            <w:rStyle w:val="Hyperlink"/>
            <w:rFonts w:asciiTheme="majorHAnsi" w:hAnsiTheme="majorHAnsi" w:cstheme="majorHAnsi"/>
            <w:sz w:val="24"/>
          </w:rPr>
          <w:t>the School Governance (Roles, Procedures and Allowances) (England) Regulations 2013, part 6</w:t>
        </w:r>
      </w:hyperlink>
      <w:r w:rsidRPr="00B33CED">
        <w:rPr>
          <w:rFonts w:asciiTheme="majorHAnsi" w:hAnsiTheme="majorHAnsi" w:cstheme="majorHAnsi"/>
        </w:rPr>
        <w:t>.</w:t>
      </w:r>
    </w:p>
    <w:p w14:paraId="3073CFAC" w14:textId="77777777" w:rsidR="005D4920" w:rsidRPr="00B33CED" w:rsidRDefault="005D4920" w:rsidP="005D4920">
      <w:pPr>
        <w:widowControl w:val="0"/>
        <w:autoSpaceDE w:val="0"/>
        <w:autoSpaceDN w:val="0"/>
        <w:adjustRightInd w:val="0"/>
        <w:spacing w:line="218" w:lineRule="exact"/>
        <w:rPr>
          <w:rFonts w:asciiTheme="majorHAnsi" w:hAnsiTheme="majorHAnsi" w:cstheme="majorHAnsi"/>
          <w:color w:val="000000"/>
          <w:sz w:val="18"/>
          <w:szCs w:val="18"/>
          <w:lang w:eastAsia="en-GB"/>
        </w:rPr>
      </w:pPr>
    </w:p>
    <w:p w14:paraId="2D3DA45F" w14:textId="2B279A36" w:rsidR="005D4920" w:rsidRPr="007648D7" w:rsidRDefault="00B33CED" w:rsidP="005D4920">
      <w:pPr>
        <w:widowControl w:val="0"/>
        <w:autoSpaceDE w:val="0"/>
        <w:autoSpaceDN w:val="0"/>
        <w:adjustRightInd w:val="0"/>
        <w:rPr>
          <w:rFonts w:asciiTheme="majorHAnsi" w:hAnsiTheme="majorHAnsi" w:cstheme="majorHAnsi"/>
          <w:color w:val="000000"/>
          <w:sz w:val="24"/>
          <w:szCs w:val="24"/>
          <w:lang w:eastAsia="en-GB"/>
        </w:rPr>
      </w:pPr>
      <w:r>
        <w:rPr>
          <w:rFonts w:asciiTheme="majorHAnsi" w:hAnsiTheme="majorHAnsi" w:cstheme="majorHAnsi"/>
          <w:color w:val="000000"/>
          <w:sz w:val="24"/>
          <w:szCs w:val="24"/>
          <w:lang w:eastAsia="en-GB"/>
        </w:rPr>
        <w:t>Aldermaston School</w:t>
      </w:r>
      <w:r w:rsidR="005D4920" w:rsidRPr="00B33CED">
        <w:rPr>
          <w:rFonts w:asciiTheme="majorHAnsi" w:hAnsiTheme="majorHAnsi" w:cstheme="majorHAnsi"/>
          <w:color w:val="000000"/>
          <w:sz w:val="24"/>
          <w:szCs w:val="24"/>
          <w:lang w:eastAsia="en-GB"/>
        </w:rPr>
        <w:t xml:space="preserve"> Governing Board believe that paying governors’ allowances, in specific categories as set out below, is important in ensuring equality of opportunity to serve as governors for all members of the community and so is an appropriate use of school funds. The specific items allowable reflect this objective. </w:t>
      </w:r>
    </w:p>
    <w:p w14:paraId="5BEE7908" w14:textId="25B597D3" w:rsidR="005D4920" w:rsidRPr="007648D7" w:rsidRDefault="005D4920" w:rsidP="007648D7">
      <w:pPr>
        <w:widowControl w:val="0"/>
        <w:autoSpaceDE w:val="0"/>
        <w:autoSpaceDN w:val="0"/>
        <w:adjustRightInd w:val="0"/>
        <w:spacing w:line="368" w:lineRule="exact"/>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 xml:space="preserve">All governors of </w:t>
      </w:r>
      <w:r w:rsidR="007648D7">
        <w:rPr>
          <w:rFonts w:asciiTheme="majorHAnsi" w:hAnsiTheme="majorHAnsi" w:cstheme="majorHAnsi"/>
          <w:color w:val="000000"/>
          <w:sz w:val="24"/>
          <w:szCs w:val="24"/>
          <w:lang w:eastAsia="en-GB"/>
        </w:rPr>
        <w:t>the school</w:t>
      </w:r>
      <w:r w:rsidRPr="00B33CED">
        <w:rPr>
          <w:rFonts w:asciiTheme="majorHAnsi" w:hAnsiTheme="majorHAnsi" w:cstheme="majorHAnsi"/>
          <w:color w:val="000000"/>
          <w:sz w:val="24"/>
          <w:szCs w:val="24"/>
          <w:lang w:eastAsia="en-GB"/>
        </w:rPr>
        <w:t xml:space="preserve"> are entitled to claim the actual costs, which they incur as follows: </w:t>
      </w:r>
    </w:p>
    <w:p w14:paraId="0AAEE1C7" w14:textId="02CB0CDE" w:rsidR="005D4920" w:rsidRPr="007648D7" w:rsidRDefault="005D4920" w:rsidP="007648D7">
      <w:pPr>
        <w:widowControl w:val="0"/>
        <w:autoSpaceDE w:val="0"/>
        <w:autoSpaceDN w:val="0"/>
        <w:adjustRightInd w:val="0"/>
        <w:ind w:left="751"/>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 xml:space="preserve">1. Governors will be able to claim allowances, with the approval of the Governing Board, providing the expenses are incurred whilst carrying out their duties as a Governor or representative of </w:t>
      </w:r>
      <w:r w:rsidR="007648D7">
        <w:rPr>
          <w:rFonts w:asciiTheme="majorHAnsi" w:hAnsiTheme="majorHAnsi" w:cstheme="majorHAnsi"/>
          <w:color w:val="000000"/>
          <w:sz w:val="24"/>
          <w:szCs w:val="24"/>
          <w:lang w:eastAsia="en-GB"/>
        </w:rPr>
        <w:t>Aldermaston</w:t>
      </w:r>
      <w:r w:rsidRPr="00B33CED">
        <w:rPr>
          <w:rFonts w:asciiTheme="majorHAnsi" w:hAnsiTheme="majorHAnsi" w:cstheme="majorHAnsi"/>
          <w:color w:val="000000"/>
          <w:sz w:val="24"/>
          <w:szCs w:val="24"/>
          <w:lang w:eastAsia="en-GB"/>
        </w:rPr>
        <w:t>.</w:t>
      </w:r>
    </w:p>
    <w:p w14:paraId="72183A73" w14:textId="77777777" w:rsidR="005D4920" w:rsidRPr="00B33CED" w:rsidRDefault="005D4920" w:rsidP="005D4920">
      <w:pPr>
        <w:widowControl w:val="0"/>
        <w:autoSpaceDE w:val="0"/>
        <w:autoSpaceDN w:val="0"/>
        <w:adjustRightInd w:val="0"/>
        <w:ind w:left="751"/>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 xml:space="preserve">2. Governors will be able to claim for the following, on a case-by-case basis and with the prior approval of the Governing Body: </w:t>
      </w:r>
    </w:p>
    <w:p w14:paraId="26873F98" w14:textId="77777777" w:rsidR="005D4920" w:rsidRPr="00B33CED" w:rsidRDefault="005D4920" w:rsidP="005D4920">
      <w:pPr>
        <w:pStyle w:val="ListParagraph"/>
        <w:widowControl w:val="0"/>
        <w:numPr>
          <w:ilvl w:val="0"/>
          <w:numId w:val="31"/>
        </w:numPr>
        <w:autoSpaceDE w:val="0"/>
        <w:autoSpaceDN w:val="0"/>
        <w:adjustRightInd w:val="0"/>
        <w:spacing w:after="0" w:line="368" w:lineRule="exact"/>
        <w:rPr>
          <w:rFonts w:asciiTheme="majorHAnsi" w:hAnsiTheme="majorHAnsi" w:cstheme="majorHAnsi"/>
          <w:color w:val="000000"/>
          <w:sz w:val="24"/>
          <w:szCs w:val="24"/>
          <w:lang w:eastAsia="en-GB"/>
        </w:rPr>
      </w:pPr>
      <w:r w:rsidRPr="00B33CED">
        <w:rPr>
          <w:rFonts w:asciiTheme="majorHAnsi" w:hAnsiTheme="majorHAnsi" w:cstheme="majorHAnsi"/>
          <w:color w:val="000000" w:themeColor="text1"/>
          <w:sz w:val="24"/>
          <w:szCs w:val="24"/>
          <w:lang w:eastAsia="en-GB"/>
        </w:rPr>
        <w:t xml:space="preserve">Childcare or baby-sitting allowances with registered child-minder/babysitter (excluding payments to a family member or current/former spouse or partner); </w:t>
      </w:r>
    </w:p>
    <w:p w14:paraId="2D9F80C3" w14:textId="77777777" w:rsidR="005D4920" w:rsidRPr="00B33CED" w:rsidRDefault="005D4920" w:rsidP="005D4920">
      <w:pPr>
        <w:pStyle w:val="ListParagraph"/>
        <w:widowControl w:val="0"/>
        <w:numPr>
          <w:ilvl w:val="0"/>
          <w:numId w:val="31"/>
        </w:numPr>
        <w:autoSpaceDE w:val="0"/>
        <w:autoSpaceDN w:val="0"/>
        <w:adjustRightInd w:val="0"/>
        <w:spacing w:after="0" w:line="300" w:lineRule="exact"/>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 xml:space="preserve">Cost of care arrangements for an elderly or dependent relative (excluding payments to a current/former spouse or partner); </w:t>
      </w:r>
    </w:p>
    <w:p w14:paraId="5B1B8ACF" w14:textId="77777777" w:rsidR="005D4920" w:rsidRPr="00B33CED" w:rsidRDefault="005D4920" w:rsidP="005D4920">
      <w:pPr>
        <w:pStyle w:val="ListParagraph"/>
        <w:widowControl w:val="0"/>
        <w:numPr>
          <w:ilvl w:val="0"/>
          <w:numId w:val="31"/>
        </w:numPr>
        <w:autoSpaceDE w:val="0"/>
        <w:autoSpaceDN w:val="0"/>
        <w:adjustRightInd w:val="0"/>
        <w:spacing w:after="0" w:line="300" w:lineRule="exact"/>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The extra costs they incur in performing their duties either because they have special needs or because English is not their first language;</w:t>
      </w:r>
    </w:p>
    <w:p w14:paraId="4AA91C76" w14:textId="77777777" w:rsidR="005D4920" w:rsidRPr="00B33CED" w:rsidRDefault="005D4920" w:rsidP="005D4920">
      <w:pPr>
        <w:pStyle w:val="ListParagraph"/>
        <w:widowControl w:val="0"/>
        <w:numPr>
          <w:ilvl w:val="0"/>
          <w:numId w:val="31"/>
        </w:numPr>
        <w:autoSpaceDE w:val="0"/>
        <w:autoSpaceDN w:val="0"/>
        <w:adjustRightInd w:val="0"/>
        <w:spacing w:after="0" w:line="300" w:lineRule="exact"/>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Cost of travel to meetings and training, other than termly governors’ and committee meetings held at the school;</w:t>
      </w:r>
    </w:p>
    <w:p w14:paraId="54B5BEF8" w14:textId="77777777" w:rsidR="005D4920" w:rsidRPr="00B33CED" w:rsidRDefault="005D4920" w:rsidP="005D4920">
      <w:pPr>
        <w:pStyle w:val="ListParagraph"/>
        <w:widowControl w:val="0"/>
        <w:numPr>
          <w:ilvl w:val="0"/>
          <w:numId w:val="31"/>
        </w:numPr>
        <w:autoSpaceDE w:val="0"/>
        <w:autoSpaceDN w:val="0"/>
        <w:adjustRightInd w:val="0"/>
        <w:spacing w:after="0" w:line="300" w:lineRule="exact"/>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Travel and subsistence costs, payable at the current rates specified by the Secretary of State for the Environment, Transport and the Regions, associated with attending national meetings or training events, unless these costs can be claimed from the LA or any other source; not exceeding Her Majesty’s Revenue &amp; Customs’ Approved Mileage Rates as published.</w:t>
      </w:r>
    </w:p>
    <w:p w14:paraId="5B6C23B5" w14:textId="77777777" w:rsidR="005D4920" w:rsidRPr="00B33CED" w:rsidRDefault="005D4920" w:rsidP="005D4920">
      <w:pPr>
        <w:pStyle w:val="ListParagraph"/>
        <w:widowControl w:val="0"/>
        <w:numPr>
          <w:ilvl w:val="0"/>
          <w:numId w:val="31"/>
        </w:numPr>
        <w:autoSpaceDE w:val="0"/>
        <w:autoSpaceDN w:val="0"/>
        <w:adjustRightInd w:val="0"/>
        <w:spacing w:after="0" w:line="273" w:lineRule="exact"/>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Telephone charges relating to school business and governance; Photocopying, stationery, postage etc.</w:t>
      </w:r>
    </w:p>
    <w:p w14:paraId="5EA2BB02" w14:textId="77777777" w:rsidR="005D4920" w:rsidRPr="00B33CED" w:rsidRDefault="005D4920" w:rsidP="005D4920">
      <w:pPr>
        <w:widowControl w:val="0"/>
        <w:autoSpaceDE w:val="0"/>
        <w:autoSpaceDN w:val="0"/>
        <w:adjustRightInd w:val="0"/>
        <w:spacing w:line="218" w:lineRule="exact"/>
        <w:ind w:left="751"/>
        <w:rPr>
          <w:rFonts w:asciiTheme="majorHAnsi" w:hAnsiTheme="majorHAnsi" w:cstheme="majorHAnsi"/>
          <w:color w:val="000000"/>
          <w:sz w:val="18"/>
          <w:szCs w:val="18"/>
          <w:lang w:eastAsia="en-GB"/>
        </w:rPr>
      </w:pPr>
    </w:p>
    <w:p w14:paraId="23ED16EB" w14:textId="35E5BC5D" w:rsidR="005D4920" w:rsidRPr="00B33CED" w:rsidRDefault="005D4920" w:rsidP="005D4920">
      <w:pPr>
        <w:widowControl w:val="0"/>
        <w:autoSpaceDE w:val="0"/>
        <w:autoSpaceDN w:val="0"/>
        <w:adjustRightInd w:val="0"/>
        <w:spacing w:line="368" w:lineRule="exact"/>
        <w:ind w:left="751"/>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 xml:space="preserve">3. The Governing Board at </w:t>
      </w:r>
      <w:r w:rsidR="007648D7">
        <w:rPr>
          <w:rFonts w:asciiTheme="majorHAnsi" w:hAnsiTheme="majorHAnsi" w:cstheme="majorHAnsi"/>
          <w:color w:val="000000"/>
          <w:sz w:val="24"/>
          <w:szCs w:val="24"/>
          <w:lang w:eastAsia="en-GB"/>
        </w:rPr>
        <w:t>Aldermaston</w:t>
      </w:r>
      <w:r w:rsidRPr="00B33CED">
        <w:rPr>
          <w:rFonts w:asciiTheme="majorHAnsi" w:hAnsiTheme="majorHAnsi" w:cstheme="majorHAnsi"/>
          <w:color w:val="000000"/>
          <w:sz w:val="24"/>
          <w:szCs w:val="24"/>
          <w:lang w:eastAsia="en-GB"/>
        </w:rPr>
        <w:t xml:space="preserve"> acknowledges that: </w:t>
      </w:r>
    </w:p>
    <w:p w14:paraId="5994EB05" w14:textId="77777777" w:rsidR="005D4920" w:rsidRPr="00B33CED" w:rsidRDefault="005D4920" w:rsidP="005D4920">
      <w:pPr>
        <w:pStyle w:val="ListParagraph"/>
        <w:widowControl w:val="0"/>
        <w:numPr>
          <w:ilvl w:val="0"/>
          <w:numId w:val="32"/>
        </w:numPr>
        <w:autoSpaceDE w:val="0"/>
        <w:autoSpaceDN w:val="0"/>
        <w:adjustRightInd w:val="0"/>
        <w:spacing w:after="0" w:line="300" w:lineRule="exact"/>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Governors may not be paid attendance allowance;</w:t>
      </w:r>
    </w:p>
    <w:p w14:paraId="4108FAC1" w14:textId="77777777" w:rsidR="005D4920" w:rsidRPr="00B33CED" w:rsidRDefault="005D4920" w:rsidP="005D4920">
      <w:pPr>
        <w:pStyle w:val="ListParagraph"/>
        <w:widowControl w:val="0"/>
        <w:numPr>
          <w:ilvl w:val="0"/>
          <w:numId w:val="32"/>
        </w:numPr>
        <w:autoSpaceDE w:val="0"/>
        <w:autoSpaceDN w:val="0"/>
        <w:adjustRightInd w:val="0"/>
        <w:spacing w:after="0" w:line="300" w:lineRule="exact"/>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Governors may not be reimbursed for loss of earnings.</w:t>
      </w:r>
    </w:p>
    <w:p w14:paraId="10889316" w14:textId="77777777" w:rsidR="005D4920" w:rsidRPr="00B33CED" w:rsidRDefault="005D4920" w:rsidP="005D4920">
      <w:pPr>
        <w:widowControl w:val="0"/>
        <w:autoSpaceDE w:val="0"/>
        <w:autoSpaceDN w:val="0"/>
        <w:adjustRightInd w:val="0"/>
        <w:spacing w:line="218" w:lineRule="exact"/>
        <w:rPr>
          <w:rFonts w:asciiTheme="majorHAnsi" w:hAnsiTheme="majorHAnsi" w:cstheme="majorHAnsi"/>
          <w:color w:val="000000"/>
          <w:sz w:val="18"/>
          <w:szCs w:val="18"/>
          <w:lang w:eastAsia="en-GB"/>
        </w:rPr>
      </w:pPr>
    </w:p>
    <w:p w14:paraId="374A7630" w14:textId="4BFA4C39" w:rsidR="005D4920" w:rsidRPr="003F6629" w:rsidRDefault="005D4920" w:rsidP="005D4920">
      <w:pPr>
        <w:widowControl w:val="0"/>
        <w:autoSpaceDE w:val="0"/>
        <w:autoSpaceDN w:val="0"/>
        <w:adjustRightInd w:val="0"/>
        <w:rPr>
          <w:rFonts w:asciiTheme="majorHAnsi" w:hAnsiTheme="majorHAnsi" w:cstheme="majorHAnsi"/>
          <w:color w:val="000000"/>
          <w:sz w:val="24"/>
          <w:szCs w:val="24"/>
          <w:lang w:eastAsia="en-GB"/>
        </w:rPr>
      </w:pPr>
      <w:r w:rsidRPr="00B33CED">
        <w:rPr>
          <w:rFonts w:asciiTheme="majorHAnsi" w:hAnsiTheme="majorHAnsi" w:cstheme="majorHAnsi"/>
          <w:color w:val="000000" w:themeColor="text1"/>
          <w:sz w:val="24"/>
          <w:szCs w:val="24"/>
          <w:lang w:eastAsia="en-GB"/>
        </w:rPr>
        <w:t xml:space="preserve">Governors wishing to make claims under these arrangements, once approval has been sought, should complete a claims form (obtainable from the </w:t>
      </w:r>
      <w:r w:rsidR="007648D7">
        <w:rPr>
          <w:rFonts w:asciiTheme="majorHAnsi" w:hAnsiTheme="majorHAnsi" w:cstheme="majorHAnsi"/>
          <w:color w:val="000000" w:themeColor="text1"/>
          <w:sz w:val="24"/>
          <w:szCs w:val="24"/>
          <w:lang w:eastAsia="en-GB"/>
        </w:rPr>
        <w:t>school o</w:t>
      </w:r>
      <w:r w:rsidRPr="00B33CED">
        <w:rPr>
          <w:rFonts w:asciiTheme="majorHAnsi" w:hAnsiTheme="majorHAnsi" w:cstheme="majorHAnsi"/>
          <w:color w:val="000000" w:themeColor="text1"/>
          <w:sz w:val="24"/>
          <w:szCs w:val="24"/>
          <w:lang w:eastAsia="en-GB"/>
        </w:rPr>
        <w:t>ffice), attaching receipts where</w:t>
      </w:r>
      <w:r w:rsidR="003F6629">
        <w:rPr>
          <w:rFonts w:asciiTheme="majorHAnsi" w:hAnsiTheme="majorHAnsi" w:cstheme="majorHAnsi"/>
          <w:color w:val="000000"/>
          <w:sz w:val="24"/>
          <w:szCs w:val="24"/>
          <w:lang w:eastAsia="en-GB"/>
        </w:rPr>
        <w:t xml:space="preserve"> </w:t>
      </w:r>
      <w:r w:rsidRPr="00B33CED">
        <w:rPr>
          <w:rFonts w:asciiTheme="majorHAnsi" w:hAnsiTheme="majorHAnsi" w:cstheme="majorHAnsi"/>
          <w:color w:val="000000" w:themeColor="text1"/>
          <w:sz w:val="24"/>
          <w:szCs w:val="24"/>
          <w:lang w:eastAsia="en-GB"/>
        </w:rPr>
        <w:t xml:space="preserve">possible, and return it to the school within two weeks of the date when the expenses were incurred.  Reimbursement will be made within a reasonable time frame.  </w:t>
      </w:r>
    </w:p>
    <w:p w14:paraId="3EA4D9EB" w14:textId="7245DAC5" w:rsidR="005D4920" w:rsidRPr="00B33CED" w:rsidRDefault="005D4920" w:rsidP="005D4920">
      <w:pPr>
        <w:widowControl w:val="0"/>
        <w:autoSpaceDE w:val="0"/>
        <w:autoSpaceDN w:val="0"/>
        <w:adjustRightInd w:val="0"/>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lastRenderedPageBreak/>
        <w:t>Claims will be subject to independent audit and may be investigated by the Chair</w:t>
      </w:r>
      <w:r w:rsidR="003F6629">
        <w:rPr>
          <w:rFonts w:asciiTheme="majorHAnsi" w:hAnsiTheme="majorHAnsi" w:cstheme="majorHAnsi"/>
          <w:color w:val="000000"/>
          <w:sz w:val="24"/>
          <w:szCs w:val="24"/>
          <w:lang w:eastAsia="en-GB"/>
        </w:rPr>
        <w:t xml:space="preserve"> </w:t>
      </w:r>
      <w:r w:rsidRPr="00B33CED">
        <w:rPr>
          <w:rFonts w:asciiTheme="majorHAnsi" w:hAnsiTheme="majorHAnsi" w:cstheme="majorHAnsi"/>
          <w:color w:val="000000"/>
          <w:sz w:val="24"/>
          <w:szCs w:val="24"/>
          <w:lang w:eastAsia="en-GB"/>
        </w:rPr>
        <w:t xml:space="preserve">of Governors (or Chair of </w:t>
      </w:r>
      <w:r w:rsidR="003F6629">
        <w:rPr>
          <w:rFonts w:asciiTheme="majorHAnsi" w:hAnsiTheme="majorHAnsi" w:cstheme="majorHAnsi"/>
          <w:color w:val="000000"/>
          <w:sz w:val="24"/>
          <w:szCs w:val="24"/>
          <w:lang w:eastAsia="en-GB"/>
        </w:rPr>
        <w:t>Finance</w:t>
      </w:r>
      <w:r w:rsidRPr="00B33CED">
        <w:rPr>
          <w:rFonts w:asciiTheme="majorHAnsi" w:hAnsiTheme="majorHAnsi" w:cstheme="majorHAnsi"/>
          <w:color w:val="000000"/>
          <w:sz w:val="24"/>
          <w:szCs w:val="24"/>
          <w:lang w:eastAsia="en-GB"/>
        </w:rPr>
        <w:t xml:space="preserve"> in respect of the Chair of Governors) if they appear excessive or inconsistent.</w:t>
      </w:r>
    </w:p>
    <w:p w14:paraId="5548D4FA" w14:textId="77777777" w:rsidR="005D4920" w:rsidRPr="00B33CED" w:rsidRDefault="005D4920" w:rsidP="005D4920">
      <w:pPr>
        <w:widowControl w:val="0"/>
        <w:autoSpaceDE w:val="0"/>
        <w:autoSpaceDN w:val="0"/>
        <w:adjustRightInd w:val="0"/>
        <w:spacing w:line="218" w:lineRule="exact"/>
        <w:rPr>
          <w:rFonts w:asciiTheme="majorHAnsi" w:hAnsiTheme="majorHAnsi" w:cstheme="majorHAnsi"/>
          <w:color w:val="000000"/>
          <w:sz w:val="18"/>
          <w:szCs w:val="18"/>
          <w:lang w:eastAsia="en-GB"/>
        </w:rPr>
      </w:pPr>
    </w:p>
    <w:p w14:paraId="661F5508" w14:textId="77777777" w:rsidR="005D4920" w:rsidRPr="00B33CED" w:rsidRDefault="005D4920" w:rsidP="005D4920">
      <w:pPr>
        <w:widowControl w:val="0"/>
        <w:autoSpaceDE w:val="0"/>
        <w:autoSpaceDN w:val="0"/>
        <w:adjustRightInd w:val="0"/>
        <w:spacing w:line="382" w:lineRule="exact"/>
        <w:rPr>
          <w:rFonts w:asciiTheme="majorHAnsi" w:hAnsiTheme="majorHAnsi" w:cstheme="majorHAnsi"/>
          <w:color w:val="000000"/>
          <w:sz w:val="24"/>
          <w:szCs w:val="24"/>
          <w:lang w:eastAsia="en-GB"/>
        </w:rPr>
      </w:pPr>
      <w:r w:rsidRPr="00B33CED">
        <w:rPr>
          <w:rFonts w:asciiTheme="majorHAnsi" w:hAnsiTheme="majorHAnsi" w:cstheme="majorHAnsi"/>
          <w:color w:val="000000"/>
          <w:sz w:val="24"/>
          <w:szCs w:val="24"/>
          <w:lang w:eastAsia="en-GB"/>
        </w:rPr>
        <w:t xml:space="preserve">This policy will be reviewed every year. </w:t>
      </w:r>
    </w:p>
    <w:sectPr w:rsidR="005D4920" w:rsidRPr="00B33CED" w:rsidSect="004E4B2D">
      <w:footerReference w:type="default" r:id="rId13"/>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A73F65"/>
    <w:multiLevelType w:val="hybridMultilevel"/>
    <w:tmpl w:val="D4762B74"/>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10"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1"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3"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4"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5"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6"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18"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3"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25"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6"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27"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28"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5E109F"/>
    <w:multiLevelType w:val="hybridMultilevel"/>
    <w:tmpl w:val="D5C0A25A"/>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30"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6"/>
  </w:num>
  <w:num w:numId="13">
    <w:abstractNumId w:val="21"/>
  </w:num>
  <w:num w:numId="14">
    <w:abstractNumId w:val="23"/>
  </w:num>
  <w:num w:numId="15">
    <w:abstractNumId w:val="18"/>
  </w:num>
  <w:num w:numId="16">
    <w:abstractNumId w:val="19"/>
  </w:num>
  <w:num w:numId="17">
    <w:abstractNumId w:val="17"/>
  </w:num>
  <w:num w:numId="18">
    <w:abstractNumId w:val="10"/>
  </w:num>
  <w:num w:numId="19">
    <w:abstractNumId w:val="12"/>
  </w:num>
  <w:num w:numId="20">
    <w:abstractNumId w:val="27"/>
  </w:num>
  <w:num w:numId="21">
    <w:abstractNumId w:val="13"/>
  </w:num>
  <w:num w:numId="22">
    <w:abstractNumId w:val="24"/>
  </w:num>
  <w:num w:numId="23">
    <w:abstractNumId w:val="22"/>
  </w:num>
  <w:num w:numId="24">
    <w:abstractNumId w:val="25"/>
  </w:num>
  <w:num w:numId="25">
    <w:abstractNumId w:val="14"/>
  </w:num>
  <w:num w:numId="26">
    <w:abstractNumId w:val="28"/>
  </w:num>
  <w:num w:numId="27">
    <w:abstractNumId w:val="31"/>
  </w:num>
  <w:num w:numId="28">
    <w:abstractNumId w:val="11"/>
  </w:num>
  <w:num w:numId="29">
    <w:abstractNumId w:val="20"/>
  </w:num>
  <w:num w:numId="30">
    <w:abstractNumId w:val="30"/>
  </w:num>
  <w:num w:numId="31">
    <w:abstractNumId w:val="2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87319"/>
    <w:rsid w:val="001A215E"/>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80740"/>
    <w:rsid w:val="003952F8"/>
    <w:rsid w:val="00395E34"/>
    <w:rsid w:val="003970FF"/>
    <w:rsid w:val="003A195B"/>
    <w:rsid w:val="003C4368"/>
    <w:rsid w:val="003C6C94"/>
    <w:rsid w:val="003F155C"/>
    <w:rsid w:val="003F5CE5"/>
    <w:rsid w:val="003F6629"/>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51497B"/>
    <w:rsid w:val="00582E5E"/>
    <w:rsid w:val="00586C06"/>
    <w:rsid w:val="00593B19"/>
    <w:rsid w:val="005B0D3D"/>
    <w:rsid w:val="005C0520"/>
    <w:rsid w:val="005D2638"/>
    <w:rsid w:val="005D4920"/>
    <w:rsid w:val="0061221A"/>
    <w:rsid w:val="006286CD"/>
    <w:rsid w:val="00650B2F"/>
    <w:rsid w:val="00652CE6"/>
    <w:rsid w:val="00661C76"/>
    <w:rsid w:val="006677DE"/>
    <w:rsid w:val="00670868"/>
    <w:rsid w:val="00683BD9"/>
    <w:rsid w:val="006B2E04"/>
    <w:rsid w:val="006E77AC"/>
    <w:rsid w:val="007061ED"/>
    <w:rsid w:val="00706369"/>
    <w:rsid w:val="00714099"/>
    <w:rsid w:val="00714ED8"/>
    <w:rsid w:val="00735141"/>
    <w:rsid w:val="0074270B"/>
    <w:rsid w:val="0074664F"/>
    <w:rsid w:val="00760CBB"/>
    <w:rsid w:val="007648D7"/>
    <w:rsid w:val="007B3248"/>
    <w:rsid w:val="007E64EE"/>
    <w:rsid w:val="007F126F"/>
    <w:rsid w:val="00801F32"/>
    <w:rsid w:val="00804775"/>
    <w:rsid w:val="008101B9"/>
    <w:rsid w:val="00826462"/>
    <w:rsid w:val="00831946"/>
    <w:rsid w:val="00834950"/>
    <w:rsid w:val="00855B08"/>
    <w:rsid w:val="00863D50"/>
    <w:rsid w:val="00867949"/>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AB2498"/>
    <w:rsid w:val="00B04E8E"/>
    <w:rsid w:val="00B167F9"/>
    <w:rsid w:val="00B33CED"/>
    <w:rsid w:val="00B4136B"/>
    <w:rsid w:val="00B421FB"/>
    <w:rsid w:val="00B42AB4"/>
    <w:rsid w:val="00B47730"/>
    <w:rsid w:val="00B914C1"/>
    <w:rsid w:val="00BA09A6"/>
    <w:rsid w:val="00BB50A0"/>
    <w:rsid w:val="00BC7118"/>
    <w:rsid w:val="00BC77F7"/>
    <w:rsid w:val="00BD08D3"/>
    <w:rsid w:val="00BF274F"/>
    <w:rsid w:val="00C200E9"/>
    <w:rsid w:val="00C31EE4"/>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 w:type="character" w:customStyle="1" w:styleId="1bodycopy10ptChar">
    <w:name w:val="1 body copy 10pt Char"/>
    <w:link w:val="1bodycopy10pt"/>
    <w:locked/>
    <w:rsid w:val="005D4920"/>
    <w:rPr>
      <w:rFonts w:ascii="MS Mincho" w:eastAsia="MS Mincho" w:hAnsi="MS Mincho"/>
      <w:szCs w:val="24"/>
    </w:rPr>
  </w:style>
  <w:style w:type="paragraph" w:customStyle="1" w:styleId="1bodycopy10pt">
    <w:name w:val="1 body copy 10pt"/>
    <w:basedOn w:val="Normal"/>
    <w:link w:val="1bodycopy10ptChar"/>
    <w:qFormat/>
    <w:rsid w:val="005D4920"/>
    <w:pPr>
      <w:spacing w:after="120" w:line="240" w:lineRule="auto"/>
    </w:pPr>
    <w:rPr>
      <w:rFonts w:ascii="MS Mincho" w:eastAsia="MS Mincho" w:hAnsi="MS Minch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3/1624/part/6/mad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4.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2675</Characters>
  <Application>Microsoft Office Word</Application>
  <DocSecurity>0</DocSecurity>
  <Lines>22</Lines>
  <Paragraphs>6</Paragraphs>
  <ScaleCrop>false</ScaleCrop>
  <Manager/>
  <Company/>
  <LinksUpToDate>false</LinksUpToDate>
  <CharactersWithSpaces>3138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2025-09-01T11:58:00Z</cp:lastPrinted>
  <dcterms:created xsi:type="dcterms:W3CDTF">2025-11-10T10:41:00Z</dcterms:created>
  <dcterms:modified xsi:type="dcterms:W3CDTF">2025-11-10T10:41:00Z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