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C4BA" w14:textId="59C31139" w:rsidR="00C216B5" w:rsidRDefault="00C216B5" w:rsidP="00C216B5">
      <w:pPr>
        <w:jc w:val="center"/>
        <w:rPr>
          <w:b/>
          <w:sz w:val="24"/>
          <w:szCs w:val="24"/>
        </w:rPr>
      </w:pPr>
      <w:r>
        <w:rPr>
          <w:b/>
          <w:sz w:val="24"/>
          <w:szCs w:val="24"/>
        </w:rPr>
        <w:t>Knowledge Organiser</w:t>
      </w:r>
      <w:r>
        <w:rPr>
          <w:b/>
          <w:sz w:val="24"/>
          <w:szCs w:val="24"/>
        </w:rPr>
        <w:tab/>
      </w:r>
      <w:r>
        <w:rPr>
          <w:b/>
          <w:sz w:val="24"/>
          <w:szCs w:val="24"/>
        </w:rPr>
        <w:tab/>
        <w:t xml:space="preserve">Film Studies Component 2 – Global Filmmaking Perspectives </w:t>
      </w:r>
      <w:r>
        <w:rPr>
          <w:b/>
          <w:sz w:val="24"/>
          <w:szCs w:val="24"/>
        </w:rPr>
        <w:tab/>
        <w:t xml:space="preserve">Section B – Documentary Film – </w:t>
      </w:r>
      <w:r>
        <w:rPr>
          <w:b/>
          <w:i/>
          <w:sz w:val="24"/>
          <w:szCs w:val="24"/>
        </w:rPr>
        <w:t>Amy</w:t>
      </w:r>
    </w:p>
    <w:p w14:paraId="73D36ADE" w14:textId="2281D2AA" w:rsidR="005057EF" w:rsidRPr="000A1196" w:rsidRDefault="005057EF" w:rsidP="00480D47">
      <w:pPr>
        <w:jc w:val="center"/>
        <w:rPr>
          <w:b/>
          <w:bCs/>
          <w:u w:val="single"/>
        </w:rPr>
      </w:pPr>
    </w:p>
    <w:tbl>
      <w:tblPr>
        <w:tblStyle w:val="TableGrid"/>
        <w:tblW w:w="16438" w:type="dxa"/>
        <w:tblInd w:w="-567" w:type="dxa"/>
        <w:tblLook w:val="04A0" w:firstRow="1" w:lastRow="0" w:firstColumn="1" w:lastColumn="0" w:noHBand="0" w:noVBand="1"/>
      </w:tblPr>
      <w:tblGrid>
        <w:gridCol w:w="2263"/>
        <w:gridCol w:w="1584"/>
        <w:gridCol w:w="3847"/>
        <w:gridCol w:w="3847"/>
        <w:gridCol w:w="4897"/>
      </w:tblGrid>
      <w:tr w:rsidR="009B0B53" w:rsidRPr="000A1196" w14:paraId="20C9CF28" w14:textId="77777777" w:rsidTr="00480D47">
        <w:tc>
          <w:tcPr>
            <w:tcW w:w="2263" w:type="dxa"/>
            <w:shd w:val="clear" w:color="auto" w:fill="00B050"/>
          </w:tcPr>
          <w:p w14:paraId="1501A7B2" w14:textId="374DB8F0" w:rsidR="009B0B53" w:rsidRPr="000A1196" w:rsidRDefault="009B0B53" w:rsidP="009B0B53">
            <w:pPr>
              <w:pStyle w:val="ListParagraph"/>
              <w:numPr>
                <w:ilvl w:val="0"/>
                <w:numId w:val="6"/>
              </w:numPr>
              <w:jc w:val="center"/>
              <w:rPr>
                <w:b/>
                <w:bCs/>
              </w:rPr>
            </w:pPr>
            <w:r w:rsidRPr="000A1196">
              <w:rPr>
                <w:b/>
                <w:bCs/>
              </w:rPr>
              <w:t>Synopsis</w:t>
            </w:r>
          </w:p>
        </w:tc>
        <w:tc>
          <w:tcPr>
            <w:tcW w:w="14175" w:type="dxa"/>
            <w:gridSpan w:val="4"/>
          </w:tcPr>
          <w:p w14:paraId="7B8B0EF5" w14:textId="3E774F96" w:rsidR="009B0B53" w:rsidRPr="000A1196" w:rsidRDefault="009B0B53" w:rsidP="009B0B53">
            <w:pPr>
              <w:ind w:right="-1160"/>
              <w:rPr>
                <w:rFonts w:cstheme="minorHAnsi"/>
              </w:rPr>
            </w:pPr>
            <w:r>
              <w:t>Archival footage and personal testimonials present an intimate portrait of the life and career of British singer/songwriter Amy Winehouse.</w:t>
            </w:r>
          </w:p>
        </w:tc>
      </w:tr>
      <w:tr w:rsidR="0081708A" w:rsidRPr="000A1196" w14:paraId="0445D2AF" w14:textId="77777777" w:rsidTr="00480D47">
        <w:tc>
          <w:tcPr>
            <w:tcW w:w="16438" w:type="dxa"/>
            <w:gridSpan w:val="5"/>
            <w:shd w:val="clear" w:color="auto" w:fill="4472C4" w:themeFill="accent1"/>
          </w:tcPr>
          <w:p w14:paraId="69AF470E" w14:textId="5D1A9E37" w:rsidR="0081708A" w:rsidRPr="000A1196" w:rsidRDefault="0081708A" w:rsidP="0081708A">
            <w:pPr>
              <w:pStyle w:val="ListParagraph"/>
              <w:numPr>
                <w:ilvl w:val="0"/>
                <w:numId w:val="6"/>
              </w:numPr>
              <w:jc w:val="center"/>
              <w:rPr>
                <w:b/>
                <w:bCs/>
              </w:rPr>
            </w:pPr>
            <w:bookmarkStart w:id="0" w:name="_Hlk51179514"/>
            <w:r w:rsidRPr="000A1196">
              <w:rPr>
                <w:b/>
                <w:bCs/>
              </w:rPr>
              <w:t>Cast and Characters</w:t>
            </w:r>
          </w:p>
        </w:tc>
      </w:tr>
      <w:tr w:rsidR="00096748" w:rsidRPr="000A1196" w14:paraId="24233A80" w14:textId="77777777" w:rsidTr="0081708A">
        <w:tc>
          <w:tcPr>
            <w:tcW w:w="3847" w:type="dxa"/>
            <w:gridSpan w:val="2"/>
            <w:shd w:val="clear" w:color="auto" w:fill="E7E6E6" w:themeFill="background2"/>
          </w:tcPr>
          <w:p w14:paraId="05B03AF3" w14:textId="10C1364E" w:rsidR="00096748" w:rsidRPr="000A1196" w:rsidRDefault="00096748" w:rsidP="00096748">
            <w:pPr>
              <w:jc w:val="center"/>
              <w:rPr>
                <w:b/>
                <w:bCs/>
              </w:rPr>
            </w:pPr>
            <w:r>
              <w:t>Amy Winehouse</w:t>
            </w:r>
          </w:p>
        </w:tc>
        <w:tc>
          <w:tcPr>
            <w:tcW w:w="3847" w:type="dxa"/>
          </w:tcPr>
          <w:p w14:paraId="54D238AB" w14:textId="5A7A66B3" w:rsidR="00096748" w:rsidRPr="000A1196" w:rsidRDefault="00096748" w:rsidP="00096748">
            <w:pPr>
              <w:jc w:val="center"/>
              <w:rPr>
                <w:bCs/>
              </w:rPr>
            </w:pPr>
          </w:p>
        </w:tc>
        <w:tc>
          <w:tcPr>
            <w:tcW w:w="3847" w:type="dxa"/>
            <w:shd w:val="clear" w:color="auto" w:fill="E7E6E6" w:themeFill="background2"/>
          </w:tcPr>
          <w:p w14:paraId="1FD4E166" w14:textId="25D0CCAE" w:rsidR="00096748" w:rsidRPr="000A1196" w:rsidRDefault="00096748" w:rsidP="00096748">
            <w:pPr>
              <w:jc w:val="center"/>
              <w:rPr>
                <w:b/>
                <w:bCs/>
              </w:rPr>
            </w:pPr>
            <w:r>
              <w:t xml:space="preserve">Mark </w:t>
            </w:r>
            <w:proofErr w:type="spellStart"/>
            <w:r>
              <w:t>Ronson</w:t>
            </w:r>
            <w:proofErr w:type="spellEnd"/>
          </w:p>
        </w:tc>
        <w:tc>
          <w:tcPr>
            <w:tcW w:w="4897" w:type="dxa"/>
          </w:tcPr>
          <w:p w14:paraId="44D7C166" w14:textId="71E6C50A" w:rsidR="00096748" w:rsidRPr="000A1196" w:rsidRDefault="00096748" w:rsidP="00096748">
            <w:pPr>
              <w:jc w:val="center"/>
              <w:rPr>
                <w:bCs/>
              </w:rPr>
            </w:pPr>
          </w:p>
        </w:tc>
      </w:tr>
      <w:tr w:rsidR="00096748" w:rsidRPr="000A1196" w14:paraId="5913E0A2" w14:textId="77777777" w:rsidTr="0081708A">
        <w:tc>
          <w:tcPr>
            <w:tcW w:w="3847" w:type="dxa"/>
            <w:gridSpan w:val="2"/>
            <w:shd w:val="clear" w:color="auto" w:fill="E7E6E6" w:themeFill="background2"/>
          </w:tcPr>
          <w:p w14:paraId="76880F2C" w14:textId="5F4D1AD6" w:rsidR="00096748" w:rsidRPr="000A1196" w:rsidRDefault="00096748" w:rsidP="00096748">
            <w:pPr>
              <w:jc w:val="center"/>
              <w:rPr>
                <w:b/>
                <w:bCs/>
              </w:rPr>
            </w:pPr>
            <w:r>
              <w:t>Mitch Winehouse</w:t>
            </w:r>
          </w:p>
        </w:tc>
        <w:tc>
          <w:tcPr>
            <w:tcW w:w="3847" w:type="dxa"/>
          </w:tcPr>
          <w:p w14:paraId="5CBB008C" w14:textId="4A280B8A" w:rsidR="00096748" w:rsidRPr="000A1196" w:rsidRDefault="00096748" w:rsidP="00096748">
            <w:pPr>
              <w:jc w:val="center"/>
              <w:rPr>
                <w:bCs/>
              </w:rPr>
            </w:pPr>
          </w:p>
        </w:tc>
        <w:tc>
          <w:tcPr>
            <w:tcW w:w="3847" w:type="dxa"/>
            <w:shd w:val="clear" w:color="auto" w:fill="E7E6E6" w:themeFill="background2"/>
          </w:tcPr>
          <w:p w14:paraId="0D10D48D" w14:textId="564902AE" w:rsidR="00096748" w:rsidRPr="000A1196" w:rsidRDefault="00096748" w:rsidP="00096748">
            <w:pPr>
              <w:jc w:val="center"/>
              <w:rPr>
                <w:b/>
                <w:bCs/>
              </w:rPr>
            </w:pPr>
            <w:r>
              <w:t>Lauren Gilbert</w:t>
            </w:r>
          </w:p>
        </w:tc>
        <w:tc>
          <w:tcPr>
            <w:tcW w:w="4897" w:type="dxa"/>
          </w:tcPr>
          <w:p w14:paraId="59B6E8F5" w14:textId="619B1960" w:rsidR="00096748" w:rsidRPr="000A1196" w:rsidRDefault="00096748" w:rsidP="00096748">
            <w:pPr>
              <w:jc w:val="center"/>
              <w:rPr>
                <w:bCs/>
              </w:rPr>
            </w:pPr>
          </w:p>
        </w:tc>
      </w:tr>
      <w:tr w:rsidR="00096748" w:rsidRPr="000A1196" w14:paraId="0C55833F" w14:textId="77777777" w:rsidTr="0081708A">
        <w:tc>
          <w:tcPr>
            <w:tcW w:w="3847" w:type="dxa"/>
            <w:gridSpan w:val="2"/>
            <w:shd w:val="clear" w:color="auto" w:fill="E7E6E6" w:themeFill="background2"/>
          </w:tcPr>
          <w:p w14:paraId="6A9D9AB0" w14:textId="4DAFB0AB" w:rsidR="00096748" w:rsidRPr="000A1196" w:rsidRDefault="00096748" w:rsidP="00096748">
            <w:pPr>
              <w:jc w:val="center"/>
              <w:rPr>
                <w:b/>
                <w:bCs/>
              </w:rPr>
            </w:pPr>
            <w:r>
              <w:t>Blake Fielder-Civil</w:t>
            </w:r>
          </w:p>
        </w:tc>
        <w:tc>
          <w:tcPr>
            <w:tcW w:w="3847" w:type="dxa"/>
          </w:tcPr>
          <w:p w14:paraId="3B444B19" w14:textId="61D116A6" w:rsidR="00096748" w:rsidRPr="000A1196" w:rsidRDefault="00096748" w:rsidP="00096748">
            <w:pPr>
              <w:jc w:val="center"/>
              <w:rPr>
                <w:bCs/>
              </w:rPr>
            </w:pPr>
          </w:p>
        </w:tc>
        <w:tc>
          <w:tcPr>
            <w:tcW w:w="3847" w:type="dxa"/>
            <w:shd w:val="clear" w:color="auto" w:fill="E7E6E6" w:themeFill="background2"/>
          </w:tcPr>
          <w:p w14:paraId="4601CCE8" w14:textId="49F8B463" w:rsidR="00096748" w:rsidRPr="000A1196" w:rsidRDefault="00096748" w:rsidP="00096748">
            <w:pPr>
              <w:jc w:val="center"/>
              <w:rPr>
                <w:b/>
                <w:bCs/>
              </w:rPr>
            </w:pPr>
            <w:r>
              <w:t>Juliette Ashby</w:t>
            </w:r>
          </w:p>
        </w:tc>
        <w:tc>
          <w:tcPr>
            <w:tcW w:w="4897" w:type="dxa"/>
          </w:tcPr>
          <w:p w14:paraId="4E1EBD6B" w14:textId="70C2DB90" w:rsidR="00096748" w:rsidRPr="000A1196" w:rsidRDefault="00096748" w:rsidP="00096748">
            <w:pPr>
              <w:jc w:val="center"/>
              <w:rPr>
                <w:bCs/>
              </w:rPr>
            </w:pPr>
          </w:p>
        </w:tc>
      </w:tr>
    </w:tbl>
    <w:tbl>
      <w:tblPr>
        <w:tblStyle w:val="TableGrid"/>
        <w:tblpPr w:leftFromText="180" w:rightFromText="180" w:vertAnchor="page" w:horzAnchor="margin" w:tblpXSpec="center" w:tblpY="3847"/>
        <w:tblW w:w="16444" w:type="dxa"/>
        <w:tblLook w:val="04A0" w:firstRow="1" w:lastRow="0" w:firstColumn="1" w:lastColumn="0" w:noHBand="0" w:noVBand="1"/>
      </w:tblPr>
      <w:tblGrid>
        <w:gridCol w:w="2122"/>
        <w:gridCol w:w="425"/>
        <w:gridCol w:w="13897"/>
      </w:tblGrid>
      <w:tr w:rsidR="00096748" w:rsidRPr="000A1196" w14:paraId="62DFD9C5" w14:textId="77777777" w:rsidTr="00096748">
        <w:tc>
          <w:tcPr>
            <w:tcW w:w="16444" w:type="dxa"/>
            <w:gridSpan w:val="3"/>
            <w:shd w:val="clear" w:color="auto" w:fill="FFFFFF" w:themeFill="background1"/>
          </w:tcPr>
          <w:p w14:paraId="6CF73602" w14:textId="77777777" w:rsidR="00096748" w:rsidRPr="000A1196" w:rsidRDefault="00096748" w:rsidP="00096748">
            <w:pPr>
              <w:jc w:val="center"/>
              <w:rPr>
                <w:b/>
                <w:bCs/>
              </w:rPr>
            </w:pPr>
            <w:bookmarkStart w:id="1" w:name="_Hlk45642088"/>
            <w:r w:rsidRPr="000A1196">
              <w:rPr>
                <w:b/>
                <w:bCs/>
              </w:rPr>
              <w:t>Context</w:t>
            </w:r>
          </w:p>
        </w:tc>
      </w:tr>
      <w:tr w:rsidR="00096748" w:rsidRPr="000A1196" w14:paraId="1F58B3F5" w14:textId="77777777" w:rsidTr="00096748">
        <w:trPr>
          <w:trHeight w:val="895"/>
        </w:trPr>
        <w:tc>
          <w:tcPr>
            <w:tcW w:w="2122" w:type="dxa"/>
            <w:vMerge w:val="restart"/>
            <w:shd w:val="clear" w:color="auto" w:fill="FFFF00"/>
          </w:tcPr>
          <w:p w14:paraId="40B252D4" w14:textId="77777777" w:rsidR="00096748" w:rsidRPr="000A1196" w:rsidRDefault="00096748" w:rsidP="00096748">
            <w:pPr>
              <w:pStyle w:val="NoSpacing"/>
            </w:pPr>
            <w:r w:rsidRPr="000A1196">
              <w:rPr>
                <w:b/>
                <w:bCs/>
              </w:rPr>
              <w:t>C. Institutional Context</w:t>
            </w:r>
          </w:p>
        </w:tc>
        <w:tc>
          <w:tcPr>
            <w:tcW w:w="425" w:type="dxa"/>
          </w:tcPr>
          <w:p w14:paraId="142056F3" w14:textId="77777777" w:rsidR="00096748" w:rsidRPr="000A1196" w:rsidRDefault="00096748" w:rsidP="00096748">
            <w:pPr>
              <w:pStyle w:val="NoSpacing"/>
              <w:rPr>
                <w:b/>
                <w:bCs/>
                <w:lang w:eastAsia="en-GB"/>
              </w:rPr>
            </w:pPr>
            <w:r w:rsidRPr="000A1196">
              <w:rPr>
                <w:b/>
                <w:bCs/>
                <w:lang w:eastAsia="en-GB"/>
              </w:rPr>
              <w:t>1.</w:t>
            </w:r>
          </w:p>
        </w:tc>
        <w:tc>
          <w:tcPr>
            <w:tcW w:w="13897" w:type="dxa"/>
          </w:tcPr>
          <w:p w14:paraId="1ED4C45C" w14:textId="77777777" w:rsidR="00096748" w:rsidRDefault="00096748" w:rsidP="00096748">
            <w:pPr>
              <w:pStyle w:val="NoSpacing"/>
              <w:rPr>
                <w:lang w:eastAsia="en-GB"/>
              </w:rPr>
            </w:pPr>
            <w:r w:rsidRPr="00202355">
              <w:rPr>
                <w:lang w:eastAsia="en-GB"/>
              </w:rPr>
              <w:t xml:space="preserve">Of the production context of </w:t>
            </w:r>
            <w:r w:rsidRPr="00202355">
              <w:rPr>
                <w:b/>
                <w:bCs/>
                <w:i/>
                <w:iCs/>
                <w:lang w:eastAsia="en-GB"/>
              </w:rPr>
              <w:t>Amy</w:t>
            </w:r>
            <w:r w:rsidRPr="00202355">
              <w:rPr>
                <w:lang w:eastAsia="en-GB"/>
              </w:rPr>
              <w:t>, the film’s producer has explained that James Gay-Rees (producer):</w:t>
            </w:r>
          </w:p>
          <w:p w14:paraId="68DE2EE1" w14:textId="1E2191FE" w:rsidR="00096748" w:rsidRDefault="00096748" w:rsidP="00096748">
            <w:pPr>
              <w:pStyle w:val="NoSpacing"/>
              <w:rPr>
                <w:lang w:eastAsia="en-GB"/>
              </w:rPr>
            </w:pPr>
            <w:r w:rsidRPr="00202355">
              <w:rPr>
                <w:lang w:eastAsia="en-GB"/>
              </w:rPr>
              <w:t>“Because we went in with a complete blank canvas, with absolutely no agenda, our investigative process was to talk to as many people as possible, and to be as completely informed as three years would allow for us to be. Then we cross-referenced all the information to work out what the through lines were because Amy was such a contradictory, complicated person. Everyone had different impressions of her that you couldn’t necessarily reconcile.”</w:t>
            </w:r>
          </w:p>
          <w:p w14:paraId="37B46A24" w14:textId="731E5380" w:rsidR="00096748" w:rsidRPr="000A1196" w:rsidRDefault="00096748" w:rsidP="00096748">
            <w:pPr>
              <w:pStyle w:val="NoSpacing"/>
            </w:pPr>
          </w:p>
        </w:tc>
      </w:tr>
      <w:tr w:rsidR="00096748" w:rsidRPr="000A1196" w14:paraId="0D96D0CC" w14:textId="77777777" w:rsidTr="00096748">
        <w:trPr>
          <w:trHeight w:val="739"/>
        </w:trPr>
        <w:tc>
          <w:tcPr>
            <w:tcW w:w="2122" w:type="dxa"/>
            <w:vMerge/>
            <w:shd w:val="clear" w:color="auto" w:fill="FFFF00"/>
          </w:tcPr>
          <w:p w14:paraId="28FC7F6B" w14:textId="77777777" w:rsidR="00096748" w:rsidRPr="000A1196" w:rsidRDefault="00096748" w:rsidP="00096748">
            <w:pPr>
              <w:pStyle w:val="NoSpacing"/>
              <w:rPr>
                <w:b/>
                <w:bCs/>
              </w:rPr>
            </w:pPr>
          </w:p>
        </w:tc>
        <w:tc>
          <w:tcPr>
            <w:tcW w:w="425" w:type="dxa"/>
          </w:tcPr>
          <w:p w14:paraId="79B0F54C" w14:textId="77777777" w:rsidR="00096748" w:rsidRPr="000A1196" w:rsidRDefault="00096748" w:rsidP="00096748">
            <w:pPr>
              <w:pStyle w:val="NoSpacing"/>
              <w:rPr>
                <w:b/>
                <w:bCs/>
                <w:lang w:eastAsia="en-GB"/>
              </w:rPr>
            </w:pPr>
            <w:r w:rsidRPr="000A1196">
              <w:rPr>
                <w:b/>
                <w:bCs/>
                <w:lang w:eastAsia="en-GB"/>
              </w:rPr>
              <w:t>2.</w:t>
            </w:r>
          </w:p>
        </w:tc>
        <w:tc>
          <w:tcPr>
            <w:tcW w:w="13897" w:type="dxa"/>
          </w:tcPr>
          <w:p w14:paraId="28CE3B11" w14:textId="77777777" w:rsidR="00096748" w:rsidRDefault="00096748" w:rsidP="00096748">
            <w:pPr>
              <w:pStyle w:val="NoSpacing"/>
              <w:rPr>
                <w:lang w:eastAsia="en-GB"/>
              </w:rPr>
            </w:pPr>
            <w:r w:rsidRPr="00202355">
              <w:rPr>
                <w:lang w:eastAsia="en-GB"/>
              </w:rPr>
              <w:t xml:space="preserve">In order to engage with </w:t>
            </w:r>
            <w:r w:rsidRPr="00202355">
              <w:rPr>
                <w:b/>
                <w:bCs/>
                <w:i/>
                <w:iCs/>
                <w:lang w:eastAsia="en-GB"/>
              </w:rPr>
              <w:t>Amy</w:t>
            </w:r>
            <w:r w:rsidRPr="00202355">
              <w:rPr>
                <w:lang w:eastAsia="en-GB"/>
              </w:rPr>
              <w:t xml:space="preserve"> in terms of style and content it’s fundamental that we identify what is meant by the term, and ideas of, documentary film. Documentary film scholar Bill Nichols is one of a number of film historians and scholars who engage with the form of the documentary and critically he considers all films to be documentaries. </w:t>
            </w:r>
          </w:p>
          <w:p w14:paraId="14BF651D" w14:textId="6D7637E1" w:rsidR="00096748" w:rsidRPr="00096748" w:rsidRDefault="00096748" w:rsidP="00096748">
            <w:pPr>
              <w:pStyle w:val="NoSpacing"/>
              <w:rPr>
                <w:b/>
                <w:bCs/>
                <w:lang w:eastAsia="en-GB"/>
              </w:rPr>
            </w:pPr>
          </w:p>
        </w:tc>
      </w:tr>
      <w:tr w:rsidR="00096748" w:rsidRPr="000A1196" w14:paraId="1E31CC6F" w14:textId="77777777" w:rsidTr="00096748">
        <w:trPr>
          <w:trHeight w:val="895"/>
        </w:trPr>
        <w:tc>
          <w:tcPr>
            <w:tcW w:w="2122" w:type="dxa"/>
            <w:vMerge/>
            <w:shd w:val="clear" w:color="auto" w:fill="FFFF00"/>
          </w:tcPr>
          <w:p w14:paraId="6DD4CB9E" w14:textId="77777777" w:rsidR="00096748" w:rsidRPr="000A1196" w:rsidRDefault="00096748" w:rsidP="00096748">
            <w:pPr>
              <w:pStyle w:val="NoSpacing"/>
              <w:rPr>
                <w:b/>
                <w:bCs/>
              </w:rPr>
            </w:pPr>
          </w:p>
        </w:tc>
        <w:tc>
          <w:tcPr>
            <w:tcW w:w="425" w:type="dxa"/>
          </w:tcPr>
          <w:p w14:paraId="17945E5E" w14:textId="77777777" w:rsidR="00096748" w:rsidRPr="000A1196" w:rsidRDefault="00096748" w:rsidP="00096748">
            <w:pPr>
              <w:pStyle w:val="NoSpacing"/>
              <w:rPr>
                <w:b/>
                <w:bCs/>
                <w:lang w:eastAsia="en-GB"/>
              </w:rPr>
            </w:pPr>
            <w:r w:rsidRPr="000A1196">
              <w:rPr>
                <w:b/>
                <w:bCs/>
                <w:lang w:eastAsia="en-GB"/>
              </w:rPr>
              <w:t>3.</w:t>
            </w:r>
          </w:p>
        </w:tc>
        <w:tc>
          <w:tcPr>
            <w:tcW w:w="13897" w:type="dxa"/>
          </w:tcPr>
          <w:p w14:paraId="2CB6FBAA" w14:textId="77777777" w:rsidR="00096748" w:rsidRPr="00202355" w:rsidRDefault="00096748" w:rsidP="00096748">
            <w:pPr>
              <w:pStyle w:val="NoSpacing"/>
              <w:rPr>
                <w:lang w:eastAsia="en-GB"/>
              </w:rPr>
            </w:pPr>
            <w:r w:rsidRPr="00202355">
              <w:rPr>
                <w:lang w:eastAsia="en-GB"/>
              </w:rPr>
              <w:t>Realism is an implicit aesthetic value of documentary but don’t be fooled: a documentary is as shaped and considered and selected as a narrative fiction film. It’s an act of manipulation. The only difference is that the subject of the film has a life and existence beyond the film frame.</w:t>
            </w:r>
          </w:p>
          <w:p w14:paraId="31F4FA44" w14:textId="6B4A9F9B" w:rsidR="00096748" w:rsidRPr="00096748" w:rsidRDefault="00096748" w:rsidP="00096748">
            <w:pPr>
              <w:pStyle w:val="NoSpacing"/>
              <w:rPr>
                <w:rFonts w:cstheme="minorHAnsi"/>
                <w:lang w:eastAsia="en-GB"/>
              </w:rPr>
            </w:pPr>
          </w:p>
        </w:tc>
      </w:tr>
      <w:tr w:rsidR="00096748" w:rsidRPr="000A1196" w14:paraId="24962897" w14:textId="77777777" w:rsidTr="00096748">
        <w:trPr>
          <w:trHeight w:val="1226"/>
        </w:trPr>
        <w:tc>
          <w:tcPr>
            <w:tcW w:w="2122" w:type="dxa"/>
            <w:vMerge w:val="restart"/>
            <w:shd w:val="clear" w:color="auto" w:fill="00B0F0"/>
          </w:tcPr>
          <w:p w14:paraId="777C8DF8" w14:textId="77777777" w:rsidR="00096748" w:rsidRPr="000A1196" w:rsidRDefault="00096748" w:rsidP="00096748">
            <w:pPr>
              <w:pStyle w:val="NoSpacing"/>
              <w:rPr>
                <w:b/>
                <w:bCs/>
                <w:i/>
                <w:iCs/>
                <w:lang w:eastAsia="en-GB"/>
              </w:rPr>
            </w:pPr>
            <w:r w:rsidRPr="000A1196">
              <w:rPr>
                <w:b/>
                <w:bCs/>
              </w:rPr>
              <w:t>D. Social, Historical and Political Context</w:t>
            </w:r>
          </w:p>
        </w:tc>
        <w:tc>
          <w:tcPr>
            <w:tcW w:w="425" w:type="dxa"/>
          </w:tcPr>
          <w:p w14:paraId="005F6686" w14:textId="77777777" w:rsidR="00096748" w:rsidRPr="000A1196" w:rsidRDefault="00096748" w:rsidP="00096748">
            <w:pPr>
              <w:pStyle w:val="NoSpacing"/>
              <w:rPr>
                <w:b/>
                <w:bCs/>
                <w:lang w:eastAsia="en-GB"/>
              </w:rPr>
            </w:pPr>
            <w:r w:rsidRPr="000A1196">
              <w:rPr>
                <w:b/>
                <w:bCs/>
                <w:lang w:eastAsia="en-GB"/>
              </w:rPr>
              <w:t>4.</w:t>
            </w:r>
          </w:p>
        </w:tc>
        <w:tc>
          <w:tcPr>
            <w:tcW w:w="13897" w:type="dxa"/>
          </w:tcPr>
          <w:p w14:paraId="6F48707E" w14:textId="77777777" w:rsidR="00096748" w:rsidRPr="00202355" w:rsidRDefault="00096748" w:rsidP="00096748">
            <w:pPr>
              <w:spacing w:before="100" w:beforeAutospacing="1" w:after="100" w:afterAutospacing="1"/>
              <w:rPr>
                <w:rFonts w:eastAsia="Times New Roman" w:cstheme="minorHAnsi"/>
                <w:lang w:eastAsia="en-GB"/>
              </w:rPr>
            </w:pPr>
            <w:r w:rsidRPr="00202355">
              <w:rPr>
                <w:rFonts w:eastAsia="Times New Roman" w:cstheme="minorHAnsi"/>
                <w:lang w:eastAsia="en-GB"/>
              </w:rPr>
              <w:t>Films are viewed across time and place in different contexts but also in relation to a number of broader social and political contexts within which a film is produced. In saying that there is such a thing as international cinema we are indicating that in part, by viewing films produced by specific nations we are able to develop some sense of (</w:t>
            </w:r>
            <w:proofErr w:type="spellStart"/>
            <w:r w:rsidRPr="00202355">
              <w:rPr>
                <w:rFonts w:eastAsia="Times New Roman" w:cstheme="minorHAnsi"/>
                <w:lang w:eastAsia="en-GB"/>
              </w:rPr>
              <w:t>i</w:t>
            </w:r>
            <w:proofErr w:type="spellEnd"/>
            <w:r w:rsidRPr="00202355">
              <w:rPr>
                <w:rFonts w:eastAsia="Times New Roman" w:cstheme="minorHAnsi"/>
                <w:lang w:eastAsia="en-GB"/>
              </w:rPr>
              <w:t>) the ‘character’ of a nation and by extension (ii) the ideological position they might have and (iii) the way in which they ‘see’ the experience of the world around them.</w:t>
            </w:r>
          </w:p>
          <w:p w14:paraId="66ECC6DE" w14:textId="28D9FAAA" w:rsidR="00096748" w:rsidRPr="000A1196" w:rsidRDefault="00096748" w:rsidP="00096748">
            <w:pPr>
              <w:tabs>
                <w:tab w:val="left" w:pos="990"/>
              </w:tabs>
              <w:rPr>
                <w:rFonts w:cstheme="minorHAnsi"/>
                <w:lang w:eastAsia="en-GB"/>
              </w:rPr>
            </w:pPr>
          </w:p>
        </w:tc>
      </w:tr>
      <w:tr w:rsidR="00096748" w:rsidRPr="000A1196" w14:paraId="2DD4D9A4" w14:textId="77777777" w:rsidTr="00096748">
        <w:trPr>
          <w:trHeight w:val="691"/>
        </w:trPr>
        <w:tc>
          <w:tcPr>
            <w:tcW w:w="2122" w:type="dxa"/>
            <w:vMerge/>
            <w:shd w:val="clear" w:color="auto" w:fill="00B0F0"/>
          </w:tcPr>
          <w:p w14:paraId="2F9FE6F9" w14:textId="77777777" w:rsidR="00096748" w:rsidRPr="000A1196" w:rsidRDefault="00096748" w:rsidP="00096748">
            <w:pPr>
              <w:pStyle w:val="NoSpacing"/>
              <w:rPr>
                <w:b/>
                <w:bCs/>
              </w:rPr>
            </w:pPr>
          </w:p>
        </w:tc>
        <w:tc>
          <w:tcPr>
            <w:tcW w:w="425" w:type="dxa"/>
          </w:tcPr>
          <w:p w14:paraId="246CA830" w14:textId="77777777" w:rsidR="00096748" w:rsidRPr="000A1196" w:rsidRDefault="00096748" w:rsidP="00096748">
            <w:pPr>
              <w:pStyle w:val="NoSpacing"/>
              <w:rPr>
                <w:b/>
                <w:bCs/>
                <w:lang w:eastAsia="en-GB"/>
              </w:rPr>
            </w:pPr>
            <w:r w:rsidRPr="000A1196">
              <w:rPr>
                <w:b/>
                <w:bCs/>
                <w:lang w:eastAsia="en-GB"/>
              </w:rPr>
              <w:t>5.</w:t>
            </w:r>
          </w:p>
        </w:tc>
        <w:tc>
          <w:tcPr>
            <w:tcW w:w="13897" w:type="dxa"/>
          </w:tcPr>
          <w:p w14:paraId="12D26E0E" w14:textId="79F48A7B" w:rsidR="00096748" w:rsidRPr="000A1196" w:rsidRDefault="00096748" w:rsidP="00096748">
            <w:pPr>
              <w:pStyle w:val="NoSpacing"/>
              <w:rPr>
                <w:lang w:eastAsia="en-GB"/>
              </w:rPr>
            </w:pPr>
            <w:r w:rsidRPr="00202355">
              <w:rPr>
                <w:rFonts w:eastAsia="Times New Roman" w:cstheme="minorHAnsi"/>
                <w:lang w:eastAsia="en-GB"/>
              </w:rPr>
              <w:t xml:space="preserve">In relation to </w:t>
            </w:r>
            <w:r w:rsidRPr="00202355">
              <w:rPr>
                <w:rFonts w:eastAsia="Times New Roman" w:cstheme="minorHAnsi"/>
                <w:b/>
                <w:bCs/>
                <w:i/>
                <w:iCs/>
                <w:lang w:eastAsia="en-GB"/>
              </w:rPr>
              <w:t>Amy</w:t>
            </w:r>
            <w:r w:rsidRPr="00202355">
              <w:rPr>
                <w:rFonts w:eastAsia="Times New Roman" w:cstheme="minorHAnsi"/>
                <w:lang w:eastAsia="en-GB"/>
              </w:rPr>
              <w:t xml:space="preserve">, the film’s social and political context resides in it being a film about celebrity and also about the way in which popular culture related to Amy Winehouse. The film also relates to social and political (ideological) considerations around drug use, marriage and an ‘idea’ of London as a place. It’s worth noting, too, that </w:t>
            </w:r>
            <w:r w:rsidRPr="00202355">
              <w:rPr>
                <w:rFonts w:eastAsia="Times New Roman" w:cstheme="minorHAnsi"/>
                <w:b/>
                <w:bCs/>
                <w:i/>
                <w:iCs/>
                <w:lang w:eastAsia="en-GB"/>
              </w:rPr>
              <w:t>Amy</w:t>
            </w:r>
            <w:r w:rsidRPr="00202355">
              <w:rPr>
                <w:rFonts w:eastAsia="Times New Roman" w:cstheme="minorHAnsi"/>
                <w:lang w:eastAsia="en-GB"/>
              </w:rPr>
              <w:t xml:space="preserve"> was a hugely popular release at cinemas. </w:t>
            </w:r>
            <w:proofErr w:type="gramStart"/>
            <w:r w:rsidRPr="00202355">
              <w:rPr>
                <w:rFonts w:eastAsia="Times New Roman" w:cstheme="minorHAnsi"/>
                <w:lang w:eastAsia="en-GB"/>
              </w:rPr>
              <w:t>Also</w:t>
            </w:r>
            <w:proofErr w:type="gramEnd"/>
            <w:r w:rsidRPr="00202355">
              <w:rPr>
                <w:rFonts w:eastAsia="Times New Roman" w:cstheme="minorHAnsi"/>
                <w:lang w:eastAsia="en-GB"/>
              </w:rPr>
              <w:t xml:space="preserve"> of note is that it was premiered at the Cannes Film Festival that gave the film a very high-profile promotional launch and also endowed the film with a certain kind of ‘legitimacy’</w:t>
            </w:r>
          </w:p>
        </w:tc>
      </w:tr>
      <w:bookmarkEnd w:id="1"/>
    </w:tbl>
    <w:p w14:paraId="13309D70" w14:textId="77777777" w:rsidR="005057EF" w:rsidRPr="000A1196" w:rsidRDefault="005057EF" w:rsidP="005057EF">
      <w:pPr>
        <w:ind w:left="-567"/>
        <w:jc w:val="center"/>
        <w:rPr>
          <w:b/>
          <w:bCs/>
          <w:u w:val="single"/>
        </w:rPr>
      </w:pPr>
    </w:p>
    <w:tbl>
      <w:tblPr>
        <w:tblStyle w:val="TableGrid"/>
        <w:tblpPr w:leftFromText="180" w:rightFromText="180" w:vertAnchor="text" w:horzAnchor="margin" w:tblpXSpec="center" w:tblpY="-480"/>
        <w:tblW w:w="16443" w:type="dxa"/>
        <w:tblLook w:val="04A0" w:firstRow="1" w:lastRow="0" w:firstColumn="1" w:lastColumn="0" w:noHBand="0" w:noVBand="1"/>
      </w:tblPr>
      <w:tblGrid>
        <w:gridCol w:w="3544"/>
        <w:gridCol w:w="562"/>
        <w:gridCol w:w="12337"/>
      </w:tblGrid>
      <w:tr w:rsidR="00636D1F" w:rsidRPr="000A1196" w14:paraId="39075088" w14:textId="77777777" w:rsidTr="000A1196">
        <w:tc>
          <w:tcPr>
            <w:tcW w:w="16443" w:type="dxa"/>
            <w:gridSpan w:val="3"/>
            <w:shd w:val="clear" w:color="auto" w:fill="FFFFFF" w:themeFill="background1"/>
          </w:tcPr>
          <w:bookmarkEnd w:id="0"/>
          <w:p w14:paraId="046BDCEE" w14:textId="2C3CE62F" w:rsidR="00636D1F" w:rsidRPr="000A1196" w:rsidRDefault="00636D1F" w:rsidP="00232DA6">
            <w:pPr>
              <w:pStyle w:val="NoSpacing"/>
              <w:jc w:val="center"/>
              <w:rPr>
                <w:b/>
                <w:bCs/>
              </w:rPr>
            </w:pPr>
            <w:r w:rsidRPr="000A1196">
              <w:rPr>
                <w:b/>
                <w:bCs/>
              </w:rPr>
              <w:lastRenderedPageBreak/>
              <w:t>Key Scenes</w:t>
            </w:r>
          </w:p>
        </w:tc>
      </w:tr>
      <w:tr w:rsidR="000F50DF" w:rsidRPr="000A1196" w14:paraId="7820BF21" w14:textId="77777777" w:rsidTr="00480D47">
        <w:trPr>
          <w:trHeight w:val="612"/>
        </w:trPr>
        <w:tc>
          <w:tcPr>
            <w:tcW w:w="3544" w:type="dxa"/>
            <w:vMerge w:val="restart"/>
            <w:shd w:val="clear" w:color="auto" w:fill="A8D08D" w:themeFill="accent6" w:themeFillTint="99"/>
          </w:tcPr>
          <w:p w14:paraId="68A9427A" w14:textId="2A0EC8A7" w:rsidR="000F50DF" w:rsidRPr="000A1196" w:rsidRDefault="000F50DF" w:rsidP="00636D1F">
            <w:pPr>
              <w:pStyle w:val="NoSpacing"/>
              <w:rPr>
                <w:rFonts w:cstheme="minorHAnsi"/>
                <w:b/>
                <w:bCs/>
                <w:color w:val="000000" w:themeColor="text1"/>
              </w:rPr>
            </w:pPr>
            <w:r w:rsidRPr="000A1196">
              <w:rPr>
                <w:rFonts w:cstheme="minorHAnsi"/>
                <w:b/>
                <w:bCs/>
                <w:color w:val="000000" w:themeColor="text1"/>
              </w:rPr>
              <w:t>E.</w:t>
            </w:r>
            <w:r w:rsidR="00096748">
              <w:rPr>
                <w:rFonts w:cstheme="minorHAnsi"/>
                <w:b/>
                <w:bCs/>
                <w:color w:val="000000" w:themeColor="text1"/>
              </w:rPr>
              <w:t xml:space="preserve"> Back to Black Recording</w:t>
            </w:r>
          </w:p>
        </w:tc>
        <w:tc>
          <w:tcPr>
            <w:tcW w:w="562" w:type="dxa"/>
          </w:tcPr>
          <w:p w14:paraId="0CCF9CCC" w14:textId="1EC18D25" w:rsidR="000F50DF" w:rsidRPr="000A1196" w:rsidRDefault="000F50DF" w:rsidP="00636D1F">
            <w:pPr>
              <w:pStyle w:val="NoSpacing"/>
              <w:rPr>
                <w:b/>
                <w:bCs/>
              </w:rPr>
            </w:pPr>
            <w:r w:rsidRPr="000A1196">
              <w:rPr>
                <w:b/>
                <w:bCs/>
              </w:rPr>
              <w:t>7.</w:t>
            </w:r>
          </w:p>
        </w:tc>
        <w:tc>
          <w:tcPr>
            <w:tcW w:w="12337" w:type="dxa"/>
          </w:tcPr>
          <w:p w14:paraId="00E27188" w14:textId="77777777" w:rsidR="00096748" w:rsidRPr="00243B6C" w:rsidRDefault="00096748" w:rsidP="00096748">
            <w:pPr>
              <w:pStyle w:val="NoSpacing"/>
              <w:rPr>
                <w:lang w:eastAsia="en-GB"/>
              </w:rPr>
            </w:pPr>
            <w:r w:rsidRPr="00243B6C">
              <w:rPr>
                <w:lang w:eastAsia="en-GB"/>
              </w:rPr>
              <w:t>In the film there is a notable sequence that is archival footage that shows Amy Winehouse in the studio recording the title song of her breakthrough album. Critically, Kapadia takes this footage that would have been shot for commercial, promotional purposes and ‘revises’ its meaning by adding to it an interview on camera from the archive of Amy Winehouse.</w:t>
            </w:r>
          </w:p>
          <w:p w14:paraId="406830B1" w14:textId="5F7D8721" w:rsidR="000F50DF" w:rsidRPr="000A1196" w:rsidRDefault="000F50DF" w:rsidP="00636D1F">
            <w:pPr>
              <w:pStyle w:val="NoSpacing"/>
            </w:pPr>
          </w:p>
        </w:tc>
      </w:tr>
      <w:tr w:rsidR="000F50DF" w:rsidRPr="000A1196" w14:paraId="6F847D0C" w14:textId="77777777" w:rsidTr="00480D47">
        <w:trPr>
          <w:trHeight w:val="611"/>
        </w:trPr>
        <w:tc>
          <w:tcPr>
            <w:tcW w:w="3544" w:type="dxa"/>
            <w:vMerge/>
            <w:shd w:val="clear" w:color="auto" w:fill="A8D08D" w:themeFill="accent6" w:themeFillTint="99"/>
          </w:tcPr>
          <w:p w14:paraId="7EA51F5E" w14:textId="77777777" w:rsidR="000F50DF" w:rsidRPr="000A1196" w:rsidRDefault="000F50DF" w:rsidP="00636D1F">
            <w:pPr>
              <w:pStyle w:val="NoSpacing"/>
              <w:rPr>
                <w:rFonts w:cstheme="minorHAnsi"/>
                <w:color w:val="000000" w:themeColor="text1"/>
              </w:rPr>
            </w:pPr>
          </w:p>
        </w:tc>
        <w:tc>
          <w:tcPr>
            <w:tcW w:w="562" w:type="dxa"/>
          </w:tcPr>
          <w:p w14:paraId="6598731A" w14:textId="09EC77C4" w:rsidR="000F50DF" w:rsidRPr="000A1196" w:rsidRDefault="000F50DF" w:rsidP="00636D1F">
            <w:pPr>
              <w:pStyle w:val="NoSpacing"/>
              <w:rPr>
                <w:b/>
                <w:bCs/>
              </w:rPr>
            </w:pPr>
            <w:r w:rsidRPr="000A1196">
              <w:rPr>
                <w:b/>
                <w:bCs/>
              </w:rPr>
              <w:t>8.</w:t>
            </w:r>
          </w:p>
        </w:tc>
        <w:tc>
          <w:tcPr>
            <w:tcW w:w="12337" w:type="dxa"/>
          </w:tcPr>
          <w:p w14:paraId="12F98B10" w14:textId="77777777" w:rsidR="00096748" w:rsidRPr="00243B6C" w:rsidRDefault="00096748" w:rsidP="00096748">
            <w:pPr>
              <w:pStyle w:val="NoSpacing"/>
              <w:rPr>
                <w:lang w:eastAsia="en-GB"/>
              </w:rPr>
            </w:pPr>
            <w:r w:rsidRPr="00243B6C">
              <w:rPr>
                <w:lang w:eastAsia="en-GB"/>
              </w:rPr>
              <w:t xml:space="preserve">The interview provides fundamental information about Winehouse’s lyrics and also her relationship with Blake Fielder-Civil. This sequence demonstrates the value of sound in generating meaning in relation to image: we hear a segment of the song </w:t>
            </w:r>
            <w:r w:rsidRPr="00243B6C">
              <w:rPr>
                <w:b/>
                <w:bCs/>
                <w:i/>
                <w:iCs/>
                <w:lang w:eastAsia="en-GB"/>
              </w:rPr>
              <w:t>Back to Black</w:t>
            </w:r>
            <w:r w:rsidRPr="00243B6C">
              <w:rPr>
                <w:lang w:eastAsia="en-GB"/>
              </w:rPr>
              <w:t xml:space="preserve"> and we also hear Winehouse’s producer, Mark </w:t>
            </w:r>
            <w:proofErr w:type="spellStart"/>
            <w:r w:rsidRPr="00243B6C">
              <w:rPr>
                <w:lang w:eastAsia="en-GB"/>
              </w:rPr>
              <w:t>Ronson</w:t>
            </w:r>
            <w:proofErr w:type="spellEnd"/>
            <w:r w:rsidRPr="00243B6C">
              <w:rPr>
                <w:lang w:eastAsia="en-GB"/>
              </w:rPr>
              <w:t xml:space="preserve"> discussing her relationship with Fielder-Civil.</w:t>
            </w:r>
            <w:bookmarkStart w:id="2" w:name="_GoBack"/>
            <w:bookmarkEnd w:id="2"/>
          </w:p>
          <w:p w14:paraId="1FB14A84" w14:textId="6DB5F732" w:rsidR="000F50DF" w:rsidRPr="000A1196" w:rsidRDefault="000F50DF" w:rsidP="00636D1F">
            <w:pPr>
              <w:pStyle w:val="NoSpacing"/>
            </w:pPr>
          </w:p>
        </w:tc>
      </w:tr>
      <w:tr w:rsidR="000F50DF" w:rsidRPr="000A1196" w14:paraId="06373452" w14:textId="77777777" w:rsidTr="00480D47">
        <w:trPr>
          <w:trHeight w:val="611"/>
        </w:trPr>
        <w:tc>
          <w:tcPr>
            <w:tcW w:w="3544" w:type="dxa"/>
            <w:vMerge/>
            <w:shd w:val="clear" w:color="auto" w:fill="A8D08D" w:themeFill="accent6" w:themeFillTint="99"/>
          </w:tcPr>
          <w:p w14:paraId="48BE200F" w14:textId="77777777" w:rsidR="000F50DF" w:rsidRPr="000A1196" w:rsidRDefault="000F50DF" w:rsidP="00636D1F">
            <w:pPr>
              <w:pStyle w:val="NoSpacing"/>
              <w:rPr>
                <w:rFonts w:cstheme="minorHAnsi"/>
                <w:color w:val="000000" w:themeColor="text1"/>
              </w:rPr>
            </w:pPr>
          </w:p>
        </w:tc>
        <w:tc>
          <w:tcPr>
            <w:tcW w:w="562" w:type="dxa"/>
          </w:tcPr>
          <w:p w14:paraId="1254D349" w14:textId="26C4DC84" w:rsidR="000F50DF" w:rsidRPr="000A1196" w:rsidRDefault="000F50DF" w:rsidP="00636D1F">
            <w:pPr>
              <w:pStyle w:val="NoSpacing"/>
              <w:rPr>
                <w:b/>
                <w:bCs/>
              </w:rPr>
            </w:pPr>
            <w:r w:rsidRPr="000A1196">
              <w:rPr>
                <w:b/>
                <w:bCs/>
              </w:rPr>
              <w:t>9.</w:t>
            </w:r>
          </w:p>
        </w:tc>
        <w:tc>
          <w:tcPr>
            <w:tcW w:w="12337" w:type="dxa"/>
          </w:tcPr>
          <w:p w14:paraId="467E3077" w14:textId="77777777" w:rsidR="00096748" w:rsidRPr="00243B6C" w:rsidRDefault="00096748" w:rsidP="00096748">
            <w:pPr>
              <w:pStyle w:val="NoSpacing"/>
              <w:rPr>
                <w:lang w:eastAsia="en-GB"/>
              </w:rPr>
            </w:pPr>
            <w:r w:rsidRPr="00243B6C">
              <w:rPr>
                <w:lang w:eastAsia="en-GB"/>
              </w:rPr>
              <w:t>Captions are then used in the sequence to lay out the lyrics and in their use at this point they provide a context to Winehouse relationship to Fielder-Civil so that the material does provide a powerful connection between ‘real life’ and creative life and in doing so relates to how we understand the work and processes of creative people.</w:t>
            </w:r>
          </w:p>
          <w:p w14:paraId="40E0AC1A" w14:textId="78D91CD1" w:rsidR="000F50DF" w:rsidRPr="000A1196" w:rsidRDefault="000F50DF" w:rsidP="00636D1F">
            <w:pPr>
              <w:pStyle w:val="NoSpacing"/>
            </w:pPr>
          </w:p>
        </w:tc>
      </w:tr>
      <w:tr w:rsidR="000F50DF" w:rsidRPr="000A1196" w14:paraId="3204492B" w14:textId="77777777" w:rsidTr="00480D47">
        <w:trPr>
          <w:trHeight w:val="261"/>
        </w:trPr>
        <w:tc>
          <w:tcPr>
            <w:tcW w:w="3544" w:type="dxa"/>
            <w:vMerge/>
            <w:shd w:val="clear" w:color="auto" w:fill="A8D08D" w:themeFill="accent6" w:themeFillTint="99"/>
          </w:tcPr>
          <w:p w14:paraId="0EDEDD39" w14:textId="77777777" w:rsidR="000F50DF" w:rsidRPr="000A1196" w:rsidRDefault="000F50DF" w:rsidP="00636D1F">
            <w:pPr>
              <w:pStyle w:val="NoSpacing"/>
              <w:rPr>
                <w:rFonts w:cstheme="minorHAnsi"/>
                <w:color w:val="000000" w:themeColor="text1"/>
              </w:rPr>
            </w:pPr>
          </w:p>
        </w:tc>
        <w:tc>
          <w:tcPr>
            <w:tcW w:w="562" w:type="dxa"/>
          </w:tcPr>
          <w:p w14:paraId="21EE3A57" w14:textId="085E583D" w:rsidR="000F50DF" w:rsidRPr="000A1196" w:rsidRDefault="000F50DF" w:rsidP="00636D1F">
            <w:pPr>
              <w:pStyle w:val="NoSpacing"/>
              <w:rPr>
                <w:b/>
                <w:bCs/>
              </w:rPr>
            </w:pPr>
            <w:r w:rsidRPr="000A1196">
              <w:rPr>
                <w:b/>
                <w:bCs/>
              </w:rPr>
              <w:t>10.</w:t>
            </w:r>
          </w:p>
        </w:tc>
        <w:tc>
          <w:tcPr>
            <w:tcW w:w="12337" w:type="dxa"/>
          </w:tcPr>
          <w:p w14:paraId="0FEC6577" w14:textId="77777777" w:rsidR="00096748" w:rsidRPr="00243B6C" w:rsidRDefault="00096748" w:rsidP="00096748">
            <w:pPr>
              <w:pStyle w:val="NoSpacing"/>
              <w:rPr>
                <w:lang w:eastAsia="en-GB"/>
              </w:rPr>
            </w:pPr>
            <w:r w:rsidRPr="00243B6C">
              <w:rPr>
                <w:lang w:eastAsia="en-GB"/>
              </w:rPr>
              <w:t>The sequence combines diegetic and non-diegetic sound and we recognize a disjunction between Amy singing in the studio and what we hear on the soundtrack. It’s an intentionally constructed effect; the work of the director and his team to construct meaning through use of sound and image.</w:t>
            </w:r>
          </w:p>
          <w:p w14:paraId="16D9865D" w14:textId="3C336E3E" w:rsidR="000F50DF" w:rsidRPr="000A1196" w:rsidRDefault="000F50DF" w:rsidP="00636D1F">
            <w:pPr>
              <w:pStyle w:val="NoSpacing"/>
            </w:pPr>
          </w:p>
        </w:tc>
      </w:tr>
      <w:tr w:rsidR="000F50DF" w:rsidRPr="000A1196" w14:paraId="372CEE0B" w14:textId="77777777" w:rsidTr="00480D47">
        <w:trPr>
          <w:trHeight w:val="611"/>
        </w:trPr>
        <w:tc>
          <w:tcPr>
            <w:tcW w:w="3544" w:type="dxa"/>
            <w:vMerge/>
            <w:shd w:val="clear" w:color="auto" w:fill="A8D08D" w:themeFill="accent6" w:themeFillTint="99"/>
          </w:tcPr>
          <w:p w14:paraId="624705D5" w14:textId="77777777" w:rsidR="000F50DF" w:rsidRPr="000A1196" w:rsidRDefault="000F50DF" w:rsidP="00636D1F">
            <w:pPr>
              <w:pStyle w:val="NoSpacing"/>
              <w:rPr>
                <w:rFonts w:cstheme="minorHAnsi"/>
                <w:color w:val="000000" w:themeColor="text1"/>
              </w:rPr>
            </w:pPr>
          </w:p>
        </w:tc>
        <w:tc>
          <w:tcPr>
            <w:tcW w:w="562" w:type="dxa"/>
          </w:tcPr>
          <w:p w14:paraId="59B7ACB2" w14:textId="79944B1B" w:rsidR="000F50DF" w:rsidRPr="000A1196" w:rsidRDefault="000F50DF" w:rsidP="00636D1F">
            <w:pPr>
              <w:pStyle w:val="NoSpacing"/>
              <w:rPr>
                <w:b/>
                <w:bCs/>
              </w:rPr>
            </w:pPr>
            <w:r w:rsidRPr="000A1196">
              <w:rPr>
                <w:b/>
                <w:bCs/>
              </w:rPr>
              <w:t>11.</w:t>
            </w:r>
          </w:p>
        </w:tc>
        <w:tc>
          <w:tcPr>
            <w:tcW w:w="12337" w:type="dxa"/>
          </w:tcPr>
          <w:p w14:paraId="07C291F7" w14:textId="77777777" w:rsidR="00096748" w:rsidRPr="00243B6C" w:rsidRDefault="00096748" w:rsidP="00096748">
            <w:pPr>
              <w:pStyle w:val="NoSpacing"/>
              <w:rPr>
                <w:lang w:eastAsia="en-GB"/>
              </w:rPr>
            </w:pPr>
            <w:r w:rsidRPr="00243B6C">
              <w:rPr>
                <w:lang w:eastAsia="en-GB"/>
              </w:rPr>
              <w:t xml:space="preserve">Critically, this scene retains a moment from the archival footage of Amy Winehouse reacting to a take / recording of her performance and the lyrical content and we hear her say </w:t>
            </w:r>
            <w:r w:rsidRPr="00243B6C">
              <w:rPr>
                <w:i/>
                <w:iCs/>
                <w:lang w:eastAsia="en-GB"/>
              </w:rPr>
              <w:t>"it’s a bit upsetting at the end, isn’t it?”</w:t>
            </w:r>
            <w:r w:rsidRPr="00243B6C">
              <w:rPr>
                <w:lang w:eastAsia="en-GB"/>
              </w:rPr>
              <w:t>. Kapadia’s inclusion of this comment assumes a particular power in the context of how Winehouse’s life would develop.</w:t>
            </w:r>
          </w:p>
          <w:p w14:paraId="76690D37" w14:textId="1C192528" w:rsidR="000F50DF" w:rsidRPr="000A1196" w:rsidRDefault="000F50DF" w:rsidP="00636D1F">
            <w:pPr>
              <w:pStyle w:val="NoSpacing"/>
            </w:pPr>
          </w:p>
        </w:tc>
      </w:tr>
      <w:tr w:rsidR="000F50DF" w:rsidRPr="000A1196" w14:paraId="66964A2E" w14:textId="77777777" w:rsidTr="00480D47">
        <w:trPr>
          <w:trHeight w:val="218"/>
        </w:trPr>
        <w:tc>
          <w:tcPr>
            <w:tcW w:w="3544" w:type="dxa"/>
            <w:vMerge/>
            <w:shd w:val="clear" w:color="auto" w:fill="A8D08D" w:themeFill="accent6" w:themeFillTint="99"/>
          </w:tcPr>
          <w:p w14:paraId="0E104410" w14:textId="77777777" w:rsidR="000F50DF" w:rsidRPr="000A1196" w:rsidRDefault="000F50DF" w:rsidP="00636D1F">
            <w:pPr>
              <w:pStyle w:val="NoSpacing"/>
              <w:rPr>
                <w:rFonts w:cstheme="minorHAnsi"/>
                <w:color w:val="000000" w:themeColor="text1"/>
              </w:rPr>
            </w:pPr>
          </w:p>
        </w:tc>
        <w:tc>
          <w:tcPr>
            <w:tcW w:w="562" w:type="dxa"/>
          </w:tcPr>
          <w:p w14:paraId="210FD143" w14:textId="3FC40856" w:rsidR="000F50DF" w:rsidRPr="000A1196" w:rsidRDefault="000F50DF" w:rsidP="00636D1F">
            <w:pPr>
              <w:pStyle w:val="NoSpacing"/>
              <w:rPr>
                <w:b/>
                <w:bCs/>
              </w:rPr>
            </w:pPr>
            <w:r w:rsidRPr="000A1196">
              <w:rPr>
                <w:b/>
                <w:bCs/>
              </w:rPr>
              <w:t>12.</w:t>
            </w:r>
          </w:p>
        </w:tc>
        <w:tc>
          <w:tcPr>
            <w:tcW w:w="12337" w:type="dxa"/>
          </w:tcPr>
          <w:p w14:paraId="029C405E" w14:textId="77777777" w:rsidR="000B190C" w:rsidRPr="00243B6C" w:rsidRDefault="000B190C" w:rsidP="000B190C">
            <w:pPr>
              <w:pStyle w:val="NoSpacing"/>
              <w:rPr>
                <w:lang w:eastAsia="en-GB"/>
              </w:rPr>
            </w:pPr>
            <w:r w:rsidRPr="00243B6C">
              <w:rPr>
                <w:lang w:eastAsia="en-GB"/>
              </w:rPr>
              <w:t>If we were to discuss the film in terms of genre, we would identify the film as working to some degree within the genre of tragedy.</w:t>
            </w:r>
          </w:p>
          <w:p w14:paraId="76DBBAB3" w14:textId="0BB320D6" w:rsidR="000F50DF" w:rsidRPr="000A1196" w:rsidRDefault="000F50DF" w:rsidP="00636D1F">
            <w:pPr>
              <w:pStyle w:val="NoSpacing"/>
            </w:pPr>
          </w:p>
        </w:tc>
      </w:tr>
    </w:tbl>
    <w:p w14:paraId="7B768237" w14:textId="0C6E66D7" w:rsidR="00EC0779" w:rsidRPr="000A1196" w:rsidRDefault="00EC0779" w:rsidP="00744BA3">
      <w:pPr>
        <w:pStyle w:val="NoSpacing"/>
        <w:rPr>
          <w:b/>
          <w:bCs/>
          <w:u w:val="single"/>
        </w:rPr>
      </w:pPr>
    </w:p>
    <w:p w14:paraId="026BEBCC" w14:textId="0141B29A" w:rsidR="00EC0779" w:rsidRPr="000A1196" w:rsidRDefault="00EC0779" w:rsidP="00744BA3">
      <w:pPr>
        <w:pStyle w:val="NoSpacing"/>
        <w:rPr>
          <w:b/>
          <w:bCs/>
          <w:u w:val="single"/>
        </w:rPr>
      </w:pPr>
    </w:p>
    <w:tbl>
      <w:tblPr>
        <w:tblStyle w:val="TableGrid"/>
        <w:tblpPr w:leftFromText="180" w:rightFromText="180" w:vertAnchor="text" w:horzAnchor="margin" w:tblpXSpec="center" w:tblpY="201"/>
        <w:tblW w:w="16443" w:type="dxa"/>
        <w:tblLook w:val="04A0" w:firstRow="1" w:lastRow="0" w:firstColumn="1" w:lastColumn="0" w:noHBand="0" w:noVBand="1"/>
      </w:tblPr>
      <w:tblGrid>
        <w:gridCol w:w="2082"/>
        <w:gridCol w:w="632"/>
        <w:gridCol w:w="13729"/>
      </w:tblGrid>
      <w:tr w:rsidR="00A11FDB" w:rsidRPr="000A1196" w14:paraId="36DD903B" w14:textId="77777777" w:rsidTr="000A1196">
        <w:tc>
          <w:tcPr>
            <w:tcW w:w="16443" w:type="dxa"/>
            <w:gridSpan w:val="3"/>
            <w:shd w:val="clear" w:color="auto" w:fill="FFFFFF" w:themeFill="background1"/>
          </w:tcPr>
          <w:p w14:paraId="4F4F78E4" w14:textId="566AE5E3" w:rsidR="00A11FDB" w:rsidRPr="000A1196" w:rsidRDefault="000B190C" w:rsidP="00232DA6">
            <w:pPr>
              <w:pStyle w:val="NoSpacing"/>
              <w:jc w:val="center"/>
              <w:rPr>
                <w:b/>
                <w:bCs/>
              </w:rPr>
            </w:pPr>
            <w:r>
              <w:rPr>
                <w:b/>
                <w:bCs/>
              </w:rPr>
              <w:t>Documentary Filmmakers</w:t>
            </w:r>
          </w:p>
        </w:tc>
      </w:tr>
      <w:tr w:rsidR="003F0377" w:rsidRPr="000A1196" w14:paraId="0C5BE15C" w14:textId="77777777" w:rsidTr="000A1196">
        <w:trPr>
          <w:trHeight w:val="412"/>
        </w:trPr>
        <w:tc>
          <w:tcPr>
            <w:tcW w:w="2082" w:type="dxa"/>
            <w:vMerge w:val="restart"/>
            <w:shd w:val="clear" w:color="auto" w:fill="7030A0"/>
          </w:tcPr>
          <w:p w14:paraId="6CF2F342" w14:textId="16AD16ED" w:rsidR="003F0377" w:rsidRPr="000A1196" w:rsidRDefault="003F0377" w:rsidP="005F6CBB">
            <w:pPr>
              <w:pStyle w:val="NoSpacing"/>
              <w:rPr>
                <w:rFonts w:cstheme="minorHAnsi"/>
                <w:b/>
                <w:bCs/>
                <w:color w:val="000000" w:themeColor="text1"/>
              </w:rPr>
            </w:pPr>
            <w:r>
              <w:rPr>
                <w:rFonts w:cstheme="minorHAnsi"/>
                <w:b/>
                <w:bCs/>
                <w:color w:val="000000" w:themeColor="text1"/>
              </w:rPr>
              <w:t>F</w:t>
            </w:r>
            <w:r w:rsidRPr="000A1196">
              <w:rPr>
                <w:rFonts w:cstheme="minorHAnsi"/>
                <w:b/>
                <w:bCs/>
                <w:color w:val="000000" w:themeColor="text1"/>
              </w:rPr>
              <w:t xml:space="preserve">. </w:t>
            </w:r>
            <w:r>
              <w:rPr>
                <w:rFonts w:cstheme="minorHAnsi"/>
                <w:b/>
                <w:bCs/>
                <w:color w:val="000000" w:themeColor="text1"/>
              </w:rPr>
              <w:t>Michael Moore</w:t>
            </w:r>
          </w:p>
        </w:tc>
        <w:tc>
          <w:tcPr>
            <w:tcW w:w="632" w:type="dxa"/>
          </w:tcPr>
          <w:p w14:paraId="70A2C2DE" w14:textId="78315099" w:rsidR="003F0377" w:rsidRPr="000A1196" w:rsidRDefault="003F0377" w:rsidP="00232DA6">
            <w:pPr>
              <w:pStyle w:val="NoSpacing"/>
              <w:rPr>
                <w:b/>
                <w:bCs/>
                <w:lang w:eastAsia="en-GB"/>
              </w:rPr>
            </w:pPr>
            <w:r>
              <w:rPr>
                <w:b/>
                <w:bCs/>
                <w:lang w:eastAsia="en-GB"/>
              </w:rPr>
              <w:t>1</w:t>
            </w:r>
            <w:r w:rsidRPr="000A1196">
              <w:rPr>
                <w:b/>
                <w:bCs/>
                <w:lang w:eastAsia="en-GB"/>
              </w:rPr>
              <w:t>3.</w:t>
            </w:r>
          </w:p>
        </w:tc>
        <w:tc>
          <w:tcPr>
            <w:tcW w:w="13729" w:type="dxa"/>
          </w:tcPr>
          <w:p w14:paraId="3F6B2449" w14:textId="253D27B2" w:rsidR="003F0377" w:rsidRPr="00ED6F6C" w:rsidRDefault="003F0377" w:rsidP="00232DA6">
            <w:pPr>
              <w:pStyle w:val="NoSpacing"/>
              <w:rPr>
                <w:rFonts w:cstheme="minorHAnsi"/>
              </w:rPr>
            </w:pPr>
            <w:r w:rsidRPr="00ED6F6C">
              <w:rPr>
                <w:rFonts w:cstheme="minorHAnsi"/>
              </w:rPr>
              <w:t>Michael Moore, American filmmaker, author, and political activist, who was best known for a series of documentaries—often controversial—that addressed major political and social issues in the United States</w:t>
            </w:r>
          </w:p>
        </w:tc>
      </w:tr>
      <w:tr w:rsidR="003F0377" w:rsidRPr="000A1196" w14:paraId="5A24D0C2" w14:textId="77777777" w:rsidTr="000A1196">
        <w:trPr>
          <w:trHeight w:val="612"/>
        </w:trPr>
        <w:tc>
          <w:tcPr>
            <w:tcW w:w="2082" w:type="dxa"/>
            <w:vMerge/>
            <w:shd w:val="clear" w:color="auto" w:fill="7030A0"/>
          </w:tcPr>
          <w:p w14:paraId="2BE89D61" w14:textId="77777777" w:rsidR="003F0377" w:rsidRPr="000A1196" w:rsidRDefault="003F0377" w:rsidP="00232DA6">
            <w:pPr>
              <w:pStyle w:val="NoSpacing"/>
              <w:numPr>
                <w:ilvl w:val="0"/>
                <w:numId w:val="9"/>
              </w:numPr>
              <w:rPr>
                <w:rFonts w:cstheme="minorHAnsi"/>
                <w:color w:val="000000" w:themeColor="text1"/>
              </w:rPr>
            </w:pPr>
          </w:p>
        </w:tc>
        <w:tc>
          <w:tcPr>
            <w:tcW w:w="632" w:type="dxa"/>
          </w:tcPr>
          <w:p w14:paraId="186BC8FC" w14:textId="4236A4E3" w:rsidR="003F0377" w:rsidRPr="000A1196" w:rsidRDefault="003F0377" w:rsidP="00232DA6">
            <w:pPr>
              <w:pStyle w:val="NoSpacing"/>
              <w:rPr>
                <w:b/>
                <w:bCs/>
                <w:lang w:eastAsia="en-GB"/>
              </w:rPr>
            </w:pPr>
            <w:r>
              <w:rPr>
                <w:b/>
                <w:bCs/>
                <w:lang w:eastAsia="en-GB"/>
              </w:rPr>
              <w:t>1</w:t>
            </w:r>
            <w:r w:rsidRPr="000A1196">
              <w:rPr>
                <w:b/>
                <w:bCs/>
                <w:lang w:eastAsia="en-GB"/>
              </w:rPr>
              <w:t>4.</w:t>
            </w:r>
          </w:p>
        </w:tc>
        <w:tc>
          <w:tcPr>
            <w:tcW w:w="13729" w:type="dxa"/>
          </w:tcPr>
          <w:p w14:paraId="15EA5753" w14:textId="2756C608" w:rsidR="003F0377" w:rsidRPr="00ED6F6C" w:rsidRDefault="003F0377" w:rsidP="00232DA6">
            <w:pPr>
              <w:pStyle w:val="NoSpacing"/>
              <w:rPr>
                <w:rFonts w:cstheme="minorHAnsi"/>
                <w:lang w:eastAsia="en-GB"/>
              </w:rPr>
            </w:pPr>
            <w:r>
              <w:rPr>
                <w:rFonts w:cstheme="minorHAnsi"/>
              </w:rPr>
              <w:t>A</w:t>
            </w:r>
            <w:r w:rsidRPr="00ED6F6C">
              <w:rPr>
                <w:rFonts w:cstheme="minorHAnsi"/>
              </w:rPr>
              <w:t>fter producing three television series and other limited-release films—including the comedy</w:t>
            </w:r>
            <w:r w:rsidR="000E32CD">
              <w:rPr>
                <w:rFonts w:cstheme="minorHAnsi"/>
              </w:rPr>
              <w:t xml:space="preserve"> </w:t>
            </w:r>
            <w:r w:rsidRPr="00ED6F6C">
              <w:rPr>
                <w:rFonts w:cstheme="minorHAnsi"/>
              </w:rPr>
              <w:t>Canadian Bacon(1995), in which a U.S. president</w:t>
            </w:r>
            <w:r w:rsidR="000E32CD">
              <w:rPr>
                <w:rFonts w:cstheme="minorHAnsi"/>
              </w:rPr>
              <w:t xml:space="preserve"> </w:t>
            </w:r>
            <w:r w:rsidRPr="00ED6F6C">
              <w:rPr>
                <w:rFonts w:cstheme="minorHAnsi"/>
              </w:rPr>
              <w:t>starts a cold war with Canada in order to boost his approval ratings—Moore achieved major success with Bowling for Columbine(2002). The film, which profiles gun violence in the United States, won the Academy Award for best documentary.</w:t>
            </w:r>
          </w:p>
        </w:tc>
      </w:tr>
      <w:tr w:rsidR="003F0377" w:rsidRPr="000A1196" w14:paraId="35DF4BC4" w14:textId="77777777" w:rsidTr="000A1196">
        <w:trPr>
          <w:trHeight w:val="612"/>
        </w:trPr>
        <w:tc>
          <w:tcPr>
            <w:tcW w:w="2082" w:type="dxa"/>
            <w:vMerge/>
            <w:shd w:val="clear" w:color="auto" w:fill="7030A0"/>
          </w:tcPr>
          <w:p w14:paraId="2B79E9D8" w14:textId="77777777" w:rsidR="003F0377" w:rsidRPr="000A1196" w:rsidRDefault="003F0377" w:rsidP="00ED6F6C">
            <w:pPr>
              <w:pStyle w:val="NoSpacing"/>
              <w:ind w:left="720"/>
              <w:rPr>
                <w:rFonts w:cstheme="minorHAnsi"/>
                <w:color w:val="000000" w:themeColor="text1"/>
              </w:rPr>
            </w:pPr>
          </w:p>
        </w:tc>
        <w:tc>
          <w:tcPr>
            <w:tcW w:w="632" w:type="dxa"/>
          </w:tcPr>
          <w:p w14:paraId="7F0CCAF2" w14:textId="2266B0FB" w:rsidR="003F0377" w:rsidRPr="000A1196" w:rsidRDefault="003F0377" w:rsidP="00232DA6">
            <w:pPr>
              <w:pStyle w:val="NoSpacing"/>
              <w:rPr>
                <w:b/>
                <w:bCs/>
                <w:lang w:eastAsia="en-GB"/>
              </w:rPr>
            </w:pPr>
            <w:r>
              <w:rPr>
                <w:b/>
                <w:bCs/>
                <w:lang w:eastAsia="en-GB"/>
              </w:rPr>
              <w:t>15.</w:t>
            </w:r>
          </w:p>
        </w:tc>
        <w:tc>
          <w:tcPr>
            <w:tcW w:w="13729" w:type="dxa"/>
          </w:tcPr>
          <w:p w14:paraId="28D2B10F" w14:textId="3C3902A4" w:rsidR="003F0377" w:rsidRPr="00ED6F6C" w:rsidRDefault="003F0377" w:rsidP="00232DA6">
            <w:pPr>
              <w:pStyle w:val="NoSpacing"/>
              <w:rPr>
                <w:rFonts w:cstheme="minorHAnsi"/>
              </w:rPr>
            </w:pPr>
            <w:r>
              <w:rPr>
                <w:rFonts w:cstheme="minorHAnsi"/>
              </w:rPr>
              <w:t>I</w:t>
            </w:r>
            <w:r w:rsidRPr="00ED6F6C">
              <w:rPr>
                <w:rFonts w:cstheme="minorHAnsi"/>
              </w:rPr>
              <w:t>n his next documentary, Fahrenheit 9/11(2004), Moore criticized U.S. Pres. George W. Bush’s handling of the September 11 attacks and the administration’s decision to start the Iraq War. Although highly controversial, it won the Golden Palm at the Cannes film festival and earned more than $222 million worldwide to become the highest-grossing documentary</w:t>
            </w:r>
          </w:p>
        </w:tc>
      </w:tr>
      <w:tr w:rsidR="003F0377" w:rsidRPr="000A1196" w14:paraId="2E030AF4" w14:textId="77777777" w:rsidTr="000A1196">
        <w:trPr>
          <w:trHeight w:val="612"/>
        </w:trPr>
        <w:tc>
          <w:tcPr>
            <w:tcW w:w="2082" w:type="dxa"/>
            <w:vMerge/>
            <w:shd w:val="clear" w:color="auto" w:fill="7030A0"/>
          </w:tcPr>
          <w:p w14:paraId="706745FF" w14:textId="77777777" w:rsidR="003F0377" w:rsidRPr="000A1196" w:rsidRDefault="003F0377" w:rsidP="00ED6F6C">
            <w:pPr>
              <w:pStyle w:val="NoSpacing"/>
              <w:ind w:left="720"/>
              <w:rPr>
                <w:rFonts w:cstheme="minorHAnsi"/>
                <w:color w:val="000000" w:themeColor="text1"/>
              </w:rPr>
            </w:pPr>
          </w:p>
        </w:tc>
        <w:tc>
          <w:tcPr>
            <w:tcW w:w="632" w:type="dxa"/>
          </w:tcPr>
          <w:p w14:paraId="44F537CE" w14:textId="19F3E181" w:rsidR="003F0377" w:rsidRDefault="003F0377" w:rsidP="00232DA6">
            <w:pPr>
              <w:pStyle w:val="NoSpacing"/>
              <w:rPr>
                <w:b/>
                <w:bCs/>
                <w:lang w:eastAsia="en-GB"/>
              </w:rPr>
            </w:pPr>
            <w:r>
              <w:rPr>
                <w:b/>
                <w:bCs/>
                <w:lang w:eastAsia="en-GB"/>
              </w:rPr>
              <w:t>16.</w:t>
            </w:r>
          </w:p>
        </w:tc>
        <w:tc>
          <w:tcPr>
            <w:tcW w:w="13729" w:type="dxa"/>
          </w:tcPr>
          <w:p w14:paraId="0E6AB088" w14:textId="6405D2E3" w:rsidR="003F0377" w:rsidRPr="00ED6F6C" w:rsidRDefault="003F0377" w:rsidP="00232DA6">
            <w:pPr>
              <w:pStyle w:val="NoSpacing"/>
              <w:rPr>
                <w:rFonts w:cstheme="minorHAnsi"/>
              </w:rPr>
            </w:pPr>
            <w:r w:rsidRPr="00ED6F6C">
              <w:rPr>
                <w:rFonts w:cstheme="minorHAnsi"/>
              </w:rPr>
              <w:t>In 2007 Moore released Sicko, an examination of the health care industry in the United States. For his next documentary, Capitalism: A Love Story (2009), Moore took a critical look at the U.S. economy, including the subprime mortgage crisis of 2007–08 and the subsequent bailout of banks. Where to Invade Next (2015) unfavourably compared various aspects of daily life in other countries—such as educational practices and the balance between work and leisure—with those in the United States</w:t>
            </w:r>
          </w:p>
        </w:tc>
      </w:tr>
      <w:tr w:rsidR="003F0377" w:rsidRPr="000A1196" w14:paraId="2A8FD161" w14:textId="77777777" w:rsidTr="000A1196">
        <w:trPr>
          <w:trHeight w:val="612"/>
        </w:trPr>
        <w:tc>
          <w:tcPr>
            <w:tcW w:w="2082" w:type="dxa"/>
            <w:vMerge/>
            <w:shd w:val="clear" w:color="auto" w:fill="7030A0"/>
          </w:tcPr>
          <w:p w14:paraId="6BFBE90B" w14:textId="77777777" w:rsidR="003F0377" w:rsidRPr="000A1196" w:rsidRDefault="003F0377" w:rsidP="00ED6F6C">
            <w:pPr>
              <w:pStyle w:val="NoSpacing"/>
              <w:ind w:left="720"/>
              <w:rPr>
                <w:rFonts w:cstheme="minorHAnsi"/>
                <w:color w:val="000000" w:themeColor="text1"/>
              </w:rPr>
            </w:pPr>
          </w:p>
        </w:tc>
        <w:tc>
          <w:tcPr>
            <w:tcW w:w="632" w:type="dxa"/>
          </w:tcPr>
          <w:p w14:paraId="3A282C8E" w14:textId="0617AEAA" w:rsidR="003F0377" w:rsidRDefault="003F0377" w:rsidP="00232DA6">
            <w:pPr>
              <w:pStyle w:val="NoSpacing"/>
              <w:rPr>
                <w:b/>
                <w:bCs/>
                <w:lang w:eastAsia="en-GB"/>
              </w:rPr>
            </w:pPr>
            <w:r>
              <w:rPr>
                <w:b/>
                <w:bCs/>
                <w:lang w:eastAsia="en-GB"/>
              </w:rPr>
              <w:t>17.</w:t>
            </w:r>
          </w:p>
        </w:tc>
        <w:tc>
          <w:tcPr>
            <w:tcW w:w="13729" w:type="dxa"/>
          </w:tcPr>
          <w:p w14:paraId="32420A3F" w14:textId="25071FD7" w:rsidR="003F0377" w:rsidRPr="00ED6F6C" w:rsidRDefault="003F0377" w:rsidP="00232DA6">
            <w:pPr>
              <w:pStyle w:val="NoSpacing"/>
              <w:rPr>
                <w:rFonts w:cstheme="minorHAnsi"/>
              </w:rPr>
            </w:pPr>
            <w:r w:rsidRPr="00ED6F6C">
              <w:rPr>
                <w:rFonts w:cstheme="minorHAnsi"/>
              </w:rPr>
              <w:t>He wears casual clothes, a baseball cap and is overweight. However</w:t>
            </w:r>
            <w:r w:rsidR="000E32CD">
              <w:rPr>
                <w:rFonts w:cstheme="minorHAnsi"/>
              </w:rPr>
              <w:t>,</w:t>
            </w:r>
            <w:r w:rsidRPr="00ED6F6C">
              <w:rPr>
                <w:rFonts w:cstheme="minorHAnsi"/>
              </w:rPr>
              <w:t xml:space="preserve"> this seemingly, laidback persona does hide a sharp and incisive line of questioning which he uses to good effect.</w:t>
            </w:r>
          </w:p>
        </w:tc>
      </w:tr>
      <w:tr w:rsidR="00ED6F6C" w:rsidRPr="000A1196" w14:paraId="2154D7DC" w14:textId="77777777" w:rsidTr="000A1196">
        <w:trPr>
          <w:trHeight w:val="612"/>
        </w:trPr>
        <w:tc>
          <w:tcPr>
            <w:tcW w:w="2082" w:type="dxa"/>
            <w:shd w:val="clear" w:color="auto" w:fill="7030A0"/>
          </w:tcPr>
          <w:p w14:paraId="6EA84AE7" w14:textId="77777777" w:rsidR="00ED6F6C" w:rsidRPr="000A1196" w:rsidRDefault="00ED6F6C" w:rsidP="00ED6F6C">
            <w:pPr>
              <w:pStyle w:val="NoSpacing"/>
              <w:ind w:left="720"/>
              <w:rPr>
                <w:rFonts w:cstheme="minorHAnsi"/>
                <w:color w:val="000000" w:themeColor="text1"/>
              </w:rPr>
            </w:pPr>
          </w:p>
        </w:tc>
        <w:tc>
          <w:tcPr>
            <w:tcW w:w="632" w:type="dxa"/>
          </w:tcPr>
          <w:p w14:paraId="494E6D17" w14:textId="3AEBCCBC" w:rsidR="00ED6F6C" w:rsidRDefault="003F0377" w:rsidP="00232DA6">
            <w:pPr>
              <w:pStyle w:val="NoSpacing"/>
              <w:rPr>
                <w:b/>
                <w:bCs/>
                <w:lang w:eastAsia="en-GB"/>
              </w:rPr>
            </w:pPr>
            <w:r>
              <w:rPr>
                <w:b/>
                <w:bCs/>
                <w:lang w:eastAsia="en-GB"/>
              </w:rPr>
              <w:t>1</w:t>
            </w:r>
            <w:r w:rsidR="00ED6F6C">
              <w:rPr>
                <w:b/>
                <w:bCs/>
                <w:lang w:eastAsia="en-GB"/>
              </w:rPr>
              <w:t>8.</w:t>
            </w:r>
          </w:p>
        </w:tc>
        <w:tc>
          <w:tcPr>
            <w:tcW w:w="13729" w:type="dxa"/>
          </w:tcPr>
          <w:p w14:paraId="60BBD7DB" w14:textId="601C3F42" w:rsidR="00ED6F6C" w:rsidRPr="003F0377" w:rsidRDefault="00ED6F6C" w:rsidP="00232DA6">
            <w:pPr>
              <w:pStyle w:val="NoSpacing"/>
              <w:rPr>
                <w:rFonts w:cstheme="minorHAnsi"/>
              </w:rPr>
            </w:pPr>
            <w:r w:rsidRPr="003F0377">
              <w:rPr>
                <w:rFonts w:cstheme="minorHAnsi"/>
              </w:rPr>
              <w:t>A key part of Moore’s approach is to concentrate on a particular agenda whether it be for example gun control (Bowling for Columbine (2002), the invasion of Iraq (Fahrenheit 911, 2004) or the American health care system (Sicko, 2007) and expand on a set of arguments around his perspective on these issues.</w:t>
            </w:r>
          </w:p>
        </w:tc>
      </w:tr>
      <w:tr w:rsidR="00731009" w:rsidRPr="000A1196" w14:paraId="7370FB81" w14:textId="77777777" w:rsidTr="000A1196">
        <w:trPr>
          <w:trHeight w:val="815"/>
        </w:trPr>
        <w:tc>
          <w:tcPr>
            <w:tcW w:w="2082" w:type="dxa"/>
            <w:vMerge w:val="restart"/>
            <w:shd w:val="clear" w:color="auto" w:fill="FFD966" w:themeFill="accent4" w:themeFillTint="99"/>
          </w:tcPr>
          <w:p w14:paraId="3BE13BEC" w14:textId="28FFEB85" w:rsidR="00731009" w:rsidRPr="000A1196" w:rsidRDefault="003F0377" w:rsidP="005F6CBB">
            <w:pPr>
              <w:pStyle w:val="NoSpacing"/>
              <w:rPr>
                <w:rFonts w:cstheme="minorHAnsi"/>
                <w:b/>
                <w:bCs/>
                <w:color w:val="000000" w:themeColor="text1"/>
              </w:rPr>
            </w:pPr>
            <w:r>
              <w:rPr>
                <w:rFonts w:cstheme="minorHAnsi"/>
                <w:b/>
                <w:bCs/>
                <w:color w:val="000000" w:themeColor="text1"/>
              </w:rPr>
              <w:t>G</w:t>
            </w:r>
            <w:r w:rsidR="00731009" w:rsidRPr="000A1196">
              <w:rPr>
                <w:rFonts w:cstheme="minorHAnsi"/>
                <w:b/>
                <w:bCs/>
                <w:color w:val="000000" w:themeColor="text1"/>
              </w:rPr>
              <w:t xml:space="preserve">. </w:t>
            </w:r>
            <w:r w:rsidR="00731009">
              <w:rPr>
                <w:rFonts w:cstheme="minorHAnsi"/>
                <w:b/>
                <w:bCs/>
                <w:color w:val="000000" w:themeColor="text1"/>
              </w:rPr>
              <w:t>Nick Broomfield</w:t>
            </w:r>
          </w:p>
        </w:tc>
        <w:tc>
          <w:tcPr>
            <w:tcW w:w="632" w:type="dxa"/>
          </w:tcPr>
          <w:p w14:paraId="1D37819A" w14:textId="06E1FCF1" w:rsidR="00731009" w:rsidRPr="000A1196" w:rsidRDefault="003F0377" w:rsidP="00232DA6">
            <w:pPr>
              <w:pStyle w:val="NoSpacing"/>
              <w:rPr>
                <w:rFonts w:eastAsia="Times New Roman" w:cstheme="minorHAnsi"/>
                <w:b/>
                <w:bCs/>
                <w:lang w:eastAsia="en-GB"/>
              </w:rPr>
            </w:pPr>
            <w:r>
              <w:rPr>
                <w:rFonts w:eastAsia="Times New Roman" w:cstheme="minorHAnsi"/>
                <w:b/>
                <w:bCs/>
                <w:lang w:eastAsia="en-GB"/>
              </w:rPr>
              <w:t>19</w:t>
            </w:r>
            <w:r w:rsidR="00731009" w:rsidRPr="000A1196">
              <w:rPr>
                <w:rFonts w:eastAsia="Times New Roman" w:cstheme="minorHAnsi"/>
                <w:b/>
                <w:bCs/>
                <w:lang w:eastAsia="en-GB"/>
              </w:rPr>
              <w:t>.</w:t>
            </w:r>
          </w:p>
        </w:tc>
        <w:tc>
          <w:tcPr>
            <w:tcW w:w="13729" w:type="dxa"/>
          </w:tcPr>
          <w:p w14:paraId="4AC49ABC" w14:textId="747CFAF2" w:rsidR="00731009" w:rsidRPr="000A1196" w:rsidRDefault="00731009" w:rsidP="00232DA6">
            <w:pPr>
              <w:pStyle w:val="NoSpacing"/>
              <w:tabs>
                <w:tab w:val="left" w:pos="2145"/>
              </w:tabs>
              <w:rPr>
                <w:rStyle w:val="Strong"/>
                <w:b w:val="0"/>
                <w:bCs w:val="0"/>
              </w:rPr>
            </w:pPr>
            <w:r>
              <w:t xml:space="preserve">Nick Broomfield was born in London in 1948. He made his first film, Who Cares? (1971), with financial aid from the British Film Institute while studying politics and law at Essex University. Its subject is a close-knit but threatened working class community in Liverpool, and the influence of Willmott and Young's classic study Family and Kinship in East London is clear, but even in this early work Broomfield's characteristic sense of personal involvement is already apparent; as he himself put it: "everything at university was at a very conceptual, analytical level, and I felt a need to look at things in a more immediate way." </w:t>
            </w:r>
          </w:p>
        </w:tc>
      </w:tr>
      <w:tr w:rsidR="00731009" w:rsidRPr="000A1196" w14:paraId="6576C516" w14:textId="77777777" w:rsidTr="000A1196">
        <w:trPr>
          <w:trHeight w:val="815"/>
        </w:trPr>
        <w:tc>
          <w:tcPr>
            <w:tcW w:w="2082" w:type="dxa"/>
            <w:vMerge/>
            <w:shd w:val="clear" w:color="auto" w:fill="FFD966" w:themeFill="accent4" w:themeFillTint="99"/>
          </w:tcPr>
          <w:p w14:paraId="0A157CBF" w14:textId="77777777" w:rsidR="00731009" w:rsidRPr="000A1196" w:rsidRDefault="00731009" w:rsidP="005F6CBB">
            <w:pPr>
              <w:pStyle w:val="NoSpacing"/>
              <w:numPr>
                <w:ilvl w:val="0"/>
                <w:numId w:val="10"/>
              </w:numPr>
              <w:rPr>
                <w:rFonts w:cstheme="minorHAnsi"/>
                <w:color w:val="000000" w:themeColor="text1"/>
              </w:rPr>
            </w:pPr>
          </w:p>
        </w:tc>
        <w:tc>
          <w:tcPr>
            <w:tcW w:w="632" w:type="dxa"/>
          </w:tcPr>
          <w:p w14:paraId="4CE2B5DE" w14:textId="7B5C3D75" w:rsidR="00731009" w:rsidRPr="000A1196" w:rsidRDefault="00731009" w:rsidP="00232DA6">
            <w:pPr>
              <w:pStyle w:val="NoSpacing"/>
              <w:rPr>
                <w:rFonts w:cstheme="minorHAnsi"/>
                <w:b/>
                <w:bCs/>
              </w:rPr>
            </w:pPr>
            <w:r w:rsidRPr="000A1196">
              <w:rPr>
                <w:rFonts w:cstheme="minorHAnsi"/>
                <w:b/>
                <w:bCs/>
              </w:rPr>
              <w:t>2</w:t>
            </w:r>
            <w:r w:rsidR="003F0377">
              <w:rPr>
                <w:rFonts w:cstheme="minorHAnsi"/>
                <w:b/>
                <w:bCs/>
              </w:rPr>
              <w:t>0</w:t>
            </w:r>
            <w:r w:rsidRPr="000A1196">
              <w:rPr>
                <w:rFonts w:cstheme="minorHAnsi"/>
                <w:b/>
                <w:bCs/>
              </w:rPr>
              <w:t>.</w:t>
            </w:r>
          </w:p>
        </w:tc>
        <w:tc>
          <w:tcPr>
            <w:tcW w:w="13729" w:type="dxa"/>
          </w:tcPr>
          <w:p w14:paraId="755F5618" w14:textId="79ACF818" w:rsidR="00731009" w:rsidRPr="000A1196" w:rsidRDefault="00731009" w:rsidP="00232DA6">
            <w:pPr>
              <w:pStyle w:val="NoSpacing"/>
              <w:rPr>
                <w:rFonts w:cstheme="minorHAnsi"/>
              </w:rPr>
            </w:pPr>
            <w:r>
              <w:t>In 1976, Broomfield made the first of several films with the American filmmaker Joan Churchill, whom he'd met at the National Film School and who had already made a name for herself in the US with documentaries such as The American Family (1973). Their films are less overtly confrontational than Broomfield's solo works, belonging more to the tradition of direct or observational cinema in the Frederick Wiseman mode</w:t>
            </w:r>
          </w:p>
        </w:tc>
      </w:tr>
      <w:tr w:rsidR="00731009" w:rsidRPr="000A1196" w14:paraId="3B3FA7D8" w14:textId="77777777" w:rsidTr="000A1196">
        <w:trPr>
          <w:trHeight w:val="815"/>
        </w:trPr>
        <w:tc>
          <w:tcPr>
            <w:tcW w:w="2082" w:type="dxa"/>
            <w:vMerge/>
            <w:shd w:val="clear" w:color="auto" w:fill="FFD966" w:themeFill="accent4" w:themeFillTint="99"/>
          </w:tcPr>
          <w:p w14:paraId="1873CC43" w14:textId="77777777" w:rsidR="00731009" w:rsidRPr="000A1196" w:rsidRDefault="00731009" w:rsidP="005F6CBB">
            <w:pPr>
              <w:pStyle w:val="NoSpacing"/>
              <w:numPr>
                <w:ilvl w:val="0"/>
                <w:numId w:val="10"/>
              </w:numPr>
              <w:rPr>
                <w:rFonts w:cstheme="minorHAnsi"/>
                <w:color w:val="000000" w:themeColor="text1"/>
              </w:rPr>
            </w:pPr>
          </w:p>
        </w:tc>
        <w:tc>
          <w:tcPr>
            <w:tcW w:w="632" w:type="dxa"/>
          </w:tcPr>
          <w:p w14:paraId="5F1C125E" w14:textId="71D0A1EF" w:rsidR="00731009" w:rsidRPr="000A1196" w:rsidRDefault="00731009" w:rsidP="00232DA6">
            <w:pPr>
              <w:pStyle w:val="NoSpacing"/>
              <w:rPr>
                <w:rFonts w:cstheme="minorHAnsi"/>
                <w:b/>
                <w:bCs/>
              </w:rPr>
            </w:pPr>
            <w:r w:rsidRPr="000A1196">
              <w:rPr>
                <w:rFonts w:cstheme="minorHAnsi"/>
                <w:b/>
                <w:bCs/>
              </w:rPr>
              <w:t>2</w:t>
            </w:r>
            <w:r w:rsidR="003F0377">
              <w:rPr>
                <w:rFonts w:cstheme="minorHAnsi"/>
                <w:b/>
                <w:bCs/>
              </w:rPr>
              <w:t>1</w:t>
            </w:r>
            <w:r w:rsidRPr="000A1196">
              <w:rPr>
                <w:rFonts w:cstheme="minorHAnsi"/>
                <w:b/>
                <w:bCs/>
              </w:rPr>
              <w:t>.</w:t>
            </w:r>
          </w:p>
        </w:tc>
        <w:tc>
          <w:tcPr>
            <w:tcW w:w="13729" w:type="dxa"/>
          </w:tcPr>
          <w:p w14:paraId="2D6FF611" w14:textId="7C14BC70" w:rsidR="00731009" w:rsidRPr="000A1196" w:rsidRDefault="00731009" w:rsidP="00232DA6">
            <w:pPr>
              <w:pStyle w:val="NoSpacing"/>
              <w:rPr>
                <w:rFonts w:cstheme="minorHAnsi"/>
              </w:rPr>
            </w:pPr>
            <w:r>
              <w:t>The reason why he uses a more participatory approach, he has explained, is because "what's important is the interaction between the filmmakers and those being filmed, and that the audience is aware of that interaction so they can make decisions of their own."</w:t>
            </w:r>
          </w:p>
        </w:tc>
      </w:tr>
      <w:tr w:rsidR="00731009" w:rsidRPr="000A1196" w14:paraId="02E8632C" w14:textId="77777777" w:rsidTr="000A1196">
        <w:trPr>
          <w:trHeight w:val="815"/>
        </w:trPr>
        <w:tc>
          <w:tcPr>
            <w:tcW w:w="2082" w:type="dxa"/>
            <w:vMerge/>
            <w:shd w:val="clear" w:color="auto" w:fill="FFD966" w:themeFill="accent4" w:themeFillTint="99"/>
          </w:tcPr>
          <w:p w14:paraId="50D39F14" w14:textId="77777777" w:rsidR="00731009" w:rsidRPr="000A1196" w:rsidRDefault="00731009" w:rsidP="00731009">
            <w:pPr>
              <w:pStyle w:val="NoSpacing"/>
              <w:ind w:left="720"/>
              <w:rPr>
                <w:rFonts w:cstheme="minorHAnsi"/>
                <w:color w:val="000000" w:themeColor="text1"/>
              </w:rPr>
            </w:pPr>
          </w:p>
        </w:tc>
        <w:tc>
          <w:tcPr>
            <w:tcW w:w="632" w:type="dxa"/>
          </w:tcPr>
          <w:p w14:paraId="618AA026" w14:textId="3B33AE78" w:rsidR="00731009" w:rsidRPr="000A1196" w:rsidRDefault="00731009" w:rsidP="00232DA6">
            <w:pPr>
              <w:pStyle w:val="NoSpacing"/>
              <w:rPr>
                <w:rFonts w:cstheme="minorHAnsi"/>
                <w:b/>
                <w:bCs/>
              </w:rPr>
            </w:pPr>
            <w:r>
              <w:rPr>
                <w:rFonts w:cstheme="minorHAnsi"/>
                <w:b/>
                <w:bCs/>
              </w:rPr>
              <w:t>2</w:t>
            </w:r>
            <w:r w:rsidR="003F0377">
              <w:rPr>
                <w:rFonts w:cstheme="minorHAnsi"/>
                <w:b/>
                <w:bCs/>
              </w:rPr>
              <w:t>2</w:t>
            </w:r>
            <w:r>
              <w:rPr>
                <w:rFonts w:cstheme="minorHAnsi"/>
                <w:b/>
                <w:bCs/>
              </w:rPr>
              <w:t>.</w:t>
            </w:r>
          </w:p>
        </w:tc>
        <w:tc>
          <w:tcPr>
            <w:tcW w:w="13729" w:type="dxa"/>
          </w:tcPr>
          <w:p w14:paraId="1E2EC280" w14:textId="09F83BEC" w:rsidR="00731009" w:rsidRDefault="00731009" w:rsidP="00232DA6">
            <w:pPr>
              <w:pStyle w:val="NoSpacing"/>
            </w:pPr>
            <w:r>
              <w:t>In particular he began to focus on 'celebrities' and on the media circus that surrounds and indeed constructs them.</w:t>
            </w:r>
          </w:p>
        </w:tc>
      </w:tr>
      <w:tr w:rsidR="00731009" w:rsidRPr="000A1196" w14:paraId="05520F67" w14:textId="77777777" w:rsidTr="000A1196">
        <w:trPr>
          <w:trHeight w:val="815"/>
        </w:trPr>
        <w:tc>
          <w:tcPr>
            <w:tcW w:w="2082" w:type="dxa"/>
            <w:vMerge/>
            <w:shd w:val="clear" w:color="auto" w:fill="FFD966" w:themeFill="accent4" w:themeFillTint="99"/>
          </w:tcPr>
          <w:p w14:paraId="0355D51F" w14:textId="77777777" w:rsidR="00731009" w:rsidRPr="000A1196" w:rsidRDefault="00731009" w:rsidP="00731009">
            <w:pPr>
              <w:pStyle w:val="NoSpacing"/>
              <w:ind w:left="720"/>
              <w:rPr>
                <w:rFonts w:cstheme="minorHAnsi"/>
                <w:color w:val="000000" w:themeColor="text1"/>
              </w:rPr>
            </w:pPr>
          </w:p>
        </w:tc>
        <w:tc>
          <w:tcPr>
            <w:tcW w:w="632" w:type="dxa"/>
          </w:tcPr>
          <w:p w14:paraId="0EDDA7D5" w14:textId="7CCD8071" w:rsidR="00731009" w:rsidRDefault="00731009" w:rsidP="00232DA6">
            <w:pPr>
              <w:pStyle w:val="NoSpacing"/>
              <w:rPr>
                <w:rFonts w:cstheme="minorHAnsi"/>
                <w:b/>
                <w:bCs/>
              </w:rPr>
            </w:pPr>
            <w:r>
              <w:rPr>
                <w:rFonts w:cstheme="minorHAnsi"/>
                <w:b/>
                <w:bCs/>
              </w:rPr>
              <w:t>2</w:t>
            </w:r>
            <w:r w:rsidR="003F0377">
              <w:rPr>
                <w:rFonts w:cstheme="minorHAnsi"/>
                <w:b/>
                <w:bCs/>
              </w:rPr>
              <w:t>3</w:t>
            </w:r>
            <w:r>
              <w:rPr>
                <w:rFonts w:cstheme="minorHAnsi"/>
                <w:b/>
                <w:bCs/>
              </w:rPr>
              <w:t>.</w:t>
            </w:r>
          </w:p>
        </w:tc>
        <w:tc>
          <w:tcPr>
            <w:tcW w:w="13729" w:type="dxa"/>
          </w:tcPr>
          <w:p w14:paraId="687C583D" w14:textId="5E983326" w:rsidR="00731009" w:rsidRDefault="00731009" w:rsidP="00232DA6">
            <w:pPr>
              <w:pStyle w:val="NoSpacing"/>
            </w:pPr>
            <w:r>
              <w:t>This is particularly the case in Aileen Wuornos: The Selling of a Serial Killer (1992), but it's also there in Heidi Fleiss - Hollywood Madam (1995), Biggie and Tupac (2002), and Kurt and Courtney (1998). This last also raises the question of censorship once again, via Courtney Love and her lawyers' increasingly determined efforts to stop the film in its tracks. These give rise to one of the film's most characteristic moments, in which Broomfield interrupts an award-giving ceremony for Love hosted by the American Civil Liberties Union, which champions free speech, in order to protest at her efforts to silence him and others. He is rapidly evicted.</w:t>
            </w:r>
          </w:p>
        </w:tc>
      </w:tr>
      <w:tr w:rsidR="00731009" w:rsidRPr="000A1196" w14:paraId="6EEF2C0E" w14:textId="77777777" w:rsidTr="000A1196">
        <w:trPr>
          <w:trHeight w:val="815"/>
        </w:trPr>
        <w:tc>
          <w:tcPr>
            <w:tcW w:w="2082" w:type="dxa"/>
            <w:vMerge/>
            <w:shd w:val="clear" w:color="auto" w:fill="FFD966" w:themeFill="accent4" w:themeFillTint="99"/>
          </w:tcPr>
          <w:p w14:paraId="2AAFF30E" w14:textId="77777777" w:rsidR="00731009" w:rsidRPr="000A1196" w:rsidRDefault="00731009" w:rsidP="00731009">
            <w:pPr>
              <w:pStyle w:val="NoSpacing"/>
              <w:ind w:left="720"/>
              <w:rPr>
                <w:rFonts w:cstheme="minorHAnsi"/>
                <w:color w:val="000000" w:themeColor="text1"/>
              </w:rPr>
            </w:pPr>
          </w:p>
        </w:tc>
        <w:tc>
          <w:tcPr>
            <w:tcW w:w="632" w:type="dxa"/>
          </w:tcPr>
          <w:p w14:paraId="3B0C2B77" w14:textId="0E412A43" w:rsidR="00731009" w:rsidRDefault="003F0377" w:rsidP="00232DA6">
            <w:pPr>
              <w:pStyle w:val="NoSpacing"/>
              <w:rPr>
                <w:rFonts w:cstheme="minorHAnsi"/>
                <w:b/>
                <w:bCs/>
              </w:rPr>
            </w:pPr>
            <w:r>
              <w:rPr>
                <w:rFonts w:cstheme="minorHAnsi"/>
                <w:b/>
                <w:bCs/>
              </w:rPr>
              <w:t>24</w:t>
            </w:r>
            <w:r w:rsidR="00731009">
              <w:rPr>
                <w:rFonts w:cstheme="minorHAnsi"/>
                <w:b/>
                <w:bCs/>
              </w:rPr>
              <w:t>.</w:t>
            </w:r>
          </w:p>
        </w:tc>
        <w:tc>
          <w:tcPr>
            <w:tcW w:w="13729" w:type="dxa"/>
          </w:tcPr>
          <w:p w14:paraId="5CEC43BA" w14:textId="73745A72" w:rsidR="00731009" w:rsidRDefault="00731009" w:rsidP="00232DA6">
            <w:pPr>
              <w:pStyle w:val="NoSpacing"/>
            </w:pPr>
            <w:r>
              <w:t xml:space="preserve">Broomfield's later films are fascinating examples of what Stella </w:t>
            </w:r>
            <w:proofErr w:type="spellStart"/>
            <w:r>
              <w:t>Bruzzi</w:t>
            </w:r>
            <w:proofErr w:type="spellEnd"/>
            <w:r>
              <w:t xml:space="preserve"> calls the 'performative documentary'. This, by openly acknowledging that the intrusion of the filmmaker into the situation being filmed inevitably affects and alters that situation, underlines the fact that the documentary is itself a mode of representation as opposed to unmediated reality and thus foregrounds the construction and artificiality of even the non-fiction film. This is not to imply that such documentaries are not concerned with getting at 'the truth', but, rather, that the truth emerges from the encounter between the film-makers, subjects and spectators.</w:t>
            </w:r>
          </w:p>
        </w:tc>
      </w:tr>
      <w:tr w:rsidR="005F6CBB" w:rsidRPr="000A1196" w14:paraId="0FCD653A" w14:textId="77777777" w:rsidTr="000A1196">
        <w:trPr>
          <w:trHeight w:val="325"/>
        </w:trPr>
        <w:tc>
          <w:tcPr>
            <w:tcW w:w="2082" w:type="dxa"/>
            <w:vMerge w:val="restart"/>
            <w:shd w:val="clear" w:color="auto" w:fill="F7CAAC" w:themeFill="accent2" w:themeFillTint="66"/>
          </w:tcPr>
          <w:p w14:paraId="3A540BBD" w14:textId="462BE878" w:rsidR="005F6CBB" w:rsidRPr="000A1196" w:rsidRDefault="003F0377" w:rsidP="005F6CBB">
            <w:pPr>
              <w:pStyle w:val="NoSpacing"/>
              <w:rPr>
                <w:rFonts w:cstheme="minorHAnsi"/>
                <w:b/>
                <w:bCs/>
                <w:color w:val="000000" w:themeColor="text1"/>
              </w:rPr>
            </w:pPr>
            <w:r>
              <w:rPr>
                <w:rFonts w:cstheme="minorHAnsi"/>
                <w:b/>
                <w:bCs/>
                <w:color w:val="000000" w:themeColor="text1"/>
              </w:rPr>
              <w:t>H</w:t>
            </w:r>
            <w:r w:rsidR="005F6CBB" w:rsidRPr="000A1196">
              <w:rPr>
                <w:rFonts w:cstheme="minorHAnsi"/>
                <w:b/>
                <w:bCs/>
                <w:color w:val="000000" w:themeColor="text1"/>
              </w:rPr>
              <w:t xml:space="preserve">. </w:t>
            </w:r>
            <w:r w:rsidR="000B190C">
              <w:rPr>
                <w:rFonts w:cstheme="minorHAnsi"/>
                <w:b/>
                <w:bCs/>
                <w:color w:val="000000" w:themeColor="text1"/>
              </w:rPr>
              <w:t>Point to Note – Amy Winehouse the Icon</w:t>
            </w:r>
          </w:p>
        </w:tc>
        <w:tc>
          <w:tcPr>
            <w:tcW w:w="632" w:type="dxa"/>
          </w:tcPr>
          <w:p w14:paraId="45533324" w14:textId="75B44614" w:rsidR="005F6CBB" w:rsidRPr="000A1196" w:rsidRDefault="005F6CBB" w:rsidP="00232DA6">
            <w:pPr>
              <w:pStyle w:val="NoSpacing"/>
              <w:rPr>
                <w:rFonts w:cstheme="minorHAnsi"/>
                <w:b/>
                <w:bCs/>
              </w:rPr>
            </w:pPr>
            <w:r w:rsidRPr="000A1196">
              <w:rPr>
                <w:rFonts w:cstheme="minorHAnsi"/>
                <w:b/>
                <w:bCs/>
              </w:rPr>
              <w:t>2</w:t>
            </w:r>
            <w:r w:rsidR="003F0377">
              <w:rPr>
                <w:rFonts w:cstheme="minorHAnsi"/>
                <w:b/>
                <w:bCs/>
              </w:rPr>
              <w:t>5</w:t>
            </w:r>
            <w:r w:rsidRPr="000A1196">
              <w:rPr>
                <w:rFonts w:cstheme="minorHAnsi"/>
                <w:b/>
                <w:bCs/>
              </w:rPr>
              <w:t>.</w:t>
            </w:r>
          </w:p>
        </w:tc>
        <w:tc>
          <w:tcPr>
            <w:tcW w:w="13729" w:type="dxa"/>
          </w:tcPr>
          <w:p w14:paraId="552A6F81" w14:textId="77777777" w:rsidR="000B190C" w:rsidRPr="00243B6C" w:rsidRDefault="000B190C" w:rsidP="000B190C">
            <w:pPr>
              <w:spacing w:before="100" w:beforeAutospacing="1" w:after="100" w:afterAutospacing="1"/>
              <w:rPr>
                <w:rFonts w:eastAsia="Times New Roman" w:cstheme="minorHAnsi"/>
                <w:lang w:eastAsia="en-GB"/>
              </w:rPr>
            </w:pPr>
            <w:r w:rsidRPr="00243B6C">
              <w:rPr>
                <w:rFonts w:eastAsia="Times New Roman" w:cstheme="minorHAnsi"/>
                <w:lang w:eastAsia="en-GB"/>
              </w:rPr>
              <w:t>The songs of Amy Winehouse might be considered classics of pop music in the way that they revisit an older ‘sound’ and in terms of the resonance of their lyrical content.</w:t>
            </w:r>
          </w:p>
          <w:p w14:paraId="23DDD1FC" w14:textId="4157DB57" w:rsidR="005F6CBB" w:rsidRPr="000A1196" w:rsidRDefault="005F6CBB" w:rsidP="00232DA6">
            <w:pPr>
              <w:pStyle w:val="NoSpacing"/>
              <w:rPr>
                <w:rFonts w:cstheme="minorHAnsi"/>
              </w:rPr>
            </w:pPr>
          </w:p>
        </w:tc>
      </w:tr>
      <w:tr w:rsidR="005F6CBB" w:rsidRPr="000A1196" w14:paraId="75E0ACD0" w14:textId="77777777" w:rsidTr="000A1196">
        <w:trPr>
          <w:trHeight w:val="815"/>
        </w:trPr>
        <w:tc>
          <w:tcPr>
            <w:tcW w:w="2082" w:type="dxa"/>
            <w:vMerge/>
            <w:shd w:val="clear" w:color="auto" w:fill="F7CAAC" w:themeFill="accent2" w:themeFillTint="66"/>
          </w:tcPr>
          <w:p w14:paraId="2738D332" w14:textId="77777777" w:rsidR="005F6CBB" w:rsidRPr="000A1196" w:rsidRDefault="005F6CBB" w:rsidP="005F6CBB">
            <w:pPr>
              <w:pStyle w:val="NoSpacing"/>
              <w:rPr>
                <w:rFonts w:cstheme="minorHAnsi"/>
                <w:b/>
                <w:bCs/>
                <w:color w:val="000000" w:themeColor="text1"/>
              </w:rPr>
            </w:pPr>
          </w:p>
        </w:tc>
        <w:tc>
          <w:tcPr>
            <w:tcW w:w="632" w:type="dxa"/>
          </w:tcPr>
          <w:p w14:paraId="4A0AE00F" w14:textId="097D8350" w:rsidR="005F6CBB" w:rsidRPr="000A1196" w:rsidRDefault="005F6CBB" w:rsidP="00232DA6">
            <w:pPr>
              <w:pStyle w:val="NoSpacing"/>
              <w:rPr>
                <w:rFonts w:cstheme="minorHAnsi"/>
                <w:b/>
                <w:bCs/>
              </w:rPr>
            </w:pPr>
            <w:r w:rsidRPr="000A1196">
              <w:rPr>
                <w:rFonts w:cstheme="minorHAnsi"/>
                <w:b/>
                <w:bCs/>
              </w:rPr>
              <w:t>2</w:t>
            </w:r>
            <w:r w:rsidR="003F0377">
              <w:rPr>
                <w:rFonts w:cstheme="minorHAnsi"/>
                <w:b/>
                <w:bCs/>
              </w:rPr>
              <w:t>6</w:t>
            </w:r>
            <w:r w:rsidRPr="000A1196">
              <w:rPr>
                <w:rFonts w:cstheme="minorHAnsi"/>
                <w:b/>
                <w:bCs/>
              </w:rPr>
              <w:t>.</w:t>
            </w:r>
          </w:p>
        </w:tc>
        <w:tc>
          <w:tcPr>
            <w:tcW w:w="13729" w:type="dxa"/>
          </w:tcPr>
          <w:p w14:paraId="1E427073" w14:textId="0029EDD1" w:rsidR="005F6CBB" w:rsidRPr="000A1196" w:rsidRDefault="000B190C" w:rsidP="00232DA6">
            <w:pPr>
              <w:pStyle w:val="NoSpacing"/>
              <w:rPr>
                <w:rFonts w:cstheme="minorHAnsi"/>
              </w:rPr>
            </w:pPr>
            <w:r w:rsidRPr="00243B6C">
              <w:rPr>
                <w:rFonts w:eastAsia="Times New Roman" w:cstheme="minorHAnsi"/>
                <w:lang w:eastAsia="en-GB"/>
              </w:rPr>
              <w:t xml:space="preserve">Significantly, Amy Winehouse has become a ‘text’ in herself (rather as </w:t>
            </w:r>
            <w:proofErr w:type="spellStart"/>
            <w:r w:rsidRPr="00243B6C">
              <w:rPr>
                <w:rFonts w:eastAsia="Times New Roman" w:cstheme="minorHAnsi"/>
                <w:lang w:eastAsia="en-GB"/>
              </w:rPr>
              <w:t>Beyonce</w:t>
            </w:r>
            <w:proofErr w:type="spellEnd"/>
            <w:r w:rsidRPr="00243B6C">
              <w:rPr>
                <w:rFonts w:eastAsia="Times New Roman" w:cstheme="minorHAnsi"/>
                <w:lang w:eastAsia="en-GB"/>
              </w:rPr>
              <w:t xml:space="preserve">, Lady Gaga and Madonna have done) that continues to be meaning- generating and Asif Kapadia’s film </w:t>
            </w:r>
            <w:r w:rsidRPr="00243B6C">
              <w:rPr>
                <w:rFonts w:eastAsia="Times New Roman" w:cstheme="minorHAnsi"/>
                <w:b/>
                <w:bCs/>
                <w:i/>
                <w:iCs/>
                <w:lang w:eastAsia="en-GB"/>
              </w:rPr>
              <w:t>Amy</w:t>
            </w:r>
            <w:r w:rsidRPr="00243B6C">
              <w:rPr>
                <w:rFonts w:eastAsia="Times New Roman" w:cstheme="minorHAnsi"/>
                <w:lang w:eastAsia="en-GB"/>
              </w:rPr>
              <w:t xml:space="preserve"> explores this resonance. Of popstars as cultural touchstones, the scholar Richard Dyer has made the point that a pop star (whether a pop music star or a pop-film star) crystallise a range of cultural values and ideological positions. Critically, pop stars in their music come to represent concentrated examples of the very real emotions that we experience in our daily lives. Dyer also notes that stars have to be both different to us and yet the same as us so that they are both somehow aspirational but also sufficiently resonant and ‘familiar’ to us. The comment certainly informs how we can think about </w:t>
            </w:r>
            <w:proofErr w:type="spellStart"/>
            <w:r w:rsidRPr="00243B6C">
              <w:rPr>
                <w:rFonts w:eastAsia="Times New Roman" w:cstheme="minorHAnsi"/>
                <w:lang w:eastAsia="en-GB"/>
              </w:rPr>
              <w:t>i</w:t>
            </w:r>
            <w:proofErr w:type="spellEnd"/>
            <w:r w:rsidRPr="00243B6C">
              <w:rPr>
                <w:rFonts w:eastAsia="Times New Roman" w:cstheme="minorHAnsi"/>
                <w:lang w:eastAsia="en-GB"/>
              </w:rPr>
              <w:t xml:space="preserve">) the film </w:t>
            </w:r>
            <w:r w:rsidRPr="00243B6C">
              <w:rPr>
                <w:rFonts w:eastAsia="Times New Roman" w:cstheme="minorHAnsi"/>
                <w:b/>
                <w:bCs/>
                <w:i/>
                <w:iCs/>
                <w:lang w:eastAsia="en-GB"/>
              </w:rPr>
              <w:t>Amy</w:t>
            </w:r>
            <w:r w:rsidRPr="00243B6C">
              <w:rPr>
                <w:rFonts w:eastAsia="Times New Roman" w:cstheme="minorHAnsi"/>
                <w:lang w:eastAsia="en-GB"/>
              </w:rPr>
              <w:t>, ii) the performer Amy Winehouse and iii) the ‘real’ person, Amy Winehouse.</w:t>
            </w:r>
          </w:p>
        </w:tc>
      </w:tr>
    </w:tbl>
    <w:p w14:paraId="2233477D" w14:textId="244A528A" w:rsidR="00EC0779" w:rsidRPr="000A1196" w:rsidRDefault="00EC0779" w:rsidP="00744BA3">
      <w:pPr>
        <w:pStyle w:val="NoSpacing"/>
        <w:rPr>
          <w:b/>
          <w:bCs/>
          <w:u w:val="single"/>
        </w:rPr>
      </w:pPr>
    </w:p>
    <w:tbl>
      <w:tblPr>
        <w:tblStyle w:val="TableGrid"/>
        <w:tblpPr w:leftFromText="180" w:rightFromText="180" w:vertAnchor="text" w:horzAnchor="margin" w:tblpXSpec="center" w:tblpY="201"/>
        <w:tblW w:w="16443" w:type="dxa"/>
        <w:tblLook w:val="04A0" w:firstRow="1" w:lastRow="0" w:firstColumn="1" w:lastColumn="0" w:noHBand="0" w:noVBand="1"/>
      </w:tblPr>
      <w:tblGrid>
        <w:gridCol w:w="2082"/>
        <w:gridCol w:w="632"/>
        <w:gridCol w:w="13729"/>
      </w:tblGrid>
      <w:tr w:rsidR="00FF4AD0" w:rsidRPr="000A1196" w14:paraId="0830C472" w14:textId="77777777" w:rsidTr="000A1196">
        <w:tc>
          <w:tcPr>
            <w:tcW w:w="16443" w:type="dxa"/>
            <w:gridSpan w:val="3"/>
            <w:shd w:val="clear" w:color="auto" w:fill="FFFFFF" w:themeFill="background1"/>
          </w:tcPr>
          <w:p w14:paraId="0CED570A" w14:textId="720260D5" w:rsidR="00FF4AD0" w:rsidRPr="000A1196" w:rsidRDefault="00FF4AD0" w:rsidP="00767D81">
            <w:pPr>
              <w:pStyle w:val="NoSpacing"/>
              <w:jc w:val="center"/>
              <w:rPr>
                <w:b/>
                <w:bCs/>
              </w:rPr>
            </w:pPr>
            <w:r w:rsidRPr="000A1196">
              <w:rPr>
                <w:b/>
                <w:bCs/>
              </w:rPr>
              <w:lastRenderedPageBreak/>
              <w:t>Specialist Study Areas</w:t>
            </w:r>
          </w:p>
        </w:tc>
      </w:tr>
      <w:tr w:rsidR="00FF4AD0" w:rsidRPr="000A1196" w14:paraId="0D8D50F6" w14:textId="77777777" w:rsidTr="000A1196">
        <w:trPr>
          <w:trHeight w:val="412"/>
        </w:trPr>
        <w:tc>
          <w:tcPr>
            <w:tcW w:w="2082" w:type="dxa"/>
            <w:vMerge w:val="restart"/>
            <w:shd w:val="clear" w:color="auto" w:fill="E98BDC"/>
          </w:tcPr>
          <w:p w14:paraId="51ED0A87" w14:textId="214E986A" w:rsidR="00FF4AD0" w:rsidRPr="000A1196" w:rsidRDefault="003F0377" w:rsidP="00767D81">
            <w:pPr>
              <w:pStyle w:val="NoSpacing"/>
              <w:rPr>
                <w:rFonts w:cstheme="minorHAnsi"/>
                <w:b/>
                <w:bCs/>
                <w:color w:val="000000" w:themeColor="text1"/>
              </w:rPr>
            </w:pPr>
            <w:r>
              <w:rPr>
                <w:rFonts w:cstheme="minorHAnsi"/>
                <w:b/>
                <w:bCs/>
                <w:color w:val="000000" w:themeColor="text1"/>
              </w:rPr>
              <w:t>I</w:t>
            </w:r>
            <w:r w:rsidR="00FF4AD0" w:rsidRPr="000A1196">
              <w:rPr>
                <w:rFonts w:cstheme="minorHAnsi"/>
                <w:b/>
                <w:bCs/>
                <w:color w:val="000000" w:themeColor="text1"/>
              </w:rPr>
              <w:t xml:space="preserve">. </w:t>
            </w:r>
            <w:r w:rsidR="000B190C">
              <w:rPr>
                <w:rFonts w:cstheme="minorHAnsi"/>
                <w:b/>
                <w:bCs/>
                <w:color w:val="000000" w:themeColor="text1"/>
              </w:rPr>
              <w:t>Critical Debates</w:t>
            </w:r>
          </w:p>
        </w:tc>
        <w:tc>
          <w:tcPr>
            <w:tcW w:w="632" w:type="dxa"/>
          </w:tcPr>
          <w:p w14:paraId="0DB9B0F7" w14:textId="48F8B96D" w:rsidR="00FF4AD0" w:rsidRPr="000A1196" w:rsidRDefault="003F0377" w:rsidP="00767D81">
            <w:pPr>
              <w:pStyle w:val="NoSpacing"/>
              <w:rPr>
                <w:b/>
                <w:bCs/>
                <w:lang w:eastAsia="en-GB"/>
              </w:rPr>
            </w:pPr>
            <w:r>
              <w:rPr>
                <w:b/>
                <w:bCs/>
                <w:lang w:eastAsia="en-GB"/>
              </w:rPr>
              <w:t>27</w:t>
            </w:r>
            <w:r w:rsidR="00FF4AD0" w:rsidRPr="000A1196">
              <w:rPr>
                <w:b/>
                <w:bCs/>
                <w:lang w:eastAsia="en-GB"/>
              </w:rPr>
              <w:t>.</w:t>
            </w:r>
          </w:p>
        </w:tc>
        <w:tc>
          <w:tcPr>
            <w:tcW w:w="13729" w:type="dxa"/>
          </w:tcPr>
          <w:p w14:paraId="7437FFA7" w14:textId="4D6D12CE" w:rsidR="000B190C" w:rsidRPr="00243B6C" w:rsidRDefault="000B190C" w:rsidP="000B190C">
            <w:pPr>
              <w:pStyle w:val="NoSpacing"/>
              <w:rPr>
                <w:lang w:eastAsia="en-GB"/>
              </w:rPr>
            </w:pPr>
            <w:r w:rsidRPr="00243B6C">
              <w:rPr>
                <w:lang w:eastAsia="en-GB"/>
              </w:rPr>
              <w:t>A key</w:t>
            </w:r>
            <w:r w:rsidR="00EB6A8F">
              <w:rPr>
                <w:lang w:eastAsia="en-GB"/>
              </w:rPr>
              <w:t xml:space="preserve"> </w:t>
            </w:r>
            <w:r w:rsidRPr="00243B6C">
              <w:rPr>
                <w:lang w:eastAsia="en-GB"/>
              </w:rPr>
              <w:t>way in which to engage with the contemporary and/or historical critical debate around a film and its formal properties (its film language and sound work) to consider several reviews of a given film particularly if they offer vividly contrasting responses. In this way, we can begin to understand more fully how the discourse around a film’s interest and value (aesthetically and sociologically) develops and then becomes embedded in the wider culture. </w:t>
            </w:r>
          </w:p>
          <w:p w14:paraId="27C6B7FE" w14:textId="4B264FB4" w:rsidR="00FF4AD0" w:rsidRPr="000A1196" w:rsidRDefault="00FF4AD0" w:rsidP="00767D81">
            <w:pPr>
              <w:pStyle w:val="NoSpacing"/>
            </w:pPr>
          </w:p>
        </w:tc>
      </w:tr>
      <w:tr w:rsidR="00FF4AD0" w:rsidRPr="000A1196" w14:paraId="079043BB" w14:textId="77777777" w:rsidTr="000A1196">
        <w:trPr>
          <w:trHeight w:val="612"/>
        </w:trPr>
        <w:tc>
          <w:tcPr>
            <w:tcW w:w="2082" w:type="dxa"/>
            <w:vMerge/>
            <w:shd w:val="clear" w:color="auto" w:fill="E98BDC"/>
          </w:tcPr>
          <w:p w14:paraId="01679E00" w14:textId="77777777" w:rsidR="00FF4AD0" w:rsidRPr="000A1196" w:rsidRDefault="00FF4AD0" w:rsidP="00767D81">
            <w:pPr>
              <w:pStyle w:val="NoSpacing"/>
              <w:numPr>
                <w:ilvl w:val="0"/>
                <w:numId w:val="9"/>
              </w:numPr>
              <w:rPr>
                <w:rFonts w:cstheme="minorHAnsi"/>
                <w:color w:val="000000" w:themeColor="text1"/>
              </w:rPr>
            </w:pPr>
          </w:p>
        </w:tc>
        <w:tc>
          <w:tcPr>
            <w:tcW w:w="632" w:type="dxa"/>
          </w:tcPr>
          <w:p w14:paraId="7F25150D" w14:textId="5E320393" w:rsidR="00FF4AD0" w:rsidRPr="000A1196" w:rsidRDefault="003F0377" w:rsidP="00767D81">
            <w:pPr>
              <w:pStyle w:val="NoSpacing"/>
              <w:rPr>
                <w:b/>
                <w:bCs/>
                <w:lang w:eastAsia="en-GB"/>
              </w:rPr>
            </w:pPr>
            <w:r>
              <w:rPr>
                <w:b/>
                <w:bCs/>
                <w:lang w:eastAsia="en-GB"/>
              </w:rPr>
              <w:t>28</w:t>
            </w:r>
            <w:r w:rsidR="00FF4AD0" w:rsidRPr="000A1196">
              <w:rPr>
                <w:b/>
                <w:bCs/>
                <w:lang w:eastAsia="en-GB"/>
              </w:rPr>
              <w:t>.</w:t>
            </w:r>
          </w:p>
        </w:tc>
        <w:tc>
          <w:tcPr>
            <w:tcW w:w="13729" w:type="dxa"/>
          </w:tcPr>
          <w:p w14:paraId="2E6039AD" w14:textId="77777777" w:rsidR="000B190C" w:rsidRPr="00243B6C" w:rsidRDefault="000B190C" w:rsidP="000B190C">
            <w:pPr>
              <w:pStyle w:val="NoSpacing"/>
              <w:rPr>
                <w:lang w:eastAsia="en-GB"/>
              </w:rPr>
            </w:pPr>
            <w:r w:rsidRPr="00243B6C">
              <w:rPr>
                <w:lang w:eastAsia="en-GB"/>
              </w:rPr>
              <w:t xml:space="preserve">In its review of </w:t>
            </w:r>
            <w:r w:rsidRPr="00243B6C">
              <w:rPr>
                <w:b/>
                <w:bCs/>
                <w:i/>
                <w:iCs/>
                <w:lang w:eastAsia="en-GB"/>
              </w:rPr>
              <w:t>Amy</w:t>
            </w:r>
            <w:r w:rsidRPr="00243B6C">
              <w:rPr>
                <w:lang w:eastAsia="en-GB"/>
              </w:rPr>
              <w:t xml:space="preserve">, </w:t>
            </w:r>
            <w:r w:rsidRPr="00243B6C">
              <w:rPr>
                <w:b/>
                <w:bCs/>
                <w:i/>
                <w:iCs/>
                <w:lang w:eastAsia="en-GB"/>
              </w:rPr>
              <w:t>Vulture.com</w:t>
            </w:r>
            <w:r w:rsidRPr="00243B6C">
              <w:rPr>
                <w:lang w:eastAsia="en-GB"/>
              </w:rPr>
              <w:t xml:space="preserve"> says that:</w:t>
            </w:r>
          </w:p>
          <w:p w14:paraId="3C917026" w14:textId="77777777" w:rsidR="000B190C" w:rsidRPr="00243B6C" w:rsidRDefault="000B190C" w:rsidP="000B190C">
            <w:pPr>
              <w:pStyle w:val="NoSpacing"/>
              <w:rPr>
                <w:lang w:eastAsia="en-GB"/>
              </w:rPr>
            </w:pPr>
            <w:r w:rsidRPr="00243B6C">
              <w:rPr>
                <w:lang w:eastAsia="en-GB"/>
              </w:rPr>
              <w:t>“</w:t>
            </w:r>
            <w:r w:rsidRPr="00243B6C">
              <w:rPr>
                <w:b/>
                <w:bCs/>
                <w:i/>
                <w:iCs/>
                <w:lang w:eastAsia="en-GB"/>
              </w:rPr>
              <w:t>Amy</w:t>
            </w:r>
            <w:r w:rsidRPr="00243B6C">
              <w:rPr>
                <w:lang w:eastAsia="en-GB"/>
              </w:rPr>
              <w:t xml:space="preserve"> is a celebrity-mongering documentary about the lethal effects of celebrity. Her management’s decision (abetted by her dad) to push her into a tour that began and ended in humiliation was the coup de </w:t>
            </w:r>
            <w:proofErr w:type="spellStart"/>
            <w:r w:rsidRPr="00243B6C">
              <w:rPr>
                <w:lang w:eastAsia="en-GB"/>
              </w:rPr>
              <w:t>grâce</w:t>
            </w:r>
            <w:proofErr w:type="spellEnd"/>
            <w:r w:rsidRPr="00243B6C">
              <w:rPr>
                <w:lang w:eastAsia="en-GB"/>
              </w:rPr>
              <w:t xml:space="preserve">. But the main culprit might have been fame itself. She had such a fragile talent, every note profoundly felt and hard-won, and Kapadia shows her repeatedly surrounded by paparazzi, whose clicks he amplifies to the point where they sound like the guns that took down Butch and Sundance. We identify with her pain but see her through the eyes of those cameras, complicit in spite of ourselves.” </w:t>
            </w:r>
          </w:p>
          <w:p w14:paraId="4CA596A0" w14:textId="17CC8A35" w:rsidR="00FF4AD0" w:rsidRPr="000A1196" w:rsidRDefault="00FF4AD0" w:rsidP="00FF4AD0">
            <w:pPr>
              <w:pStyle w:val="NoSpacing"/>
              <w:rPr>
                <w:lang w:eastAsia="en-GB"/>
              </w:rPr>
            </w:pPr>
          </w:p>
        </w:tc>
      </w:tr>
      <w:tr w:rsidR="00FF4AD0" w:rsidRPr="000A1196" w14:paraId="2F75FAEA" w14:textId="77777777" w:rsidTr="000A1196">
        <w:trPr>
          <w:trHeight w:val="612"/>
        </w:trPr>
        <w:tc>
          <w:tcPr>
            <w:tcW w:w="2082" w:type="dxa"/>
            <w:vMerge/>
            <w:shd w:val="clear" w:color="auto" w:fill="E98BDC"/>
          </w:tcPr>
          <w:p w14:paraId="7198DE5A" w14:textId="77777777" w:rsidR="00FF4AD0" w:rsidRPr="000A1196" w:rsidRDefault="00FF4AD0" w:rsidP="00FF4AD0">
            <w:pPr>
              <w:pStyle w:val="NoSpacing"/>
              <w:rPr>
                <w:rFonts w:cstheme="minorHAnsi"/>
                <w:color w:val="000000" w:themeColor="text1"/>
              </w:rPr>
            </w:pPr>
          </w:p>
        </w:tc>
        <w:tc>
          <w:tcPr>
            <w:tcW w:w="632" w:type="dxa"/>
          </w:tcPr>
          <w:p w14:paraId="109724DA" w14:textId="1E5D550E" w:rsidR="00FF4AD0" w:rsidRPr="000A1196" w:rsidRDefault="003F0377" w:rsidP="00767D81">
            <w:pPr>
              <w:pStyle w:val="NoSpacing"/>
              <w:rPr>
                <w:b/>
                <w:bCs/>
                <w:lang w:eastAsia="en-GB"/>
              </w:rPr>
            </w:pPr>
            <w:r>
              <w:rPr>
                <w:b/>
                <w:bCs/>
                <w:lang w:eastAsia="en-GB"/>
              </w:rPr>
              <w:t>29</w:t>
            </w:r>
            <w:r w:rsidR="00FF4AD0" w:rsidRPr="000A1196">
              <w:rPr>
                <w:b/>
                <w:bCs/>
                <w:lang w:eastAsia="en-GB"/>
              </w:rPr>
              <w:t>.</w:t>
            </w:r>
          </w:p>
        </w:tc>
        <w:tc>
          <w:tcPr>
            <w:tcW w:w="13729" w:type="dxa"/>
          </w:tcPr>
          <w:p w14:paraId="3EAF102B" w14:textId="77777777" w:rsidR="000B190C" w:rsidRPr="00243B6C" w:rsidRDefault="000B190C" w:rsidP="000B190C">
            <w:pPr>
              <w:pStyle w:val="NoSpacing"/>
              <w:rPr>
                <w:lang w:eastAsia="en-GB"/>
              </w:rPr>
            </w:pPr>
            <w:r w:rsidRPr="00243B6C">
              <w:rPr>
                <w:b/>
                <w:bCs/>
                <w:i/>
                <w:iCs/>
                <w:lang w:eastAsia="en-GB"/>
              </w:rPr>
              <w:t>Vulture’s</w:t>
            </w:r>
            <w:r w:rsidRPr="00243B6C">
              <w:rPr>
                <w:lang w:eastAsia="en-GB"/>
              </w:rPr>
              <w:t xml:space="preserve"> comment touches on ideological and ethical aspects of the film’s subject but also the act of being a viewer of this particular film. Compare and contrast the tone of the Vulture piece with this excerpt from the magazine </w:t>
            </w:r>
            <w:r w:rsidRPr="00243B6C">
              <w:rPr>
                <w:b/>
                <w:bCs/>
                <w:i/>
                <w:iCs/>
                <w:lang w:eastAsia="en-GB"/>
              </w:rPr>
              <w:t>Sight &amp; Sound</w:t>
            </w:r>
            <w:r w:rsidRPr="00243B6C">
              <w:rPr>
                <w:lang w:eastAsia="en-GB"/>
              </w:rPr>
              <w:t xml:space="preserve"> magazine in which we read the comment that:</w:t>
            </w:r>
          </w:p>
          <w:p w14:paraId="5D0C20DA" w14:textId="77777777" w:rsidR="000B190C" w:rsidRPr="00243B6C" w:rsidRDefault="000B190C" w:rsidP="000B190C">
            <w:pPr>
              <w:pStyle w:val="NoSpacing"/>
              <w:rPr>
                <w:lang w:eastAsia="en-GB"/>
              </w:rPr>
            </w:pPr>
            <w:r w:rsidRPr="00243B6C">
              <w:rPr>
                <w:lang w:eastAsia="en-GB"/>
              </w:rPr>
              <w:t>“Amy seems not only the subject but the author of her own story. There are some shocking images in this desperately sad, judicious but overlong film, which itself could be read as part of the problem – a symptom of the public’s endless appetite for misery and seeing stars self-destruct. But while walking this fine line, ultimately the film neither wallows in Amy’s fate nor glamorises her tragedy.” </w:t>
            </w:r>
          </w:p>
          <w:p w14:paraId="116D76DF" w14:textId="1CDEC742" w:rsidR="00FF4AD0" w:rsidRPr="000A1196" w:rsidRDefault="00FF4AD0" w:rsidP="00FF4AD0">
            <w:pPr>
              <w:pStyle w:val="NoSpacing"/>
              <w:rPr>
                <w:lang w:eastAsia="en-GB"/>
              </w:rPr>
            </w:pPr>
          </w:p>
        </w:tc>
      </w:tr>
      <w:tr w:rsidR="00FE6A35" w:rsidRPr="000A1196" w14:paraId="5521C264" w14:textId="77777777" w:rsidTr="000A1196">
        <w:trPr>
          <w:trHeight w:val="815"/>
        </w:trPr>
        <w:tc>
          <w:tcPr>
            <w:tcW w:w="2082" w:type="dxa"/>
            <w:vMerge w:val="restart"/>
            <w:shd w:val="clear" w:color="auto" w:fill="4EDAA5"/>
          </w:tcPr>
          <w:p w14:paraId="133250C4" w14:textId="4C011BC8" w:rsidR="00FE6A35" w:rsidRPr="000A1196" w:rsidRDefault="003F0377" w:rsidP="00767D81">
            <w:pPr>
              <w:pStyle w:val="NoSpacing"/>
              <w:rPr>
                <w:rFonts w:cstheme="minorHAnsi"/>
                <w:b/>
                <w:bCs/>
                <w:color w:val="000000" w:themeColor="text1"/>
              </w:rPr>
            </w:pPr>
            <w:r>
              <w:rPr>
                <w:rFonts w:cstheme="minorHAnsi"/>
                <w:b/>
                <w:bCs/>
                <w:color w:val="000000" w:themeColor="text1"/>
              </w:rPr>
              <w:t>J</w:t>
            </w:r>
            <w:r w:rsidR="00FE6A35" w:rsidRPr="000A1196">
              <w:rPr>
                <w:rFonts w:cstheme="minorHAnsi"/>
                <w:b/>
                <w:bCs/>
                <w:color w:val="000000" w:themeColor="text1"/>
              </w:rPr>
              <w:t xml:space="preserve">. </w:t>
            </w:r>
            <w:r w:rsidR="000B190C">
              <w:rPr>
                <w:rFonts w:cstheme="minorHAnsi"/>
                <w:b/>
                <w:bCs/>
                <w:color w:val="000000" w:themeColor="text1"/>
              </w:rPr>
              <w:t>Narrative</w:t>
            </w:r>
          </w:p>
          <w:p w14:paraId="44831AF9" w14:textId="679D50E6" w:rsidR="00FE6A35" w:rsidRPr="000A1196" w:rsidRDefault="00FE6A35" w:rsidP="008F5B5F">
            <w:pPr>
              <w:pStyle w:val="NoSpacing"/>
              <w:rPr>
                <w:rFonts w:cstheme="minorHAnsi"/>
                <w:b/>
                <w:bCs/>
                <w:color w:val="000000" w:themeColor="text1"/>
              </w:rPr>
            </w:pPr>
          </w:p>
        </w:tc>
        <w:tc>
          <w:tcPr>
            <w:tcW w:w="632" w:type="dxa"/>
          </w:tcPr>
          <w:p w14:paraId="74AEAB94" w14:textId="4C09DC87" w:rsidR="00FE6A35" w:rsidRPr="000A1196" w:rsidRDefault="00FE6A35" w:rsidP="00767D81">
            <w:pPr>
              <w:pStyle w:val="NoSpacing"/>
              <w:rPr>
                <w:rFonts w:eastAsia="Times New Roman" w:cstheme="minorHAnsi"/>
                <w:b/>
                <w:bCs/>
                <w:lang w:eastAsia="en-GB"/>
              </w:rPr>
            </w:pPr>
            <w:r w:rsidRPr="000A1196">
              <w:rPr>
                <w:rFonts w:eastAsia="Times New Roman" w:cstheme="minorHAnsi"/>
                <w:b/>
                <w:bCs/>
                <w:lang w:eastAsia="en-GB"/>
              </w:rPr>
              <w:t>3</w:t>
            </w:r>
            <w:r w:rsidR="003F0377">
              <w:rPr>
                <w:rFonts w:eastAsia="Times New Roman" w:cstheme="minorHAnsi"/>
                <w:b/>
                <w:bCs/>
                <w:lang w:eastAsia="en-GB"/>
              </w:rPr>
              <w:t>0</w:t>
            </w:r>
            <w:r w:rsidRPr="000A1196">
              <w:rPr>
                <w:rFonts w:eastAsia="Times New Roman" w:cstheme="minorHAnsi"/>
                <w:b/>
                <w:bCs/>
                <w:lang w:eastAsia="en-GB"/>
              </w:rPr>
              <w:t>.</w:t>
            </w:r>
          </w:p>
        </w:tc>
        <w:tc>
          <w:tcPr>
            <w:tcW w:w="13729" w:type="dxa"/>
          </w:tcPr>
          <w:p w14:paraId="6FD7DE7B" w14:textId="77777777" w:rsidR="000B190C" w:rsidRPr="00243B6C" w:rsidRDefault="000B190C" w:rsidP="000B190C">
            <w:pPr>
              <w:pStyle w:val="NoSpacing"/>
              <w:rPr>
                <w:lang w:eastAsia="en-GB"/>
              </w:rPr>
            </w:pPr>
            <w:r w:rsidRPr="00243B6C">
              <w:rPr>
                <w:lang w:eastAsia="en-GB"/>
              </w:rPr>
              <w:t xml:space="preserve">The narrative of </w:t>
            </w:r>
            <w:r w:rsidRPr="00243B6C">
              <w:rPr>
                <w:b/>
                <w:bCs/>
                <w:i/>
                <w:iCs/>
                <w:lang w:eastAsia="en-GB"/>
              </w:rPr>
              <w:t>Amy</w:t>
            </w:r>
            <w:r w:rsidRPr="00243B6C">
              <w:rPr>
                <w:lang w:eastAsia="en-GB"/>
              </w:rPr>
              <w:t xml:space="preserve"> is essentially linear, within its expository form as it follows Amy’s life in a linear progression but with several instances where home video footage of Amy as a child is incorporated. The film’s dramatic effect and structure is not so different to how a ‘fiction’ film is constructed and in </w:t>
            </w:r>
            <w:r w:rsidRPr="00243B6C">
              <w:rPr>
                <w:b/>
                <w:bCs/>
                <w:i/>
                <w:iCs/>
                <w:lang w:eastAsia="en-GB"/>
              </w:rPr>
              <w:t>Amy</w:t>
            </w:r>
            <w:r w:rsidRPr="00243B6C">
              <w:rPr>
                <w:lang w:eastAsia="en-GB"/>
              </w:rPr>
              <w:t>, Asif Kapadia makes powerful dramatic use of three events: attempts by Amy’s family to encourage her to stop her drug use; the imprisonment of Fielder-Civil and finally Amy’s death.</w:t>
            </w:r>
          </w:p>
          <w:p w14:paraId="6BF946E5" w14:textId="34968381" w:rsidR="00FE6A35" w:rsidRPr="000A1196" w:rsidRDefault="00FE6A35" w:rsidP="00767D81">
            <w:pPr>
              <w:pStyle w:val="NoSpacing"/>
              <w:tabs>
                <w:tab w:val="left" w:pos="2145"/>
              </w:tabs>
              <w:rPr>
                <w:rStyle w:val="Strong"/>
                <w:b w:val="0"/>
                <w:bCs w:val="0"/>
              </w:rPr>
            </w:pPr>
          </w:p>
        </w:tc>
      </w:tr>
      <w:tr w:rsidR="00FE6A35" w:rsidRPr="000A1196" w14:paraId="58712A1E" w14:textId="77777777" w:rsidTr="000A1196">
        <w:trPr>
          <w:trHeight w:val="815"/>
        </w:trPr>
        <w:tc>
          <w:tcPr>
            <w:tcW w:w="2082" w:type="dxa"/>
            <w:vMerge/>
            <w:shd w:val="clear" w:color="auto" w:fill="4EDAA5"/>
          </w:tcPr>
          <w:p w14:paraId="0B2B5245" w14:textId="328AD5A1" w:rsidR="00FE6A35" w:rsidRPr="000A1196" w:rsidRDefault="00FE6A35" w:rsidP="008F5B5F">
            <w:pPr>
              <w:pStyle w:val="NoSpacing"/>
              <w:rPr>
                <w:rFonts w:cstheme="minorHAnsi"/>
                <w:color w:val="000000" w:themeColor="text1"/>
              </w:rPr>
            </w:pPr>
          </w:p>
        </w:tc>
        <w:tc>
          <w:tcPr>
            <w:tcW w:w="632" w:type="dxa"/>
          </w:tcPr>
          <w:p w14:paraId="17FFCFAD" w14:textId="7E09F322" w:rsidR="00FE6A35" w:rsidRPr="000A1196" w:rsidRDefault="00FE6A35" w:rsidP="00767D81">
            <w:pPr>
              <w:pStyle w:val="NoSpacing"/>
              <w:rPr>
                <w:rFonts w:cstheme="minorHAnsi"/>
                <w:b/>
                <w:bCs/>
              </w:rPr>
            </w:pPr>
            <w:r w:rsidRPr="000A1196">
              <w:rPr>
                <w:rFonts w:cstheme="minorHAnsi"/>
                <w:b/>
                <w:bCs/>
              </w:rPr>
              <w:t>3</w:t>
            </w:r>
            <w:r w:rsidR="003F0377">
              <w:rPr>
                <w:rFonts w:cstheme="minorHAnsi"/>
                <w:b/>
                <w:bCs/>
              </w:rPr>
              <w:t>1</w:t>
            </w:r>
            <w:r w:rsidRPr="000A1196">
              <w:rPr>
                <w:rFonts w:cstheme="minorHAnsi"/>
                <w:b/>
                <w:bCs/>
              </w:rPr>
              <w:t>.</w:t>
            </w:r>
          </w:p>
        </w:tc>
        <w:tc>
          <w:tcPr>
            <w:tcW w:w="13729" w:type="dxa"/>
          </w:tcPr>
          <w:p w14:paraId="627EEAA8" w14:textId="77777777" w:rsidR="000B190C" w:rsidRPr="00243B6C" w:rsidRDefault="000B190C" w:rsidP="000B190C">
            <w:pPr>
              <w:pStyle w:val="NoSpacing"/>
              <w:rPr>
                <w:lang w:eastAsia="en-GB"/>
              </w:rPr>
            </w:pPr>
            <w:r w:rsidRPr="00243B6C">
              <w:rPr>
                <w:lang w:eastAsia="en-GB"/>
              </w:rPr>
              <w:t>In an interview with the BFI at the time of the film’s release, Asif Kapadia noted that:</w:t>
            </w:r>
          </w:p>
          <w:p w14:paraId="39FD0A38" w14:textId="77777777" w:rsidR="000B190C" w:rsidRPr="00243B6C" w:rsidRDefault="000B190C" w:rsidP="000B190C">
            <w:pPr>
              <w:pStyle w:val="NoSpacing"/>
              <w:rPr>
                <w:i/>
                <w:iCs/>
                <w:lang w:eastAsia="en-GB"/>
              </w:rPr>
            </w:pPr>
            <w:r w:rsidRPr="00243B6C">
              <w:rPr>
                <w:i/>
                <w:iCs/>
                <w:lang w:eastAsia="en-GB"/>
              </w:rPr>
              <w:t xml:space="preserve">“The interesting thing about doing it as a doc instead of as a drama is that it would have taken years to get a script together. So, it was interesting not to have a script, not to have to worry about financing, to just go off and interview people. You get that raw reaction which you hear in the finished film. One of the things I find frustrating about drama is that the process can somehow kill spontaneity.” </w:t>
            </w:r>
          </w:p>
          <w:p w14:paraId="4BCED293" w14:textId="0D3FC69B" w:rsidR="00FE6A35" w:rsidRPr="000A1196" w:rsidRDefault="00FE6A35" w:rsidP="00767D81">
            <w:pPr>
              <w:pStyle w:val="NoSpacing"/>
              <w:rPr>
                <w:rFonts w:cstheme="minorHAnsi"/>
              </w:rPr>
            </w:pPr>
          </w:p>
        </w:tc>
      </w:tr>
      <w:tr w:rsidR="00FE6A35" w:rsidRPr="000A1196" w14:paraId="5071EFC8" w14:textId="77777777" w:rsidTr="000A1196">
        <w:trPr>
          <w:trHeight w:val="815"/>
        </w:trPr>
        <w:tc>
          <w:tcPr>
            <w:tcW w:w="2082" w:type="dxa"/>
            <w:vMerge/>
            <w:shd w:val="clear" w:color="auto" w:fill="4EDAA5"/>
          </w:tcPr>
          <w:p w14:paraId="08699D24" w14:textId="66016A87" w:rsidR="00FE6A35" w:rsidRPr="000A1196" w:rsidRDefault="00FE6A35" w:rsidP="008F5B5F">
            <w:pPr>
              <w:pStyle w:val="NoSpacing"/>
              <w:rPr>
                <w:rFonts w:cstheme="minorHAnsi"/>
                <w:color w:val="000000" w:themeColor="text1"/>
              </w:rPr>
            </w:pPr>
          </w:p>
        </w:tc>
        <w:tc>
          <w:tcPr>
            <w:tcW w:w="632" w:type="dxa"/>
          </w:tcPr>
          <w:p w14:paraId="56BE1231" w14:textId="3A39AAD1" w:rsidR="00FE6A35" w:rsidRPr="000A1196" w:rsidRDefault="00FE6A35" w:rsidP="00767D81">
            <w:pPr>
              <w:pStyle w:val="NoSpacing"/>
              <w:rPr>
                <w:rFonts w:cstheme="minorHAnsi"/>
                <w:b/>
                <w:bCs/>
              </w:rPr>
            </w:pPr>
            <w:r w:rsidRPr="000A1196">
              <w:rPr>
                <w:rFonts w:cstheme="minorHAnsi"/>
                <w:b/>
                <w:bCs/>
              </w:rPr>
              <w:t>3</w:t>
            </w:r>
            <w:r w:rsidR="003F0377">
              <w:rPr>
                <w:rFonts w:cstheme="minorHAnsi"/>
                <w:b/>
                <w:bCs/>
              </w:rPr>
              <w:t>2</w:t>
            </w:r>
            <w:r w:rsidRPr="000A1196">
              <w:rPr>
                <w:rFonts w:cstheme="minorHAnsi"/>
                <w:b/>
                <w:bCs/>
              </w:rPr>
              <w:t>.</w:t>
            </w:r>
          </w:p>
        </w:tc>
        <w:tc>
          <w:tcPr>
            <w:tcW w:w="13729" w:type="dxa"/>
          </w:tcPr>
          <w:p w14:paraId="31296A66" w14:textId="77777777" w:rsidR="000B190C" w:rsidRPr="00243B6C" w:rsidRDefault="000B190C" w:rsidP="000B190C">
            <w:pPr>
              <w:pStyle w:val="NoSpacing"/>
              <w:rPr>
                <w:lang w:eastAsia="en-GB"/>
              </w:rPr>
            </w:pPr>
            <w:r w:rsidRPr="00243B6C">
              <w:rPr>
                <w:lang w:eastAsia="en-GB"/>
              </w:rPr>
              <w:t xml:space="preserve">Key to the narrative distinction of </w:t>
            </w:r>
            <w:r w:rsidRPr="00243B6C">
              <w:rPr>
                <w:b/>
                <w:bCs/>
                <w:i/>
                <w:iCs/>
                <w:lang w:eastAsia="en-GB"/>
              </w:rPr>
              <w:t>Amy</w:t>
            </w:r>
            <w:r w:rsidRPr="00243B6C">
              <w:rPr>
                <w:lang w:eastAsia="en-GB"/>
              </w:rPr>
              <w:t xml:space="preserve"> is an absence of a voiceover to provide a kind of authorial voice. As such, the narrative instead explicitly makes its meaning by associations and juxtapositions between images and sounds. Critically, the narrative is shaped by interviews with people in Amy’s life who do not speak directly to camera. The narrative is also constructed around the inclusion of captions that take the form of excerpts from Winehouse’s song lyrics. Fundamentally, the narrative construction allows the film to manipulate us to sympathise or empathise with a point of view about Amy.</w:t>
            </w:r>
          </w:p>
          <w:p w14:paraId="54CCD0C5" w14:textId="62B2DA82" w:rsidR="00FE6A35" w:rsidRPr="000A1196" w:rsidRDefault="00FE6A35" w:rsidP="00FF4AD0">
            <w:pPr>
              <w:pStyle w:val="NoSpacing"/>
              <w:rPr>
                <w:rFonts w:cstheme="minorHAnsi"/>
              </w:rPr>
            </w:pPr>
          </w:p>
        </w:tc>
      </w:tr>
    </w:tbl>
    <w:p w14:paraId="524D4096" w14:textId="78B3AD21" w:rsidR="00EC0779" w:rsidRPr="000A1196" w:rsidRDefault="00EC0779" w:rsidP="00744BA3">
      <w:pPr>
        <w:pStyle w:val="NoSpacing"/>
        <w:rPr>
          <w:b/>
          <w:bCs/>
          <w:u w:val="single"/>
        </w:rPr>
      </w:pPr>
    </w:p>
    <w:p w14:paraId="2005C7BF" w14:textId="18CCAE80" w:rsidR="00EC0779" w:rsidRPr="000A1196" w:rsidRDefault="00EC0779" w:rsidP="00744BA3">
      <w:pPr>
        <w:pStyle w:val="NoSpacing"/>
        <w:rPr>
          <w:b/>
          <w:bCs/>
          <w:u w:val="single"/>
        </w:rPr>
      </w:pPr>
    </w:p>
    <w:p w14:paraId="3FA92B5F" w14:textId="57F1AE9B" w:rsidR="00EC0779" w:rsidRPr="000A1196" w:rsidRDefault="00EC0779" w:rsidP="00744BA3">
      <w:pPr>
        <w:pStyle w:val="NoSpacing"/>
        <w:rPr>
          <w:b/>
          <w:bCs/>
          <w:u w:val="single"/>
        </w:rPr>
      </w:pPr>
    </w:p>
    <w:p w14:paraId="2D1F44C2" w14:textId="77777777" w:rsidR="00EC0779" w:rsidRPr="000A1196" w:rsidRDefault="00EC0779">
      <w:pPr>
        <w:pStyle w:val="NoSpacing"/>
        <w:rPr>
          <w:b/>
          <w:bCs/>
          <w:u w:val="single"/>
        </w:rPr>
      </w:pPr>
    </w:p>
    <w:sectPr w:rsidR="00EC0779" w:rsidRPr="000A1196" w:rsidSect="0081708A">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198B" w14:textId="77777777" w:rsidR="005057EF" w:rsidRDefault="005057EF" w:rsidP="005057EF">
      <w:pPr>
        <w:spacing w:after="0" w:line="240" w:lineRule="auto"/>
      </w:pPr>
      <w:r>
        <w:separator/>
      </w:r>
    </w:p>
  </w:endnote>
  <w:endnote w:type="continuationSeparator" w:id="0">
    <w:p w14:paraId="1B1D0499" w14:textId="77777777" w:rsidR="005057EF" w:rsidRDefault="005057EF" w:rsidP="0050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DE51" w14:textId="77777777" w:rsidR="005057EF" w:rsidRDefault="005057EF" w:rsidP="005057EF">
      <w:pPr>
        <w:spacing w:after="0" w:line="240" w:lineRule="auto"/>
      </w:pPr>
      <w:r>
        <w:separator/>
      </w:r>
    </w:p>
  </w:footnote>
  <w:footnote w:type="continuationSeparator" w:id="0">
    <w:p w14:paraId="309008B9" w14:textId="77777777" w:rsidR="005057EF" w:rsidRDefault="005057EF" w:rsidP="0050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DD2"/>
    <w:multiLevelType w:val="hybridMultilevel"/>
    <w:tmpl w:val="6D1A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D54A6"/>
    <w:multiLevelType w:val="multilevel"/>
    <w:tmpl w:val="6E9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3C8E"/>
    <w:multiLevelType w:val="hybridMultilevel"/>
    <w:tmpl w:val="FFA61BA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7311F"/>
    <w:multiLevelType w:val="hybridMultilevel"/>
    <w:tmpl w:val="A40E1F1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C4F1C"/>
    <w:multiLevelType w:val="hybridMultilevel"/>
    <w:tmpl w:val="9CA27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C7111"/>
    <w:multiLevelType w:val="hybridMultilevel"/>
    <w:tmpl w:val="B9CC792C"/>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748BC"/>
    <w:multiLevelType w:val="hybridMultilevel"/>
    <w:tmpl w:val="B3D0B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25197"/>
    <w:multiLevelType w:val="hybridMultilevel"/>
    <w:tmpl w:val="72EE6FAA"/>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85E24"/>
    <w:multiLevelType w:val="hybridMultilevel"/>
    <w:tmpl w:val="B23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F65A6"/>
    <w:multiLevelType w:val="hybridMultilevel"/>
    <w:tmpl w:val="B526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0"/>
  </w:num>
  <w:num w:numId="6">
    <w:abstractNumId w:val="4"/>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D9"/>
    <w:rsid w:val="00096748"/>
    <w:rsid w:val="000A1196"/>
    <w:rsid w:val="000B190C"/>
    <w:rsid w:val="000E32CD"/>
    <w:rsid w:val="000F50DF"/>
    <w:rsid w:val="001449BD"/>
    <w:rsid w:val="001E40C5"/>
    <w:rsid w:val="002234D9"/>
    <w:rsid w:val="00232D2C"/>
    <w:rsid w:val="00232DA6"/>
    <w:rsid w:val="00236ABB"/>
    <w:rsid w:val="00332071"/>
    <w:rsid w:val="003F0377"/>
    <w:rsid w:val="00403D7C"/>
    <w:rsid w:val="00480D47"/>
    <w:rsid w:val="004C1D8F"/>
    <w:rsid w:val="005057EF"/>
    <w:rsid w:val="0054254D"/>
    <w:rsid w:val="005428D8"/>
    <w:rsid w:val="00575F13"/>
    <w:rsid w:val="005F6CBB"/>
    <w:rsid w:val="00613A55"/>
    <w:rsid w:val="00616F9C"/>
    <w:rsid w:val="00636D1F"/>
    <w:rsid w:val="006524AC"/>
    <w:rsid w:val="00695570"/>
    <w:rsid w:val="00697B79"/>
    <w:rsid w:val="00731009"/>
    <w:rsid w:val="00744BA3"/>
    <w:rsid w:val="007614D6"/>
    <w:rsid w:val="00802875"/>
    <w:rsid w:val="0081708A"/>
    <w:rsid w:val="00934FE7"/>
    <w:rsid w:val="009538AB"/>
    <w:rsid w:val="009B0B53"/>
    <w:rsid w:val="00A11FDB"/>
    <w:rsid w:val="00AC5D83"/>
    <w:rsid w:val="00AF46E0"/>
    <w:rsid w:val="00B538A1"/>
    <w:rsid w:val="00BD390F"/>
    <w:rsid w:val="00C15E27"/>
    <w:rsid w:val="00C216B5"/>
    <w:rsid w:val="00D0716D"/>
    <w:rsid w:val="00D360CC"/>
    <w:rsid w:val="00EB6A8F"/>
    <w:rsid w:val="00EC0779"/>
    <w:rsid w:val="00ED6F6C"/>
    <w:rsid w:val="00F36D96"/>
    <w:rsid w:val="00FE6A35"/>
    <w:rsid w:val="00FF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C99F"/>
  <w15:chartTrackingRefBased/>
  <w15:docId w15:val="{B101D8BB-C6C9-4226-96C3-56DEC722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16F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44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3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34D9"/>
    <w:pPr>
      <w:spacing w:after="0" w:line="240" w:lineRule="auto"/>
    </w:pPr>
  </w:style>
  <w:style w:type="character" w:customStyle="1" w:styleId="Heading3Char">
    <w:name w:val="Heading 3 Char"/>
    <w:basedOn w:val="DefaultParagraphFont"/>
    <w:link w:val="Heading3"/>
    <w:uiPriority w:val="9"/>
    <w:rsid w:val="00616F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44BA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C0779"/>
    <w:rPr>
      <w:b/>
      <w:bCs/>
    </w:rPr>
  </w:style>
  <w:style w:type="character" w:styleId="Emphasis">
    <w:name w:val="Emphasis"/>
    <w:basedOn w:val="DefaultParagraphFont"/>
    <w:uiPriority w:val="20"/>
    <w:qFormat/>
    <w:rsid w:val="00F36D96"/>
    <w:rPr>
      <w:i/>
      <w:iCs/>
    </w:rPr>
  </w:style>
  <w:style w:type="character" w:styleId="Hyperlink">
    <w:name w:val="Hyperlink"/>
    <w:basedOn w:val="DefaultParagraphFont"/>
    <w:uiPriority w:val="99"/>
    <w:semiHidden/>
    <w:unhideWhenUsed/>
    <w:rsid w:val="00332071"/>
    <w:rPr>
      <w:color w:val="0000FF"/>
      <w:u w:val="single"/>
    </w:rPr>
  </w:style>
  <w:style w:type="paragraph" w:styleId="ListParagraph">
    <w:name w:val="List Paragraph"/>
    <w:basedOn w:val="Normal"/>
    <w:uiPriority w:val="34"/>
    <w:qFormat/>
    <w:rsid w:val="005057EF"/>
    <w:pPr>
      <w:ind w:left="720"/>
      <w:contextualSpacing/>
    </w:pPr>
  </w:style>
  <w:style w:type="paragraph" w:styleId="Header">
    <w:name w:val="header"/>
    <w:basedOn w:val="Normal"/>
    <w:link w:val="HeaderChar"/>
    <w:uiPriority w:val="99"/>
    <w:unhideWhenUsed/>
    <w:rsid w:val="00505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EF"/>
  </w:style>
  <w:style w:type="paragraph" w:styleId="Footer">
    <w:name w:val="footer"/>
    <w:basedOn w:val="Normal"/>
    <w:link w:val="FooterChar"/>
    <w:uiPriority w:val="99"/>
    <w:unhideWhenUsed/>
    <w:rsid w:val="00505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EF"/>
  </w:style>
  <w:style w:type="paragraph" w:styleId="BalloonText">
    <w:name w:val="Balloon Text"/>
    <w:basedOn w:val="Normal"/>
    <w:link w:val="BalloonTextChar"/>
    <w:uiPriority w:val="99"/>
    <w:semiHidden/>
    <w:unhideWhenUsed/>
    <w:rsid w:val="00AC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859">
      <w:bodyDiv w:val="1"/>
      <w:marLeft w:val="0"/>
      <w:marRight w:val="0"/>
      <w:marTop w:val="0"/>
      <w:marBottom w:val="0"/>
      <w:divBdr>
        <w:top w:val="none" w:sz="0" w:space="0" w:color="auto"/>
        <w:left w:val="none" w:sz="0" w:space="0" w:color="auto"/>
        <w:bottom w:val="none" w:sz="0" w:space="0" w:color="auto"/>
        <w:right w:val="none" w:sz="0" w:space="0" w:color="auto"/>
      </w:divBdr>
    </w:div>
    <w:div w:id="66002851">
      <w:bodyDiv w:val="1"/>
      <w:marLeft w:val="0"/>
      <w:marRight w:val="0"/>
      <w:marTop w:val="0"/>
      <w:marBottom w:val="0"/>
      <w:divBdr>
        <w:top w:val="none" w:sz="0" w:space="0" w:color="auto"/>
        <w:left w:val="none" w:sz="0" w:space="0" w:color="auto"/>
        <w:bottom w:val="none" w:sz="0" w:space="0" w:color="auto"/>
        <w:right w:val="none" w:sz="0" w:space="0" w:color="auto"/>
      </w:divBdr>
    </w:div>
    <w:div w:id="161431524">
      <w:bodyDiv w:val="1"/>
      <w:marLeft w:val="0"/>
      <w:marRight w:val="0"/>
      <w:marTop w:val="0"/>
      <w:marBottom w:val="0"/>
      <w:divBdr>
        <w:top w:val="none" w:sz="0" w:space="0" w:color="auto"/>
        <w:left w:val="none" w:sz="0" w:space="0" w:color="auto"/>
        <w:bottom w:val="none" w:sz="0" w:space="0" w:color="auto"/>
        <w:right w:val="none" w:sz="0" w:space="0" w:color="auto"/>
      </w:divBdr>
    </w:div>
    <w:div w:id="294528080">
      <w:bodyDiv w:val="1"/>
      <w:marLeft w:val="0"/>
      <w:marRight w:val="0"/>
      <w:marTop w:val="0"/>
      <w:marBottom w:val="0"/>
      <w:divBdr>
        <w:top w:val="none" w:sz="0" w:space="0" w:color="auto"/>
        <w:left w:val="none" w:sz="0" w:space="0" w:color="auto"/>
        <w:bottom w:val="none" w:sz="0" w:space="0" w:color="auto"/>
        <w:right w:val="none" w:sz="0" w:space="0" w:color="auto"/>
      </w:divBdr>
      <w:divsChild>
        <w:div w:id="24492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816147">
      <w:bodyDiv w:val="1"/>
      <w:marLeft w:val="0"/>
      <w:marRight w:val="0"/>
      <w:marTop w:val="0"/>
      <w:marBottom w:val="0"/>
      <w:divBdr>
        <w:top w:val="none" w:sz="0" w:space="0" w:color="auto"/>
        <w:left w:val="none" w:sz="0" w:space="0" w:color="auto"/>
        <w:bottom w:val="none" w:sz="0" w:space="0" w:color="auto"/>
        <w:right w:val="none" w:sz="0" w:space="0" w:color="auto"/>
      </w:divBdr>
    </w:div>
    <w:div w:id="307788348">
      <w:bodyDiv w:val="1"/>
      <w:marLeft w:val="0"/>
      <w:marRight w:val="0"/>
      <w:marTop w:val="0"/>
      <w:marBottom w:val="0"/>
      <w:divBdr>
        <w:top w:val="none" w:sz="0" w:space="0" w:color="auto"/>
        <w:left w:val="none" w:sz="0" w:space="0" w:color="auto"/>
        <w:bottom w:val="none" w:sz="0" w:space="0" w:color="auto"/>
        <w:right w:val="none" w:sz="0" w:space="0" w:color="auto"/>
      </w:divBdr>
      <w:divsChild>
        <w:div w:id="48378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65655">
      <w:bodyDiv w:val="1"/>
      <w:marLeft w:val="0"/>
      <w:marRight w:val="0"/>
      <w:marTop w:val="0"/>
      <w:marBottom w:val="0"/>
      <w:divBdr>
        <w:top w:val="none" w:sz="0" w:space="0" w:color="auto"/>
        <w:left w:val="none" w:sz="0" w:space="0" w:color="auto"/>
        <w:bottom w:val="none" w:sz="0" w:space="0" w:color="auto"/>
        <w:right w:val="none" w:sz="0" w:space="0" w:color="auto"/>
      </w:divBdr>
    </w:div>
    <w:div w:id="468548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879407">
      <w:bodyDiv w:val="1"/>
      <w:marLeft w:val="0"/>
      <w:marRight w:val="0"/>
      <w:marTop w:val="0"/>
      <w:marBottom w:val="0"/>
      <w:divBdr>
        <w:top w:val="none" w:sz="0" w:space="0" w:color="auto"/>
        <w:left w:val="none" w:sz="0" w:space="0" w:color="auto"/>
        <w:bottom w:val="none" w:sz="0" w:space="0" w:color="auto"/>
        <w:right w:val="none" w:sz="0" w:space="0" w:color="auto"/>
      </w:divBdr>
    </w:div>
    <w:div w:id="631789950">
      <w:bodyDiv w:val="1"/>
      <w:marLeft w:val="0"/>
      <w:marRight w:val="0"/>
      <w:marTop w:val="0"/>
      <w:marBottom w:val="0"/>
      <w:divBdr>
        <w:top w:val="none" w:sz="0" w:space="0" w:color="auto"/>
        <w:left w:val="none" w:sz="0" w:space="0" w:color="auto"/>
        <w:bottom w:val="none" w:sz="0" w:space="0" w:color="auto"/>
        <w:right w:val="none" w:sz="0" w:space="0" w:color="auto"/>
      </w:divBdr>
    </w:div>
    <w:div w:id="789324571">
      <w:bodyDiv w:val="1"/>
      <w:marLeft w:val="0"/>
      <w:marRight w:val="0"/>
      <w:marTop w:val="0"/>
      <w:marBottom w:val="0"/>
      <w:divBdr>
        <w:top w:val="none" w:sz="0" w:space="0" w:color="auto"/>
        <w:left w:val="none" w:sz="0" w:space="0" w:color="auto"/>
        <w:bottom w:val="none" w:sz="0" w:space="0" w:color="auto"/>
        <w:right w:val="none" w:sz="0" w:space="0" w:color="auto"/>
      </w:divBdr>
    </w:div>
    <w:div w:id="846215791">
      <w:bodyDiv w:val="1"/>
      <w:marLeft w:val="0"/>
      <w:marRight w:val="0"/>
      <w:marTop w:val="0"/>
      <w:marBottom w:val="0"/>
      <w:divBdr>
        <w:top w:val="none" w:sz="0" w:space="0" w:color="auto"/>
        <w:left w:val="none" w:sz="0" w:space="0" w:color="auto"/>
        <w:bottom w:val="none" w:sz="0" w:space="0" w:color="auto"/>
        <w:right w:val="none" w:sz="0" w:space="0" w:color="auto"/>
      </w:divBdr>
      <w:divsChild>
        <w:div w:id="1126703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76454">
      <w:bodyDiv w:val="1"/>
      <w:marLeft w:val="0"/>
      <w:marRight w:val="0"/>
      <w:marTop w:val="0"/>
      <w:marBottom w:val="0"/>
      <w:divBdr>
        <w:top w:val="none" w:sz="0" w:space="0" w:color="auto"/>
        <w:left w:val="none" w:sz="0" w:space="0" w:color="auto"/>
        <w:bottom w:val="none" w:sz="0" w:space="0" w:color="auto"/>
        <w:right w:val="none" w:sz="0" w:space="0" w:color="auto"/>
      </w:divBdr>
    </w:div>
    <w:div w:id="1041516871">
      <w:bodyDiv w:val="1"/>
      <w:marLeft w:val="0"/>
      <w:marRight w:val="0"/>
      <w:marTop w:val="0"/>
      <w:marBottom w:val="0"/>
      <w:divBdr>
        <w:top w:val="none" w:sz="0" w:space="0" w:color="auto"/>
        <w:left w:val="none" w:sz="0" w:space="0" w:color="auto"/>
        <w:bottom w:val="none" w:sz="0" w:space="0" w:color="auto"/>
        <w:right w:val="none" w:sz="0" w:space="0" w:color="auto"/>
      </w:divBdr>
    </w:div>
    <w:div w:id="1049692541">
      <w:bodyDiv w:val="1"/>
      <w:marLeft w:val="0"/>
      <w:marRight w:val="0"/>
      <w:marTop w:val="0"/>
      <w:marBottom w:val="0"/>
      <w:divBdr>
        <w:top w:val="none" w:sz="0" w:space="0" w:color="auto"/>
        <w:left w:val="none" w:sz="0" w:space="0" w:color="auto"/>
        <w:bottom w:val="none" w:sz="0" w:space="0" w:color="auto"/>
        <w:right w:val="none" w:sz="0" w:space="0" w:color="auto"/>
      </w:divBdr>
      <w:divsChild>
        <w:div w:id="15060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864143">
      <w:bodyDiv w:val="1"/>
      <w:marLeft w:val="0"/>
      <w:marRight w:val="0"/>
      <w:marTop w:val="0"/>
      <w:marBottom w:val="0"/>
      <w:divBdr>
        <w:top w:val="none" w:sz="0" w:space="0" w:color="auto"/>
        <w:left w:val="none" w:sz="0" w:space="0" w:color="auto"/>
        <w:bottom w:val="none" w:sz="0" w:space="0" w:color="auto"/>
        <w:right w:val="none" w:sz="0" w:space="0" w:color="auto"/>
      </w:divBdr>
    </w:div>
    <w:div w:id="1148480464">
      <w:bodyDiv w:val="1"/>
      <w:marLeft w:val="0"/>
      <w:marRight w:val="0"/>
      <w:marTop w:val="0"/>
      <w:marBottom w:val="0"/>
      <w:divBdr>
        <w:top w:val="none" w:sz="0" w:space="0" w:color="auto"/>
        <w:left w:val="none" w:sz="0" w:space="0" w:color="auto"/>
        <w:bottom w:val="none" w:sz="0" w:space="0" w:color="auto"/>
        <w:right w:val="none" w:sz="0" w:space="0" w:color="auto"/>
      </w:divBdr>
    </w:div>
    <w:div w:id="1261449621">
      <w:bodyDiv w:val="1"/>
      <w:marLeft w:val="0"/>
      <w:marRight w:val="0"/>
      <w:marTop w:val="0"/>
      <w:marBottom w:val="0"/>
      <w:divBdr>
        <w:top w:val="none" w:sz="0" w:space="0" w:color="auto"/>
        <w:left w:val="none" w:sz="0" w:space="0" w:color="auto"/>
        <w:bottom w:val="none" w:sz="0" w:space="0" w:color="auto"/>
        <w:right w:val="none" w:sz="0" w:space="0" w:color="auto"/>
      </w:divBdr>
    </w:div>
    <w:div w:id="1262951860">
      <w:bodyDiv w:val="1"/>
      <w:marLeft w:val="0"/>
      <w:marRight w:val="0"/>
      <w:marTop w:val="0"/>
      <w:marBottom w:val="0"/>
      <w:divBdr>
        <w:top w:val="none" w:sz="0" w:space="0" w:color="auto"/>
        <w:left w:val="none" w:sz="0" w:space="0" w:color="auto"/>
        <w:bottom w:val="none" w:sz="0" w:space="0" w:color="auto"/>
        <w:right w:val="none" w:sz="0" w:space="0" w:color="auto"/>
      </w:divBdr>
    </w:div>
    <w:div w:id="1286960554">
      <w:bodyDiv w:val="1"/>
      <w:marLeft w:val="0"/>
      <w:marRight w:val="0"/>
      <w:marTop w:val="0"/>
      <w:marBottom w:val="0"/>
      <w:divBdr>
        <w:top w:val="none" w:sz="0" w:space="0" w:color="auto"/>
        <w:left w:val="none" w:sz="0" w:space="0" w:color="auto"/>
        <w:bottom w:val="none" w:sz="0" w:space="0" w:color="auto"/>
        <w:right w:val="none" w:sz="0" w:space="0" w:color="auto"/>
      </w:divBdr>
    </w:div>
    <w:div w:id="1309822186">
      <w:bodyDiv w:val="1"/>
      <w:marLeft w:val="0"/>
      <w:marRight w:val="0"/>
      <w:marTop w:val="0"/>
      <w:marBottom w:val="0"/>
      <w:divBdr>
        <w:top w:val="none" w:sz="0" w:space="0" w:color="auto"/>
        <w:left w:val="none" w:sz="0" w:space="0" w:color="auto"/>
        <w:bottom w:val="none" w:sz="0" w:space="0" w:color="auto"/>
        <w:right w:val="none" w:sz="0" w:space="0" w:color="auto"/>
      </w:divBdr>
    </w:div>
    <w:div w:id="1425347431">
      <w:bodyDiv w:val="1"/>
      <w:marLeft w:val="0"/>
      <w:marRight w:val="0"/>
      <w:marTop w:val="0"/>
      <w:marBottom w:val="0"/>
      <w:divBdr>
        <w:top w:val="none" w:sz="0" w:space="0" w:color="auto"/>
        <w:left w:val="none" w:sz="0" w:space="0" w:color="auto"/>
        <w:bottom w:val="none" w:sz="0" w:space="0" w:color="auto"/>
        <w:right w:val="none" w:sz="0" w:space="0" w:color="auto"/>
      </w:divBdr>
    </w:div>
    <w:div w:id="1593004768">
      <w:bodyDiv w:val="1"/>
      <w:marLeft w:val="0"/>
      <w:marRight w:val="0"/>
      <w:marTop w:val="0"/>
      <w:marBottom w:val="0"/>
      <w:divBdr>
        <w:top w:val="none" w:sz="0" w:space="0" w:color="auto"/>
        <w:left w:val="none" w:sz="0" w:space="0" w:color="auto"/>
        <w:bottom w:val="none" w:sz="0" w:space="0" w:color="auto"/>
        <w:right w:val="none" w:sz="0" w:space="0" w:color="auto"/>
      </w:divBdr>
    </w:div>
    <w:div w:id="1682003162">
      <w:bodyDiv w:val="1"/>
      <w:marLeft w:val="0"/>
      <w:marRight w:val="0"/>
      <w:marTop w:val="0"/>
      <w:marBottom w:val="0"/>
      <w:divBdr>
        <w:top w:val="none" w:sz="0" w:space="0" w:color="auto"/>
        <w:left w:val="none" w:sz="0" w:space="0" w:color="auto"/>
        <w:bottom w:val="none" w:sz="0" w:space="0" w:color="auto"/>
        <w:right w:val="none" w:sz="0" w:space="0" w:color="auto"/>
      </w:divBdr>
    </w:div>
    <w:div w:id="1694190516">
      <w:bodyDiv w:val="1"/>
      <w:marLeft w:val="0"/>
      <w:marRight w:val="0"/>
      <w:marTop w:val="0"/>
      <w:marBottom w:val="0"/>
      <w:divBdr>
        <w:top w:val="none" w:sz="0" w:space="0" w:color="auto"/>
        <w:left w:val="none" w:sz="0" w:space="0" w:color="auto"/>
        <w:bottom w:val="none" w:sz="0" w:space="0" w:color="auto"/>
        <w:right w:val="none" w:sz="0" w:space="0" w:color="auto"/>
      </w:divBdr>
    </w:div>
    <w:div w:id="1733506416">
      <w:bodyDiv w:val="1"/>
      <w:marLeft w:val="0"/>
      <w:marRight w:val="0"/>
      <w:marTop w:val="0"/>
      <w:marBottom w:val="0"/>
      <w:divBdr>
        <w:top w:val="none" w:sz="0" w:space="0" w:color="auto"/>
        <w:left w:val="none" w:sz="0" w:space="0" w:color="auto"/>
        <w:bottom w:val="none" w:sz="0" w:space="0" w:color="auto"/>
        <w:right w:val="none" w:sz="0" w:space="0" w:color="auto"/>
      </w:divBdr>
    </w:div>
    <w:div w:id="1800806190">
      <w:bodyDiv w:val="1"/>
      <w:marLeft w:val="0"/>
      <w:marRight w:val="0"/>
      <w:marTop w:val="0"/>
      <w:marBottom w:val="0"/>
      <w:divBdr>
        <w:top w:val="none" w:sz="0" w:space="0" w:color="auto"/>
        <w:left w:val="none" w:sz="0" w:space="0" w:color="auto"/>
        <w:bottom w:val="none" w:sz="0" w:space="0" w:color="auto"/>
        <w:right w:val="none" w:sz="0" w:space="0" w:color="auto"/>
      </w:divBdr>
    </w:div>
    <w:div w:id="1985428651">
      <w:bodyDiv w:val="1"/>
      <w:marLeft w:val="0"/>
      <w:marRight w:val="0"/>
      <w:marTop w:val="0"/>
      <w:marBottom w:val="0"/>
      <w:divBdr>
        <w:top w:val="none" w:sz="0" w:space="0" w:color="auto"/>
        <w:left w:val="none" w:sz="0" w:space="0" w:color="auto"/>
        <w:bottom w:val="none" w:sz="0" w:space="0" w:color="auto"/>
        <w:right w:val="none" w:sz="0" w:space="0" w:color="auto"/>
      </w:divBdr>
    </w:div>
    <w:div w:id="2082097517">
      <w:bodyDiv w:val="1"/>
      <w:marLeft w:val="0"/>
      <w:marRight w:val="0"/>
      <w:marTop w:val="0"/>
      <w:marBottom w:val="0"/>
      <w:divBdr>
        <w:top w:val="none" w:sz="0" w:space="0" w:color="auto"/>
        <w:left w:val="none" w:sz="0" w:space="0" w:color="auto"/>
        <w:bottom w:val="none" w:sz="0" w:space="0" w:color="auto"/>
        <w:right w:val="none" w:sz="0" w:space="0" w:color="auto"/>
      </w:divBdr>
    </w:div>
    <w:div w:id="20947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Nolan</dc:creator>
  <cp:keywords/>
  <dc:description/>
  <cp:lastModifiedBy>Andrew Hart</cp:lastModifiedBy>
  <cp:revision>4</cp:revision>
  <cp:lastPrinted>2023-05-24T06:36:00Z</cp:lastPrinted>
  <dcterms:created xsi:type="dcterms:W3CDTF">2022-03-29T14:22:00Z</dcterms:created>
  <dcterms:modified xsi:type="dcterms:W3CDTF">2023-05-24T06:37:00Z</dcterms:modified>
</cp:coreProperties>
</file>