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3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 w:rsidR="00277889">
        <w:rPr>
          <w:rFonts w:ascii="Comic Sans MS" w:hAnsi="Comic Sans MS"/>
          <w:sz w:val="28"/>
          <w:szCs w:val="16"/>
        </w:rPr>
        <w:t>6.6.23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277889">
        <w:rPr>
          <w:rFonts w:ascii="Comic Sans MS" w:hAnsi="Comic Sans MS"/>
          <w:sz w:val="28"/>
          <w:szCs w:val="16"/>
        </w:rPr>
        <w:t>13.6.23</w:t>
      </w:r>
    </w:p>
    <w:p w:rsidR="008538CE" w:rsidRPr="00F932CC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sun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take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tell</w:t>
            </w:r>
          </w:p>
        </w:tc>
        <w:bookmarkStart w:id="0" w:name="_GoBack"/>
        <w:bookmarkEnd w:id="0"/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than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E73E97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that’s 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277889" w:rsidRDefault="00277889" w:rsidP="0027788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6.6.23</w:t>
      </w:r>
    </w:p>
    <w:p w:rsidR="00277889" w:rsidRDefault="00277889" w:rsidP="0027788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13.6.23</w:t>
      </w:r>
    </w:p>
    <w:p w:rsidR="008538CE" w:rsidRPr="0009650D" w:rsidRDefault="00277889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Pr="00277889">
        <w:rPr>
          <w:rFonts w:ascii="Comic Sans MS" w:hAnsi="Comic Sans MS"/>
          <w:noProof/>
          <w:sz w:val="28"/>
          <w:lang w:eastAsia="en-GB"/>
        </w:rPr>
        <w:t>Words that are homophones or near homophones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advice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DB57A2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advise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device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devise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licence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277889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license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practice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practise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277889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prophecy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prophesy </w:t>
            </w:r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277889" w:rsidRDefault="00277889" w:rsidP="0027788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6.6.23</w:t>
      </w:r>
    </w:p>
    <w:p w:rsidR="00277889" w:rsidRDefault="00277889" w:rsidP="0027788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13.6.23</w:t>
      </w:r>
    </w:p>
    <w:p w:rsidR="003F7583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277889" w:rsidRPr="00277889">
        <w:rPr>
          <w:rFonts w:ascii="Comic Sans MS" w:hAnsi="Comic Sans MS"/>
          <w:sz w:val="28"/>
          <w:szCs w:val="16"/>
        </w:rPr>
        <w:t>Words with the suffix '-ably'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changeably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noticeably 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dependably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comfortably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reasonably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adorably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valuably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believably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considerably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tolerably 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277889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DB57A2"/>
    <w:rsid w:val="00E73E9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1BCD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13</cp:revision>
  <dcterms:created xsi:type="dcterms:W3CDTF">2023-02-07T09:42:00Z</dcterms:created>
  <dcterms:modified xsi:type="dcterms:W3CDTF">2023-06-06T16:32:00Z</dcterms:modified>
</cp:coreProperties>
</file>