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15)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07.01.2025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14.01.25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winkl Cursive Looped" w:cs="Twinkl Cursive Looped" w:eastAsia="Twinkl Cursive Looped" w:hAnsi="Twinkl Cursive Looped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00b0f0"/>
                <w:rtl w:val="0"/>
              </w:rPr>
              <w:t xml:space="preserve">Spelling Rule: words with digraph ‘ey’ makes an /ai/ sound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19423" cy="2295845"/>
                  <wp:effectExtent b="0" l="0" r="0" t="0"/>
                  <wp:docPr id="21312794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2295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140335</wp:posOffset>
                  </wp:positionV>
                  <wp:extent cx="1258570" cy="2705100"/>
                  <wp:effectExtent b="0" l="0" r="0" t="0"/>
                  <wp:wrapSquare wrapText="bothSides" distB="0" distT="0" distL="114300" distR="114300"/>
                  <wp:docPr id="213127946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270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68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131279464" name="image4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4.jpg"/>
                    <pic:cNvPicPr preferRelativeResize="0"/>
                  </pic:nvPicPr>
                  <pic:blipFill>
                    <a:blip r:embed="rId9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b="0" l="0" r="0" t="0"/>
            <wp:wrapNone/>
            <wp:docPr descr="Spelling Shed - Spelling Shed - The Science of Spelling" id="2131279463" name="image2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2905125</wp:posOffset>
                </wp:positionV>
                <wp:extent cx="2743200" cy="1613647"/>
                <wp:effectExtent b="0" l="0" r="0" t="0"/>
                <wp:wrapNone/>
                <wp:docPr id="21312794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79163" y="3075150"/>
                          <a:ext cx="2733675" cy="1409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15)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07.01.2025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14.01.25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0"/>
                                <w:vertAlign w:val="baseline"/>
                              </w:rPr>
                              <w:t xml:space="preserve"> words ending in ‘-ous’ including those where ‘ge’ from the base word remains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2905125</wp:posOffset>
                </wp:positionV>
                <wp:extent cx="2743200" cy="1613647"/>
                <wp:effectExtent b="0" l="0" r="0" t="0"/>
                <wp:wrapNone/>
                <wp:docPr id="213127945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6136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21312794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213127945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131279461" name="image3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3.jp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ku4cKgER1gRq/n1uTEvYs5ZBQ==">CgMxLjA4AHIhMTREVmJwaFFQcXZjUGFSbEY3MUhDd2Q5dUtYVkpGV2oy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2024-07-23T08:59:00Z</dcterms:created>
  <dc:creator>Hannah Walmsley</dc:creator>
</cp:coreProperties>
</file>