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36"/>
          <w:szCs w:val="36"/>
          <w:rtl w:val="0"/>
        </w:rPr>
        <w:t xml:space="preserve">ATAM Academy </w:t>
      </w:r>
      <w:r w:rsidDel="00000000" w:rsidR="00000000" w:rsidRPr="00000000">
        <w:rPr>
          <w:rFonts w:ascii="Arial" w:cs="Arial" w:eastAsia="Arial" w:hAnsi="Arial"/>
          <w:b w:val="1"/>
          <w:sz w:val="36"/>
          <w:szCs w:val="36"/>
          <w:rtl w:val="0"/>
        </w:rPr>
        <w:t xml:space="preserve">Access Policy/The Baker Clause</w:t>
        <w:tab/>
      </w:r>
      <w:r w:rsidDel="00000000" w:rsidR="00000000" w:rsidRPr="00000000">
        <w:rPr>
          <w:rFonts w:ascii="Arial" w:cs="Arial" w:eastAsia="Arial" w:hAnsi="Arial"/>
          <w:b w:val="1"/>
          <w:sz w:val="40"/>
          <w:szCs w:val="40"/>
          <w:rtl w:val="0"/>
        </w:rPr>
        <w:tab/>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Introduction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Pupil entitlement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pupils in years 8-13 are entitled: </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 find out about technical education qualifications and apprenticeships opportunities, as part of a careers programme which provides information on the full range of education and training options available at each transition point; </w:t>
      </w:r>
    </w:p>
    <w:p w:rsidR="00000000" w:rsidDel="00000000" w:rsidP="00000000" w:rsidRDefault="00000000" w:rsidRPr="00000000" w14:paraId="0000000C">
      <w:pPr>
        <w:numPr>
          <w:ilvl w:val="0"/>
          <w:numId w:val="1"/>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 hear from a range of local providers about the opportunities they offer, including technical education and apprenticeships – through options events, assemblies and group discussions and taster events; </w:t>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 understand how to make applications for the full range of academic and technical courses. </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Management of provider access requests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Procedure</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76"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 provider wishing to request access should contact:</w:t>
      </w:r>
    </w:p>
    <w:p w:rsidR="00000000" w:rsidDel="00000000" w:rsidP="00000000" w:rsidRDefault="00000000" w:rsidRPr="00000000" w14:paraId="00000015">
      <w:pPr>
        <w:spacing w:after="0" w:line="276"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Ms. Annette Pearsons (Careers Leader) </w:t>
      </w:r>
    </w:p>
    <w:p w:rsidR="00000000" w:rsidDel="00000000" w:rsidP="00000000" w:rsidRDefault="00000000" w:rsidRPr="00000000" w14:paraId="00000016">
      <w:pPr>
        <w:spacing w:after="0" w:line="276"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Telephone: 020 8252 9831</w:t>
      </w:r>
    </w:p>
    <w:p w:rsidR="00000000" w:rsidDel="00000000" w:rsidP="00000000" w:rsidRDefault="00000000" w:rsidRPr="00000000" w14:paraId="00000017">
      <w:pPr>
        <w:spacing w:after="0" w:line="276"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r w:rsidDel="00000000" w:rsidR="00000000" w:rsidRPr="00000000">
        <w:rPr>
          <w:rFonts w:ascii="Arial" w:cs="Arial" w:eastAsia="Arial" w:hAnsi="Arial"/>
          <w:sz w:val="24"/>
          <w:szCs w:val="24"/>
          <w:rtl w:val="0"/>
        </w:rPr>
        <w:t xml:space="preserve">a.pearson@atamacademy.com</w:t>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Opportunities for access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shd w:fill="f5f5f5" w:val="clear"/>
        </w:rPr>
      </w:pPr>
      <w:r w:rsidDel="00000000" w:rsidR="00000000" w:rsidRPr="00000000">
        <w:rPr>
          <w:rFonts w:ascii="Arial" w:cs="Arial" w:eastAsia="Arial" w:hAnsi="Arial"/>
          <w:sz w:val="24"/>
          <w:szCs w:val="24"/>
          <w:rtl w:val="0"/>
        </w:rPr>
        <w:t xml:space="preserve">All students have the option to access independent advice and guidance through a </w:t>
      </w:r>
      <w:r w:rsidDel="00000000" w:rsidR="00000000" w:rsidRPr="00000000">
        <w:rPr>
          <w:rFonts w:ascii="Arial" w:cs="Arial" w:eastAsia="Arial" w:hAnsi="Arial"/>
          <w:color w:val="0000ff"/>
          <w:sz w:val="24"/>
          <w:szCs w:val="24"/>
          <w:rtl w:val="0"/>
        </w:rPr>
        <w:t xml:space="preserve">self-request system</w:t>
      </w:r>
      <w:r w:rsidDel="00000000" w:rsidR="00000000" w:rsidRPr="00000000">
        <w:rPr>
          <w:rFonts w:ascii="Arial" w:cs="Arial" w:eastAsia="Arial" w:hAnsi="Arial"/>
          <w:sz w:val="24"/>
          <w:szCs w:val="24"/>
          <w:rtl w:val="0"/>
        </w:rPr>
        <w:t xml:space="preserve">. An interaction with a career's advisor is compulsory for Year 9 &amp; 11 students. </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offers a comprehensive Careers Education, Information, Advice and Guidance programme and an overview of this programme can be seen in the School’s Careers Section on the school website. </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Unifrog and the Gatsby Benchmarks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“Every Year 7 </w:t>
      </w:r>
      <w:r w:rsidDel="00000000" w:rsidR="00000000" w:rsidRPr="00000000">
        <w:rPr>
          <w:rFonts w:ascii="Arial" w:cs="Arial" w:eastAsia="Arial" w:hAnsi="Arial"/>
          <w:sz w:val="24"/>
          <w:szCs w:val="24"/>
          <w:rtl w:val="0"/>
        </w:rPr>
        <w:t xml:space="preserve">to Year 11 student and moving forward all sixth form students have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 Unifrog account and are engaging with the programme. This empowers the students to be more informed and it enables us to achieve the Gatsby Benchmarks and ensure that students have a stable careers programme right from Year 7 until the end of their journey with us in Year 13.”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The benefit of the Resources Library</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Teachers at </w:t>
      </w:r>
      <w:r w:rsidDel="00000000" w:rsidR="00000000" w:rsidRPr="00000000">
        <w:rPr>
          <w:rFonts w:ascii="Arial" w:cs="Arial" w:eastAsia="Arial" w:hAnsi="Arial"/>
          <w:color w:val="0000ff"/>
          <w:sz w:val="24"/>
          <w:szCs w:val="24"/>
          <w:rtl w:val="0"/>
        </w:rPr>
        <w:t xml:space="preserve">ATAM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are engaging with Unifrog on an ongoing basis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They can pick up a PowerPoint, which the careers team will direct them towards, and they’re easy to use and have the ability to deliver that session with students right from Year 7 up to Year 13.”</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Premises and facilities</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team. </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Providers are welcome to leave a copy of their prospectus or other relevant course literature with the Careers Advisor so that they can be displayed in the Careers office.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headerReference r:id="rId7" w:type="default"/>
      <w:pgSz w:h="16838" w:w="11906" w:orient="portrait"/>
      <w:pgMar w:bottom="100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wp:posOffset>
          </wp:positionH>
          <wp:positionV relativeFrom="paragraph">
            <wp:posOffset>-257174</wp:posOffset>
          </wp:positionV>
          <wp:extent cx="510721" cy="5362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721" cy="5362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C3FFF"/>
    <w:rPr>
      <w:color w:val="0563c1" w:themeColor="hyperlink"/>
      <w:u w:val="single"/>
    </w:rPr>
  </w:style>
  <w:style w:type="character" w:styleId="UnresolvedMention">
    <w:name w:val="Unresolved Mention"/>
    <w:basedOn w:val="DefaultParagraphFont"/>
    <w:uiPriority w:val="99"/>
    <w:semiHidden w:val="1"/>
    <w:unhideWhenUsed w:val="1"/>
    <w:rsid w:val="009C3FFF"/>
    <w:rPr>
      <w:color w:val="605e5c"/>
      <w:shd w:color="auto" w:fill="e1dfdd" w:val="clear"/>
    </w:rPr>
  </w:style>
  <w:style w:type="paragraph" w:styleId="NormalWeb">
    <w:name w:val="Normal (Web)"/>
    <w:basedOn w:val="Normal"/>
    <w:uiPriority w:val="99"/>
    <w:unhideWhenUsed w:val="1"/>
    <w:rsid w:val="00F52E03"/>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F52E0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M144B7vSMy6GVAx9FqaaWs3Aw==">CgMxLjAyCGguZ2pkZ3hzOAByITFNMGVjTnBQMDJydUVEOTRLNXdJUFVVb1BVSDRCaWgybA==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2022-03-07T12:46:00Z</dcterms:created>
  <dc:creator>Yim Wan Stezycki</dc:creator>
</cp:coreProperties>
</file>