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A912" w14:textId="77777777" w:rsidR="000E1A52" w:rsidRPr="0099764F" w:rsidRDefault="000E1A52" w:rsidP="000E1A52">
      <w:pPr>
        <w:rPr>
          <w:rFonts w:ascii="Arial" w:hAnsi="Arial" w:cs="Arial"/>
        </w:rPr>
      </w:pPr>
    </w:p>
    <w:p w14:paraId="6E99F25A" w14:textId="77777777" w:rsidR="000E1A52" w:rsidRPr="0099764F" w:rsidRDefault="000E1A52" w:rsidP="000E1A52">
      <w:pPr>
        <w:rPr>
          <w:rFonts w:ascii="Arial" w:hAnsi="Arial" w:cs="Arial"/>
        </w:rPr>
      </w:pPr>
    </w:p>
    <w:p w14:paraId="22F3463B" w14:textId="77777777" w:rsidR="000E1A52" w:rsidRPr="0099764F" w:rsidRDefault="000E1A52" w:rsidP="000E1A52">
      <w:pPr>
        <w:rPr>
          <w:rFonts w:ascii="Arial" w:hAnsi="Arial" w:cs="Arial"/>
        </w:rPr>
      </w:pPr>
    </w:p>
    <w:p w14:paraId="69DA0FAF" w14:textId="77777777" w:rsidR="000E1A52" w:rsidRPr="0099764F" w:rsidRDefault="000E1A52" w:rsidP="000E1A52">
      <w:pPr>
        <w:rPr>
          <w:rFonts w:ascii="Arial" w:hAnsi="Arial" w:cs="Arial"/>
        </w:rPr>
      </w:pPr>
    </w:p>
    <w:p w14:paraId="6D98AD00" w14:textId="77777777" w:rsidR="000E1A52" w:rsidRDefault="000E1A52" w:rsidP="006821B2">
      <w:pPr>
        <w:rPr>
          <w:rFonts w:ascii="Arial" w:hAnsi="Arial" w:cs="Arial"/>
        </w:rPr>
      </w:pPr>
    </w:p>
    <w:p w14:paraId="1531BF94" w14:textId="77777777" w:rsidR="006821B2" w:rsidRDefault="006821B2" w:rsidP="006821B2">
      <w:pPr>
        <w:rPr>
          <w:rFonts w:ascii="Arial" w:hAnsi="Arial" w:cs="Arial"/>
        </w:rPr>
      </w:pPr>
    </w:p>
    <w:p w14:paraId="308F5DDE" w14:textId="77777777" w:rsidR="006821B2" w:rsidRDefault="006821B2" w:rsidP="006821B2">
      <w:pPr>
        <w:rPr>
          <w:rFonts w:ascii="Arial" w:hAnsi="Arial" w:cs="Arial"/>
        </w:rPr>
      </w:pPr>
    </w:p>
    <w:p w14:paraId="0710E3F8" w14:textId="77777777" w:rsidR="006821B2" w:rsidRDefault="006821B2" w:rsidP="006821B2">
      <w:pPr>
        <w:rPr>
          <w:rFonts w:ascii="Arial" w:hAnsi="Arial" w:cs="Arial"/>
        </w:rPr>
      </w:pPr>
      <w:r>
        <w:rPr>
          <w:noProof/>
        </w:rPr>
        <w:drawing>
          <wp:anchor distT="0" distB="0" distL="114300" distR="114300" simplePos="0" relativeHeight="251657216" behindDoc="1" locked="0" layoutInCell="1" allowOverlap="1" wp14:anchorId="1178FB87" wp14:editId="695620F7">
            <wp:simplePos x="0" y="0"/>
            <wp:positionH relativeFrom="column">
              <wp:posOffset>1601898</wp:posOffset>
            </wp:positionH>
            <wp:positionV relativeFrom="paragraph">
              <wp:posOffset>98809</wp:posOffset>
            </wp:positionV>
            <wp:extent cx="2702682" cy="988828"/>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2702682" cy="988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065E29" w14:textId="77777777" w:rsidR="006821B2" w:rsidRDefault="006821B2" w:rsidP="006821B2">
      <w:pPr>
        <w:rPr>
          <w:rFonts w:ascii="Arial" w:hAnsi="Arial" w:cs="Arial"/>
        </w:rPr>
      </w:pPr>
    </w:p>
    <w:p w14:paraId="45572628" w14:textId="77777777" w:rsidR="006821B2" w:rsidRDefault="006821B2" w:rsidP="006821B2">
      <w:pPr>
        <w:rPr>
          <w:rFonts w:ascii="Arial" w:hAnsi="Arial" w:cs="Arial"/>
        </w:rPr>
      </w:pPr>
    </w:p>
    <w:p w14:paraId="3B5FAF83" w14:textId="77777777" w:rsidR="006821B2" w:rsidRDefault="006821B2" w:rsidP="006821B2">
      <w:pPr>
        <w:rPr>
          <w:rFonts w:ascii="Arial" w:hAnsi="Arial" w:cs="Arial"/>
        </w:rPr>
      </w:pPr>
    </w:p>
    <w:p w14:paraId="60DD0C67" w14:textId="77777777" w:rsidR="006821B2" w:rsidRDefault="006821B2" w:rsidP="006821B2">
      <w:pPr>
        <w:rPr>
          <w:rFonts w:ascii="Arial" w:hAnsi="Arial" w:cs="Arial"/>
        </w:rPr>
      </w:pPr>
    </w:p>
    <w:p w14:paraId="1B31C721" w14:textId="77777777" w:rsidR="006821B2" w:rsidRDefault="006821B2" w:rsidP="006821B2">
      <w:pPr>
        <w:rPr>
          <w:rFonts w:ascii="Arial" w:hAnsi="Arial" w:cs="Arial"/>
        </w:rPr>
      </w:pPr>
    </w:p>
    <w:p w14:paraId="5FB0EC31" w14:textId="77777777" w:rsidR="000E1A52" w:rsidRDefault="000E1A52" w:rsidP="000E1A52">
      <w:pPr>
        <w:rPr>
          <w:rFonts w:ascii="Arial" w:hAnsi="Arial" w:cs="Arial"/>
        </w:rPr>
      </w:pPr>
    </w:p>
    <w:p w14:paraId="2161FE47" w14:textId="77777777" w:rsidR="000E1A52" w:rsidRPr="0099764F" w:rsidRDefault="000E1A52" w:rsidP="000E1A52">
      <w:pPr>
        <w:rPr>
          <w:rFonts w:ascii="Arial" w:hAnsi="Arial" w:cs="Arial"/>
        </w:rPr>
      </w:pPr>
    </w:p>
    <w:p w14:paraId="4764A18A" w14:textId="77777777" w:rsidR="000E1A52" w:rsidRPr="0099764F" w:rsidRDefault="000E1A52" w:rsidP="000E1A52">
      <w:pPr>
        <w:rPr>
          <w:rFonts w:ascii="Arial" w:hAnsi="Arial" w:cs="Arial"/>
        </w:rPr>
      </w:pPr>
    </w:p>
    <w:p w14:paraId="7A960A5D" w14:textId="77777777" w:rsidR="000E1A52" w:rsidRPr="0099764F" w:rsidRDefault="000E1A52" w:rsidP="000E1A52">
      <w:pPr>
        <w:rPr>
          <w:rFonts w:ascii="Arial" w:hAnsi="Arial" w:cs="Arial"/>
        </w:rPr>
      </w:pPr>
    </w:p>
    <w:p w14:paraId="69188CD1" w14:textId="77777777" w:rsidR="000E1A52" w:rsidRPr="0099764F" w:rsidRDefault="000E1A52" w:rsidP="000E1A52">
      <w:pPr>
        <w:rPr>
          <w:rFonts w:ascii="Arial" w:hAnsi="Arial" w:cs="Arial"/>
        </w:rPr>
      </w:pPr>
    </w:p>
    <w:p w14:paraId="6DDF11A7" w14:textId="77777777" w:rsidR="000E1A52" w:rsidRDefault="000E1A52" w:rsidP="000E1A52">
      <w:pPr>
        <w:rPr>
          <w:rFonts w:ascii="Arial" w:hAnsi="Arial" w:cs="Arial"/>
          <w:sz w:val="20"/>
        </w:rPr>
      </w:pPr>
    </w:p>
    <w:p w14:paraId="21B52ACE" w14:textId="77777777" w:rsidR="006F22EA" w:rsidRPr="0099764F" w:rsidRDefault="006F22EA" w:rsidP="000E1A52">
      <w:pPr>
        <w:rPr>
          <w:rFonts w:ascii="Arial" w:hAnsi="Arial" w:cs="Arial"/>
          <w:sz w:val="20"/>
        </w:rPr>
      </w:pPr>
    </w:p>
    <w:p w14:paraId="3E37F37B" w14:textId="77777777" w:rsidR="000E1A52" w:rsidRPr="0099764F" w:rsidRDefault="000E1A52" w:rsidP="000E1A52">
      <w:pPr>
        <w:rPr>
          <w:rFonts w:ascii="Arial" w:hAnsi="Arial" w:cs="Arial"/>
        </w:rPr>
      </w:pPr>
    </w:p>
    <w:p w14:paraId="03849CF0" w14:textId="77777777" w:rsidR="000E1A52" w:rsidRDefault="000E1A52" w:rsidP="000E1A52">
      <w:pPr>
        <w:jc w:val="center"/>
        <w:rPr>
          <w:rFonts w:ascii="Arial" w:hAnsi="Arial" w:cs="Arial"/>
          <w:b/>
          <w:sz w:val="56"/>
          <w:szCs w:val="56"/>
        </w:rPr>
      </w:pPr>
      <w:r w:rsidRPr="00762F71">
        <w:rPr>
          <w:rFonts w:ascii="Arial" w:hAnsi="Arial" w:cs="Arial"/>
          <w:b/>
          <w:sz w:val="56"/>
          <w:szCs w:val="56"/>
        </w:rPr>
        <w:t>Related Party</w:t>
      </w:r>
      <w:r w:rsidR="00762F71">
        <w:rPr>
          <w:rFonts w:ascii="Arial" w:hAnsi="Arial" w:cs="Arial"/>
          <w:b/>
          <w:sz w:val="56"/>
          <w:szCs w:val="56"/>
        </w:rPr>
        <w:t xml:space="preserve"> </w:t>
      </w:r>
      <w:r w:rsidRPr="00762F71">
        <w:rPr>
          <w:rFonts w:ascii="Arial" w:hAnsi="Arial" w:cs="Arial"/>
          <w:b/>
          <w:sz w:val="56"/>
          <w:szCs w:val="56"/>
        </w:rPr>
        <w:t>Transactions Policy</w:t>
      </w:r>
    </w:p>
    <w:p w14:paraId="11856235" w14:textId="77777777" w:rsidR="00762F71" w:rsidRPr="00C7741B" w:rsidRDefault="00762F71" w:rsidP="00762F71">
      <w:pPr>
        <w:pStyle w:val="Title"/>
        <w:jc w:val="both"/>
        <w:rPr>
          <w:rFonts w:ascii="Arial" w:hAnsi="Arial" w:cs="Arial"/>
          <w:sz w:val="22"/>
          <w:szCs w:val="22"/>
          <w:u w:val="none"/>
        </w:rPr>
      </w:pPr>
    </w:p>
    <w:p w14:paraId="45153583" w14:textId="77777777" w:rsidR="00762F71" w:rsidRPr="00C7741B" w:rsidRDefault="00762F71" w:rsidP="00762F71">
      <w:pPr>
        <w:pStyle w:val="Title"/>
        <w:jc w:val="both"/>
        <w:rPr>
          <w:rFonts w:ascii="Arial" w:hAnsi="Arial" w:cs="Arial"/>
          <w:sz w:val="22"/>
          <w:szCs w:val="22"/>
          <w:u w:val="none"/>
        </w:rPr>
      </w:pPr>
    </w:p>
    <w:p w14:paraId="59B2CD83" w14:textId="77777777" w:rsidR="00762F71" w:rsidRDefault="00762F71" w:rsidP="00762F71">
      <w:pPr>
        <w:pStyle w:val="Title"/>
        <w:jc w:val="both"/>
        <w:rPr>
          <w:rFonts w:ascii="Arial" w:hAnsi="Arial" w:cs="Arial"/>
          <w:sz w:val="22"/>
          <w:szCs w:val="22"/>
          <w:u w:val="none"/>
        </w:rPr>
      </w:pPr>
    </w:p>
    <w:p w14:paraId="3B82FC26" w14:textId="77777777" w:rsidR="00762F71" w:rsidRDefault="00762F71" w:rsidP="00762F71">
      <w:pPr>
        <w:pStyle w:val="Title"/>
        <w:jc w:val="both"/>
        <w:rPr>
          <w:rFonts w:ascii="Arial" w:hAnsi="Arial" w:cs="Arial"/>
          <w:sz w:val="22"/>
          <w:szCs w:val="22"/>
          <w:u w:val="none"/>
        </w:rPr>
      </w:pPr>
    </w:p>
    <w:p w14:paraId="2B100450" w14:textId="77777777" w:rsidR="00762F71" w:rsidRDefault="00762F71" w:rsidP="00762F71">
      <w:pPr>
        <w:pStyle w:val="Title"/>
        <w:jc w:val="both"/>
        <w:rPr>
          <w:rFonts w:ascii="Arial" w:hAnsi="Arial" w:cs="Arial"/>
          <w:sz w:val="22"/>
          <w:szCs w:val="22"/>
          <w:u w:val="none"/>
        </w:rPr>
      </w:pPr>
      <w:r>
        <w:rPr>
          <w:noProof/>
          <w:lang w:eastAsia="en-GB"/>
        </w:rPr>
        <mc:AlternateContent>
          <mc:Choice Requires="wps">
            <w:drawing>
              <wp:anchor distT="0" distB="0" distL="114300" distR="114300" simplePos="0" relativeHeight="251661312" behindDoc="0" locked="0" layoutInCell="1" allowOverlap="1" wp14:anchorId="283B830B" wp14:editId="0E1EF246">
                <wp:simplePos x="0" y="0"/>
                <wp:positionH relativeFrom="column">
                  <wp:posOffset>3374390</wp:posOffset>
                </wp:positionH>
                <wp:positionV relativeFrom="paragraph">
                  <wp:posOffset>3881120</wp:posOffset>
                </wp:positionV>
                <wp:extent cx="2886075" cy="1828800"/>
                <wp:effectExtent l="0" t="0" r="28575" b="24130"/>
                <wp:wrapSquare wrapText="bothSides"/>
                <wp:docPr id="1" name="Text Box 1"/>
                <wp:cNvGraphicFramePr/>
                <a:graphic xmlns:a="http://schemas.openxmlformats.org/drawingml/2006/main">
                  <a:graphicData uri="http://schemas.microsoft.com/office/word/2010/wordprocessingShape">
                    <wps:wsp>
                      <wps:cNvSpPr txBox="1"/>
                      <wps:spPr>
                        <a:xfrm>
                          <a:off x="0" y="0"/>
                          <a:ext cx="2886075" cy="1828800"/>
                        </a:xfrm>
                        <a:prstGeom prst="rect">
                          <a:avLst/>
                        </a:prstGeom>
                        <a:noFill/>
                        <a:ln w="6350">
                          <a:solidFill>
                            <a:prstClr val="black"/>
                          </a:solidFill>
                        </a:ln>
                        <a:effectLst/>
                      </wps:spPr>
                      <wps:txbx>
                        <w:txbxContent>
                          <w:p w14:paraId="31E382E3" w14:textId="1212166D" w:rsidR="00762F71" w:rsidRPr="00CD37ED" w:rsidRDefault="00762F71" w:rsidP="00762F71">
                            <w:pPr>
                              <w:rPr>
                                <w:rFonts w:ascii="Arial" w:hAnsi="Arial" w:cs="Arial"/>
                                <w:sz w:val="18"/>
                                <w:szCs w:val="18"/>
                              </w:rPr>
                            </w:pPr>
                            <w:r w:rsidRPr="00CD37ED">
                              <w:rPr>
                                <w:rFonts w:ascii="Arial" w:hAnsi="Arial" w:cs="Arial"/>
                                <w:sz w:val="18"/>
                                <w:szCs w:val="18"/>
                              </w:rPr>
                              <w:t xml:space="preserve">Adopted by Board: </w:t>
                            </w:r>
                            <w:r w:rsidR="00AA3E77">
                              <w:rPr>
                                <w:rFonts w:ascii="Arial" w:hAnsi="Arial" w:cs="Arial"/>
                                <w:sz w:val="18"/>
                                <w:szCs w:val="18"/>
                              </w:rPr>
                              <w:t>18</w:t>
                            </w:r>
                            <w:r w:rsidR="00E95D85">
                              <w:rPr>
                                <w:rFonts w:ascii="Arial" w:hAnsi="Arial" w:cs="Arial"/>
                                <w:sz w:val="18"/>
                                <w:szCs w:val="18"/>
                              </w:rPr>
                              <w:t xml:space="preserve"> March 202</w:t>
                            </w:r>
                            <w:r w:rsidR="00AA3E77">
                              <w:rPr>
                                <w:rFonts w:ascii="Arial" w:hAnsi="Arial" w:cs="Arial"/>
                                <w:sz w:val="18"/>
                                <w:szCs w:val="18"/>
                              </w:rPr>
                              <w:t>5</w:t>
                            </w:r>
                          </w:p>
                          <w:p w14:paraId="0020FE62" w14:textId="77777777" w:rsidR="00762F71" w:rsidRPr="00CD37ED" w:rsidRDefault="00762F71" w:rsidP="00762F71">
                            <w:pPr>
                              <w:rPr>
                                <w:rFonts w:ascii="Arial" w:hAnsi="Arial" w:cs="Arial"/>
                                <w:sz w:val="18"/>
                                <w:szCs w:val="18"/>
                              </w:rPr>
                            </w:pPr>
                            <w:r w:rsidRPr="00CD37ED">
                              <w:rPr>
                                <w:rFonts w:ascii="Arial" w:hAnsi="Arial" w:cs="Arial"/>
                                <w:sz w:val="18"/>
                                <w:szCs w:val="18"/>
                              </w:rPr>
                              <w:t xml:space="preserve">Review Period: </w:t>
                            </w:r>
                            <w:r>
                              <w:rPr>
                                <w:rFonts w:ascii="Arial" w:hAnsi="Arial" w:cs="Arial"/>
                                <w:sz w:val="18"/>
                                <w:szCs w:val="18"/>
                              </w:rPr>
                              <w:t>3yr</w:t>
                            </w:r>
                          </w:p>
                          <w:p w14:paraId="0CCBA6C2" w14:textId="3C096B8B" w:rsidR="00762F71" w:rsidRPr="00CD37ED" w:rsidRDefault="00762F71" w:rsidP="00762F71">
                            <w:pPr>
                              <w:rPr>
                                <w:rFonts w:ascii="Arial" w:hAnsi="Arial" w:cs="Arial"/>
                                <w:sz w:val="18"/>
                                <w:szCs w:val="18"/>
                              </w:rPr>
                            </w:pPr>
                            <w:r w:rsidRPr="00CD37ED">
                              <w:rPr>
                                <w:rFonts w:ascii="Arial" w:hAnsi="Arial" w:cs="Arial"/>
                                <w:sz w:val="18"/>
                                <w:szCs w:val="18"/>
                              </w:rPr>
                              <w:t xml:space="preserve">Review Date: </w:t>
                            </w:r>
                            <w:r w:rsidR="00CA34A1">
                              <w:rPr>
                                <w:rFonts w:ascii="Arial" w:hAnsi="Arial" w:cs="Arial"/>
                                <w:sz w:val="18"/>
                                <w:szCs w:val="18"/>
                              </w:rPr>
                              <w:t>March 20</w:t>
                            </w:r>
                            <w:r w:rsidR="006821B2">
                              <w:rPr>
                                <w:rFonts w:ascii="Arial" w:hAnsi="Arial" w:cs="Arial"/>
                                <w:sz w:val="18"/>
                                <w:szCs w:val="18"/>
                              </w:rPr>
                              <w:t>2</w:t>
                            </w:r>
                            <w:r w:rsidR="00AA3E77">
                              <w:rPr>
                                <w:rFonts w:ascii="Arial" w:hAnsi="Arial" w:cs="Arial"/>
                                <w:sz w:val="18"/>
                                <w:szCs w:val="18"/>
                              </w:rPr>
                              <w:t>8</w:t>
                            </w:r>
                          </w:p>
                          <w:p w14:paraId="7BC919F2" w14:textId="77777777" w:rsidR="00762F71" w:rsidRPr="00CD37ED" w:rsidRDefault="00762F71" w:rsidP="00762F71">
                            <w:pPr>
                              <w:rPr>
                                <w:rFonts w:ascii="Arial" w:hAnsi="Arial" w:cs="Arial"/>
                                <w:sz w:val="18"/>
                                <w:szCs w:val="18"/>
                              </w:rPr>
                            </w:pPr>
                            <w:r w:rsidRPr="00CD37ED">
                              <w:rPr>
                                <w:rFonts w:ascii="Arial" w:hAnsi="Arial" w:cs="Arial"/>
                                <w:sz w:val="18"/>
                                <w:szCs w:val="18"/>
                              </w:rPr>
                              <w:t xml:space="preserve">Person responsible for policy: </w:t>
                            </w:r>
                            <w:r>
                              <w:rPr>
                                <w:rFonts w:ascii="Arial" w:hAnsi="Arial" w:cs="Arial"/>
                                <w:sz w:val="18"/>
                                <w:szCs w:val="18"/>
                              </w:rPr>
                              <w:t>Chief Financial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3B830B" id="_x0000_t202" coordsize="21600,21600" o:spt="202" path="m,l,21600r21600,l21600,xe">
                <v:stroke joinstyle="miter"/>
                <v:path gradientshapeok="t" o:connecttype="rect"/>
              </v:shapetype>
              <v:shape id="Text Box 1" o:spid="_x0000_s1026" type="#_x0000_t202" style="position:absolute;left:0;text-align:left;margin-left:265.7pt;margin-top:305.6pt;width:227.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94MwIAAGM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" filled="f" strokeweight=".5pt">
                <v:textbox style="mso-fit-shape-to-text:t">
                  <w:txbxContent>
                    <w:p w14:paraId="31E382E3" w14:textId="1212166D" w:rsidR="00762F71" w:rsidRPr="00CD37ED" w:rsidRDefault="00762F71" w:rsidP="00762F71">
                      <w:pPr>
                        <w:rPr>
                          <w:rFonts w:ascii="Arial" w:hAnsi="Arial" w:cs="Arial"/>
                          <w:sz w:val="18"/>
                          <w:szCs w:val="18"/>
                        </w:rPr>
                      </w:pPr>
                      <w:r w:rsidRPr="00CD37ED">
                        <w:rPr>
                          <w:rFonts w:ascii="Arial" w:hAnsi="Arial" w:cs="Arial"/>
                          <w:sz w:val="18"/>
                          <w:szCs w:val="18"/>
                        </w:rPr>
                        <w:t xml:space="preserve">Adopted by Board: </w:t>
                      </w:r>
                      <w:r w:rsidR="00AA3E77">
                        <w:rPr>
                          <w:rFonts w:ascii="Arial" w:hAnsi="Arial" w:cs="Arial"/>
                          <w:sz w:val="18"/>
                          <w:szCs w:val="18"/>
                        </w:rPr>
                        <w:t>18</w:t>
                      </w:r>
                      <w:r w:rsidR="00E95D85">
                        <w:rPr>
                          <w:rFonts w:ascii="Arial" w:hAnsi="Arial" w:cs="Arial"/>
                          <w:sz w:val="18"/>
                          <w:szCs w:val="18"/>
                        </w:rPr>
                        <w:t xml:space="preserve"> March 202</w:t>
                      </w:r>
                      <w:r w:rsidR="00AA3E77">
                        <w:rPr>
                          <w:rFonts w:ascii="Arial" w:hAnsi="Arial" w:cs="Arial"/>
                          <w:sz w:val="18"/>
                          <w:szCs w:val="18"/>
                        </w:rPr>
                        <w:t>5</w:t>
                      </w:r>
                    </w:p>
                    <w:p w14:paraId="0020FE62" w14:textId="77777777" w:rsidR="00762F71" w:rsidRPr="00CD37ED" w:rsidRDefault="00762F71" w:rsidP="00762F71">
                      <w:pPr>
                        <w:rPr>
                          <w:rFonts w:ascii="Arial" w:hAnsi="Arial" w:cs="Arial"/>
                          <w:sz w:val="18"/>
                          <w:szCs w:val="18"/>
                        </w:rPr>
                      </w:pPr>
                      <w:r w:rsidRPr="00CD37ED">
                        <w:rPr>
                          <w:rFonts w:ascii="Arial" w:hAnsi="Arial" w:cs="Arial"/>
                          <w:sz w:val="18"/>
                          <w:szCs w:val="18"/>
                        </w:rPr>
                        <w:t xml:space="preserve">Review Period: </w:t>
                      </w:r>
                      <w:r>
                        <w:rPr>
                          <w:rFonts w:ascii="Arial" w:hAnsi="Arial" w:cs="Arial"/>
                          <w:sz w:val="18"/>
                          <w:szCs w:val="18"/>
                        </w:rPr>
                        <w:t>3yr</w:t>
                      </w:r>
                    </w:p>
                    <w:p w14:paraId="0CCBA6C2" w14:textId="3C096B8B" w:rsidR="00762F71" w:rsidRPr="00CD37ED" w:rsidRDefault="00762F71" w:rsidP="00762F71">
                      <w:pPr>
                        <w:rPr>
                          <w:rFonts w:ascii="Arial" w:hAnsi="Arial" w:cs="Arial"/>
                          <w:sz w:val="18"/>
                          <w:szCs w:val="18"/>
                        </w:rPr>
                      </w:pPr>
                      <w:r w:rsidRPr="00CD37ED">
                        <w:rPr>
                          <w:rFonts w:ascii="Arial" w:hAnsi="Arial" w:cs="Arial"/>
                          <w:sz w:val="18"/>
                          <w:szCs w:val="18"/>
                        </w:rPr>
                        <w:t xml:space="preserve">Review Date: </w:t>
                      </w:r>
                      <w:r w:rsidR="00CA34A1">
                        <w:rPr>
                          <w:rFonts w:ascii="Arial" w:hAnsi="Arial" w:cs="Arial"/>
                          <w:sz w:val="18"/>
                          <w:szCs w:val="18"/>
                        </w:rPr>
                        <w:t>March 20</w:t>
                      </w:r>
                      <w:r w:rsidR="006821B2">
                        <w:rPr>
                          <w:rFonts w:ascii="Arial" w:hAnsi="Arial" w:cs="Arial"/>
                          <w:sz w:val="18"/>
                          <w:szCs w:val="18"/>
                        </w:rPr>
                        <w:t>2</w:t>
                      </w:r>
                      <w:r w:rsidR="00AA3E77">
                        <w:rPr>
                          <w:rFonts w:ascii="Arial" w:hAnsi="Arial" w:cs="Arial"/>
                          <w:sz w:val="18"/>
                          <w:szCs w:val="18"/>
                        </w:rPr>
                        <w:t>8</w:t>
                      </w:r>
                    </w:p>
                    <w:p w14:paraId="7BC919F2" w14:textId="77777777" w:rsidR="00762F71" w:rsidRPr="00CD37ED" w:rsidRDefault="00762F71" w:rsidP="00762F71">
                      <w:pPr>
                        <w:rPr>
                          <w:rFonts w:ascii="Arial" w:hAnsi="Arial" w:cs="Arial"/>
                          <w:sz w:val="18"/>
                          <w:szCs w:val="18"/>
                        </w:rPr>
                      </w:pPr>
                      <w:r w:rsidRPr="00CD37ED">
                        <w:rPr>
                          <w:rFonts w:ascii="Arial" w:hAnsi="Arial" w:cs="Arial"/>
                          <w:sz w:val="18"/>
                          <w:szCs w:val="18"/>
                        </w:rPr>
                        <w:t xml:space="preserve">Person responsible for policy: </w:t>
                      </w:r>
                      <w:r>
                        <w:rPr>
                          <w:rFonts w:ascii="Arial" w:hAnsi="Arial" w:cs="Arial"/>
                          <w:sz w:val="18"/>
                          <w:szCs w:val="18"/>
                        </w:rPr>
                        <w:t>Chief Financial Officer</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4412086" wp14:editId="61899E40">
                <wp:simplePos x="0" y="0"/>
                <wp:positionH relativeFrom="column">
                  <wp:posOffset>50165</wp:posOffset>
                </wp:positionH>
                <wp:positionV relativeFrom="paragraph">
                  <wp:posOffset>213995</wp:posOffset>
                </wp:positionV>
                <wp:extent cx="59118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9118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95386"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" strokecolor="#0070c0"/>
            </w:pict>
          </mc:Fallback>
        </mc:AlternateContent>
      </w:r>
    </w:p>
    <w:p w14:paraId="208247FB" w14:textId="77777777" w:rsidR="00762F71" w:rsidRDefault="00762F71" w:rsidP="00762F71">
      <w:pPr>
        <w:pStyle w:val="Title"/>
        <w:jc w:val="both"/>
        <w:rPr>
          <w:rFonts w:ascii="Arial" w:hAnsi="Arial" w:cs="Arial"/>
          <w:sz w:val="22"/>
          <w:szCs w:val="22"/>
          <w:u w:val="none"/>
        </w:rPr>
        <w:sectPr w:rsidR="00762F71" w:rsidSect="00F47057">
          <w:footerReference w:type="default" r:id="rId9"/>
          <w:footerReference w:type="first" r:id="rId10"/>
          <w:pgSz w:w="11906" w:h="16838"/>
          <w:pgMar w:top="1361" w:right="1247" w:bottom="1247" w:left="1361" w:header="709" w:footer="709" w:gutter="0"/>
          <w:cols w:space="708"/>
          <w:titlePg/>
          <w:docGrid w:linePitch="360"/>
        </w:sectPr>
      </w:pPr>
    </w:p>
    <w:p w14:paraId="411036A2" w14:textId="77777777" w:rsidR="000E1A52" w:rsidRPr="008A4C17" w:rsidRDefault="002F707A" w:rsidP="002F707A">
      <w:pPr>
        <w:pStyle w:val="ListParagraph"/>
        <w:numPr>
          <w:ilvl w:val="0"/>
          <w:numId w:val="6"/>
        </w:numPr>
        <w:tabs>
          <w:tab w:val="left" w:pos="567"/>
        </w:tabs>
        <w:ind w:left="567" w:hanging="567"/>
        <w:rPr>
          <w:rFonts w:ascii="Arial" w:hAnsi="Arial" w:cs="Arial"/>
          <w:b/>
          <w:sz w:val="22"/>
          <w:szCs w:val="22"/>
        </w:rPr>
      </w:pPr>
      <w:r w:rsidRPr="008A4C17">
        <w:rPr>
          <w:rFonts w:ascii="Arial" w:hAnsi="Arial" w:cs="Arial"/>
          <w:b/>
          <w:sz w:val="22"/>
          <w:szCs w:val="22"/>
        </w:rPr>
        <w:lastRenderedPageBreak/>
        <w:t>Overview</w:t>
      </w:r>
    </w:p>
    <w:p w14:paraId="260CC583" w14:textId="77777777" w:rsidR="00615EE5" w:rsidRPr="00C304D3" w:rsidRDefault="00615EE5" w:rsidP="00615EE5">
      <w:pPr>
        <w:pStyle w:val="Default"/>
        <w:jc w:val="both"/>
        <w:rPr>
          <w:color w:val="auto"/>
          <w:sz w:val="22"/>
          <w:szCs w:val="22"/>
        </w:rPr>
      </w:pPr>
    </w:p>
    <w:p w14:paraId="5301F234" w14:textId="77777777" w:rsidR="00972B58" w:rsidRPr="00C304D3" w:rsidRDefault="00972B58" w:rsidP="00B57344">
      <w:pPr>
        <w:pStyle w:val="Default"/>
        <w:jc w:val="both"/>
        <w:rPr>
          <w:color w:val="auto"/>
          <w:sz w:val="22"/>
        </w:rPr>
      </w:pPr>
      <w:r w:rsidRPr="00C304D3">
        <w:rPr>
          <w:color w:val="auto"/>
          <w:sz w:val="22"/>
        </w:rPr>
        <w:t xml:space="preserve">BePART Educational Trust is committed to the highest standards of governance. An important part of this relates to the management of conflicts of interest and related party transactions. </w:t>
      </w:r>
    </w:p>
    <w:p w14:paraId="0CB596E6" w14:textId="77777777" w:rsidR="00972B58" w:rsidRPr="00C304D3" w:rsidRDefault="00972B58" w:rsidP="00B57344">
      <w:pPr>
        <w:pStyle w:val="Default"/>
        <w:jc w:val="both"/>
        <w:rPr>
          <w:color w:val="auto"/>
          <w:sz w:val="22"/>
        </w:rPr>
      </w:pPr>
    </w:p>
    <w:p w14:paraId="2D6ABF83" w14:textId="57D67B5A" w:rsidR="00B57344" w:rsidRPr="00C3349F" w:rsidRDefault="00B57344" w:rsidP="00B57344">
      <w:pPr>
        <w:pStyle w:val="Default"/>
        <w:jc w:val="both"/>
        <w:rPr>
          <w:color w:val="auto"/>
          <w:sz w:val="22"/>
          <w:szCs w:val="22"/>
        </w:rPr>
      </w:pPr>
      <w:r w:rsidRPr="00C3349F">
        <w:rPr>
          <w:color w:val="auto"/>
          <w:sz w:val="22"/>
          <w:szCs w:val="22"/>
        </w:rPr>
        <w:t>This policy sets out the process to be followed when the Trust is entering into relationships with a related party (also referred to as connected parties).</w:t>
      </w:r>
      <w:r w:rsidR="00F80804" w:rsidRPr="00C3349F">
        <w:rPr>
          <w:color w:val="auto"/>
          <w:sz w:val="22"/>
          <w:szCs w:val="22"/>
        </w:rPr>
        <w:t xml:space="preserve"> The requirements set out in this policy are in addition to the requirement to register pecu</w:t>
      </w:r>
      <w:r w:rsidR="00CF0221" w:rsidRPr="00C3349F">
        <w:rPr>
          <w:color w:val="auto"/>
          <w:sz w:val="22"/>
          <w:szCs w:val="22"/>
        </w:rPr>
        <w:t xml:space="preserve">niary interests which is detailed in the </w:t>
      </w:r>
      <w:r w:rsidR="00A64B37">
        <w:rPr>
          <w:color w:val="auto"/>
          <w:sz w:val="22"/>
          <w:szCs w:val="22"/>
        </w:rPr>
        <w:t>T</w:t>
      </w:r>
      <w:r w:rsidR="00CF0221" w:rsidRPr="00C3349F">
        <w:rPr>
          <w:color w:val="auto"/>
          <w:sz w:val="22"/>
          <w:szCs w:val="22"/>
        </w:rPr>
        <w:t xml:space="preserve">rust’s </w:t>
      </w:r>
      <w:r w:rsidR="00A27B1F">
        <w:rPr>
          <w:color w:val="auto"/>
          <w:sz w:val="22"/>
          <w:szCs w:val="22"/>
        </w:rPr>
        <w:t>F</w:t>
      </w:r>
      <w:r w:rsidR="00CF0221" w:rsidRPr="00C3349F">
        <w:rPr>
          <w:color w:val="auto"/>
          <w:sz w:val="22"/>
          <w:szCs w:val="22"/>
        </w:rPr>
        <w:t xml:space="preserve">inancial </w:t>
      </w:r>
      <w:r w:rsidR="00A27B1F">
        <w:rPr>
          <w:color w:val="auto"/>
          <w:sz w:val="22"/>
          <w:szCs w:val="22"/>
        </w:rPr>
        <w:t>R</w:t>
      </w:r>
      <w:r w:rsidR="00CF0221" w:rsidRPr="00C3349F">
        <w:rPr>
          <w:color w:val="auto"/>
          <w:sz w:val="22"/>
          <w:szCs w:val="22"/>
        </w:rPr>
        <w:t>egulations.</w:t>
      </w:r>
    </w:p>
    <w:p w14:paraId="7341C2C7" w14:textId="77777777" w:rsidR="00B57344" w:rsidRPr="00C3349F" w:rsidRDefault="00B57344" w:rsidP="00615EE5">
      <w:pPr>
        <w:pStyle w:val="Default"/>
        <w:jc w:val="both"/>
        <w:rPr>
          <w:color w:val="auto"/>
          <w:sz w:val="22"/>
          <w:szCs w:val="22"/>
        </w:rPr>
      </w:pPr>
    </w:p>
    <w:p w14:paraId="3CDA435B" w14:textId="629F5815" w:rsidR="00B57344" w:rsidRPr="00C3349F" w:rsidRDefault="00B57344" w:rsidP="00615EE5">
      <w:pPr>
        <w:pStyle w:val="Default"/>
        <w:jc w:val="both"/>
        <w:rPr>
          <w:color w:val="auto"/>
          <w:sz w:val="22"/>
          <w:szCs w:val="22"/>
        </w:rPr>
      </w:pPr>
      <w:r w:rsidRPr="00C3349F">
        <w:rPr>
          <w:color w:val="auto"/>
          <w:sz w:val="22"/>
          <w:szCs w:val="22"/>
        </w:rPr>
        <w:t>The Academ</w:t>
      </w:r>
      <w:r w:rsidR="00A27B1F">
        <w:rPr>
          <w:color w:val="auto"/>
          <w:sz w:val="22"/>
          <w:szCs w:val="22"/>
        </w:rPr>
        <w:t>y</w:t>
      </w:r>
      <w:r w:rsidRPr="00C3349F">
        <w:rPr>
          <w:color w:val="auto"/>
          <w:sz w:val="22"/>
          <w:szCs w:val="22"/>
        </w:rPr>
        <w:t xml:space="preserve"> </w:t>
      </w:r>
      <w:r w:rsidR="00A27B1F">
        <w:rPr>
          <w:color w:val="auto"/>
          <w:sz w:val="22"/>
          <w:szCs w:val="22"/>
        </w:rPr>
        <w:t xml:space="preserve">Trust </w:t>
      </w:r>
      <w:r w:rsidRPr="00C3349F">
        <w:rPr>
          <w:color w:val="auto"/>
          <w:sz w:val="22"/>
          <w:szCs w:val="22"/>
        </w:rPr>
        <w:t>Handbook</w:t>
      </w:r>
      <w:r w:rsidR="00BA1A1C">
        <w:rPr>
          <w:color w:val="auto"/>
          <w:sz w:val="22"/>
          <w:szCs w:val="22"/>
        </w:rPr>
        <w:t>,</w:t>
      </w:r>
      <w:r w:rsidRPr="00C3349F">
        <w:rPr>
          <w:color w:val="auto"/>
          <w:sz w:val="22"/>
          <w:szCs w:val="22"/>
        </w:rPr>
        <w:t xml:space="preserve"> issued by the Education </w:t>
      </w:r>
      <w:r w:rsidR="00BA1A1C">
        <w:rPr>
          <w:color w:val="auto"/>
          <w:sz w:val="22"/>
          <w:szCs w:val="22"/>
        </w:rPr>
        <w:t xml:space="preserve">and Skills </w:t>
      </w:r>
      <w:r w:rsidRPr="00C3349F">
        <w:rPr>
          <w:color w:val="auto"/>
          <w:sz w:val="22"/>
          <w:szCs w:val="22"/>
        </w:rPr>
        <w:t>Funding Agency (E</w:t>
      </w:r>
      <w:r w:rsidR="00BA1A1C">
        <w:rPr>
          <w:color w:val="auto"/>
          <w:sz w:val="22"/>
          <w:szCs w:val="22"/>
        </w:rPr>
        <w:t>S</w:t>
      </w:r>
      <w:r w:rsidRPr="00C3349F">
        <w:rPr>
          <w:color w:val="auto"/>
          <w:sz w:val="22"/>
          <w:szCs w:val="22"/>
        </w:rPr>
        <w:t>FA)</w:t>
      </w:r>
      <w:r w:rsidR="00BA1A1C">
        <w:rPr>
          <w:color w:val="auto"/>
          <w:sz w:val="22"/>
          <w:szCs w:val="22"/>
        </w:rPr>
        <w:t xml:space="preserve">, </w:t>
      </w:r>
      <w:r w:rsidR="00BA1A1C" w:rsidRPr="00C3349F">
        <w:rPr>
          <w:color w:val="auto"/>
          <w:sz w:val="22"/>
          <w:szCs w:val="22"/>
        </w:rPr>
        <w:t xml:space="preserve">is </w:t>
      </w:r>
      <w:r w:rsidRPr="00C3349F">
        <w:rPr>
          <w:color w:val="auto"/>
          <w:sz w:val="22"/>
          <w:szCs w:val="22"/>
        </w:rPr>
        <w:t>updated annually for the start of the academic year. The Handbook provides detailed guidance, much of which is mandatory, about related party relationships.</w:t>
      </w:r>
    </w:p>
    <w:p w14:paraId="1C56C5AA" w14:textId="77777777" w:rsidR="00615EE5" w:rsidRPr="00C3349F" w:rsidRDefault="00615EE5" w:rsidP="00615EE5">
      <w:pPr>
        <w:pStyle w:val="Default"/>
        <w:jc w:val="both"/>
        <w:rPr>
          <w:color w:val="auto"/>
          <w:sz w:val="22"/>
          <w:szCs w:val="22"/>
        </w:rPr>
      </w:pPr>
    </w:p>
    <w:p w14:paraId="47E9C8CC" w14:textId="77777777" w:rsidR="003F78FA" w:rsidRPr="00C3349F" w:rsidRDefault="003F78FA" w:rsidP="003F78FA">
      <w:pPr>
        <w:pStyle w:val="Default"/>
        <w:jc w:val="both"/>
        <w:rPr>
          <w:color w:val="auto"/>
          <w:sz w:val="22"/>
          <w:szCs w:val="22"/>
        </w:rPr>
      </w:pPr>
      <w:r w:rsidRPr="00C3349F">
        <w:rPr>
          <w:color w:val="auto"/>
          <w:sz w:val="22"/>
          <w:szCs w:val="22"/>
        </w:rPr>
        <w:t xml:space="preserve">The disclosure of related party transactions is standard accounting practice across the private and public sectors. Such disclosures provide accountability and transparency to the public and Parliament and demonstrate that potential conflicts of interest are being identified, managed and reported. </w:t>
      </w:r>
    </w:p>
    <w:p w14:paraId="6EC9233B" w14:textId="77777777" w:rsidR="003F78FA" w:rsidRPr="00C3349F" w:rsidRDefault="003F78FA" w:rsidP="003F78FA">
      <w:pPr>
        <w:pStyle w:val="Default"/>
        <w:jc w:val="both"/>
        <w:rPr>
          <w:color w:val="auto"/>
          <w:sz w:val="22"/>
          <w:szCs w:val="22"/>
        </w:rPr>
      </w:pPr>
    </w:p>
    <w:p w14:paraId="35598891" w14:textId="77777777" w:rsidR="003F78FA" w:rsidRPr="00C3349F" w:rsidRDefault="003F78FA" w:rsidP="003F78FA">
      <w:pPr>
        <w:pStyle w:val="Default"/>
        <w:jc w:val="both"/>
        <w:rPr>
          <w:color w:val="auto"/>
          <w:sz w:val="22"/>
          <w:szCs w:val="22"/>
        </w:rPr>
      </w:pPr>
      <w:r w:rsidRPr="00C3349F">
        <w:rPr>
          <w:color w:val="auto"/>
          <w:sz w:val="22"/>
          <w:szCs w:val="22"/>
        </w:rPr>
        <w:t xml:space="preserve">Accounting standards require related party transactions to be disclosed in </w:t>
      </w:r>
      <w:r w:rsidR="00972B58">
        <w:rPr>
          <w:color w:val="auto"/>
          <w:sz w:val="22"/>
          <w:szCs w:val="22"/>
        </w:rPr>
        <w:t>the Annual Report and F</w:t>
      </w:r>
      <w:r w:rsidRPr="00C3349F">
        <w:rPr>
          <w:color w:val="auto"/>
          <w:sz w:val="22"/>
          <w:szCs w:val="22"/>
        </w:rPr>
        <w:t xml:space="preserve">inancial </w:t>
      </w:r>
      <w:r w:rsidR="00972B58">
        <w:rPr>
          <w:color w:val="auto"/>
          <w:sz w:val="22"/>
          <w:szCs w:val="22"/>
        </w:rPr>
        <w:t>S</w:t>
      </w:r>
      <w:r w:rsidRPr="00C3349F">
        <w:rPr>
          <w:color w:val="auto"/>
          <w:sz w:val="22"/>
          <w:szCs w:val="22"/>
        </w:rPr>
        <w:t>tatements so that users can gain a full understanding of the transactions which have taken place, and any factors that might have influenced them.</w:t>
      </w:r>
    </w:p>
    <w:p w14:paraId="46D8FF83" w14:textId="77777777" w:rsidR="003F78FA" w:rsidRPr="00C3349F" w:rsidRDefault="003F78FA" w:rsidP="00615EE5">
      <w:pPr>
        <w:pStyle w:val="Default"/>
        <w:jc w:val="both"/>
        <w:rPr>
          <w:color w:val="auto"/>
          <w:sz w:val="22"/>
          <w:szCs w:val="22"/>
        </w:rPr>
      </w:pPr>
    </w:p>
    <w:p w14:paraId="0DCF2075" w14:textId="77777777" w:rsidR="00615EE5" w:rsidRPr="008A4C17" w:rsidRDefault="00615EE5" w:rsidP="00615EE5">
      <w:pPr>
        <w:pStyle w:val="ListParagraph"/>
        <w:numPr>
          <w:ilvl w:val="0"/>
          <w:numId w:val="6"/>
        </w:numPr>
        <w:tabs>
          <w:tab w:val="left" w:pos="567"/>
        </w:tabs>
        <w:ind w:left="567" w:hanging="567"/>
        <w:rPr>
          <w:rFonts w:ascii="Arial" w:hAnsi="Arial" w:cs="Arial"/>
          <w:b/>
          <w:sz w:val="22"/>
          <w:szCs w:val="22"/>
        </w:rPr>
      </w:pPr>
      <w:r w:rsidRPr="008A4C17">
        <w:rPr>
          <w:rFonts w:ascii="Arial" w:hAnsi="Arial" w:cs="Arial"/>
          <w:b/>
          <w:sz w:val="22"/>
          <w:szCs w:val="22"/>
        </w:rPr>
        <w:t>What is a Related Party Transaction</w:t>
      </w:r>
    </w:p>
    <w:p w14:paraId="5E1CD024" w14:textId="77777777" w:rsidR="00615EE5" w:rsidRPr="008A4C17" w:rsidRDefault="00615EE5" w:rsidP="00615EE5">
      <w:pPr>
        <w:pStyle w:val="Default"/>
        <w:jc w:val="both"/>
        <w:rPr>
          <w:sz w:val="22"/>
          <w:szCs w:val="22"/>
        </w:rPr>
      </w:pPr>
    </w:p>
    <w:p w14:paraId="1269D24B" w14:textId="77777777" w:rsidR="00615EE5" w:rsidRPr="008A4C17" w:rsidRDefault="00615EE5" w:rsidP="00615EE5">
      <w:pPr>
        <w:pStyle w:val="Default"/>
        <w:jc w:val="both"/>
        <w:rPr>
          <w:sz w:val="22"/>
          <w:szCs w:val="22"/>
        </w:rPr>
      </w:pPr>
      <w:r w:rsidRPr="008A4C17">
        <w:rPr>
          <w:sz w:val="22"/>
          <w:szCs w:val="22"/>
        </w:rPr>
        <w:t xml:space="preserve">Related parties arise where one party has control or influence over the other, or where the parties are subject to common control. This includes parent companies and their subsidiaries, key management personnel including company directors, their close family members and other entities in which these parties have a controlling interest. Accounting standards require transactions between related parties to be disclosed in company financial statements as related party transactions. </w:t>
      </w:r>
    </w:p>
    <w:p w14:paraId="00B5393A" w14:textId="77777777" w:rsidR="00615EE5" w:rsidRPr="008A4C17" w:rsidRDefault="00615EE5" w:rsidP="00615EE5">
      <w:pPr>
        <w:pStyle w:val="Default"/>
        <w:jc w:val="both"/>
        <w:rPr>
          <w:sz w:val="22"/>
          <w:szCs w:val="22"/>
        </w:rPr>
      </w:pPr>
    </w:p>
    <w:p w14:paraId="43611F77" w14:textId="7CC4FEC6" w:rsidR="00615EE5" w:rsidRPr="008A4C17" w:rsidRDefault="00615EE5" w:rsidP="00615EE5">
      <w:pPr>
        <w:pStyle w:val="Default"/>
        <w:jc w:val="both"/>
        <w:rPr>
          <w:sz w:val="22"/>
          <w:szCs w:val="22"/>
        </w:rPr>
      </w:pPr>
      <w:r w:rsidRPr="008A4C17">
        <w:rPr>
          <w:sz w:val="22"/>
          <w:szCs w:val="22"/>
        </w:rPr>
        <w:t>Such transactions are permitted under company law, charity law and under the Academ</w:t>
      </w:r>
      <w:r w:rsidR="00A27B1F">
        <w:rPr>
          <w:sz w:val="22"/>
          <w:szCs w:val="22"/>
        </w:rPr>
        <w:t>y Trust</w:t>
      </w:r>
      <w:r w:rsidRPr="008A4C17">
        <w:rPr>
          <w:sz w:val="22"/>
          <w:szCs w:val="22"/>
        </w:rPr>
        <w:t xml:space="preserve"> Handbook, provided that open and transparent procuremen</w:t>
      </w:r>
      <w:r w:rsidR="00A64B37">
        <w:rPr>
          <w:sz w:val="22"/>
          <w:szCs w:val="22"/>
        </w:rPr>
        <w:t>t procedures have been followed</w:t>
      </w:r>
      <w:r w:rsidRPr="008A4C17">
        <w:rPr>
          <w:sz w:val="22"/>
          <w:szCs w:val="22"/>
        </w:rPr>
        <w:t xml:space="preserve"> and any potential conflicts of interest are adequately and appropriately managed.</w:t>
      </w:r>
      <w:r w:rsidR="00C65FAE">
        <w:rPr>
          <w:sz w:val="22"/>
          <w:szCs w:val="22"/>
        </w:rPr>
        <w:t xml:space="preserve"> </w:t>
      </w:r>
      <w:r w:rsidRPr="008A4C17">
        <w:rPr>
          <w:sz w:val="22"/>
          <w:szCs w:val="22"/>
        </w:rPr>
        <w:t xml:space="preserve">The most common types of related transactions </w:t>
      </w:r>
      <w:r w:rsidR="00CB4FF6" w:rsidRPr="008A4C17">
        <w:rPr>
          <w:sz w:val="22"/>
          <w:szCs w:val="22"/>
        </w:rPr>
        <w:t xml:space="preserve">are </w:t>
      </w:r>
      <w:r w:rsidRPr="008A4C17">
        <w:rPr>
          <w:sz w:val="22"/>
          <w:szCs w:val="22"/>
        </w:rPr>
        <w:t>the purchase, sale, lease or donation of goods</w:t>
      </w:r>
      <w:r w:rsidR="00A03C86" w:rsidRPr="008A4C17">
        <w:rPr>
          <w:sz w:val="22"/>
          <w:szCs w:val="22"/>
        </w:rPr>
        <w:t>, services, property, or money.</w:t>
      </w:r>
    </w:p>
    <w:p w14:paraId="0000F752" w14:textId="77777777" w:rsidR="00615EE5" w:rsidRPr="008A4C17" w:rsidRDefault="00615EE5" w:rsidP="00615EE5">
      <w:pPr>
        <w:pStyle w:val="Default"/>
        <w:jc w:val="both"/>
        <w:rPr>
          <w:sz w:val="22"/>
          <w:szCs w:val="22"/>
        </w:rPr>
      </w:pPr>
    </w:p>
    <w:p w14:paraId="401CB09F" w14:textId="77777777" w:rsidR="00B57344" w:rsidRPr="008A4C17" w:rsidRDefault="00B57344" w:rsidP="00B57344">
      <w:pPr>
        <w:pStyle w:val="ListParagraph"/>
        <w:numPr>
          <w:ilvl w:val="0"/>
          <w:numId w:val="6"/>
        </w:numPr>
        <w:tabs>
          <w:tab w:val="left" w:pos="567"/>
        </w:tabs>
        <w:ind w:left="567" w:hanging="567"/>
        <w:rPr>
          <w:rFonts w:ascii="Arial" w:hAnsi="Arial" w:cs="Arial"/>
          <w:b/>
          <w:sz w:val="22"/>
          <w:szCs w:val="22"/>
        </w:rPr>
      </w:pPr>
      <w:r w:rsidRPr="008A4C17">
        <w:rPr>
          <w:rFonts w:ascii="Arial" w:hAnsi="Arial" w:cs="Arial"/>
          <w:b/>
          <w:sz w:val="22"/>
          <w:szCs w:val="22"/>
        </w:rPr>
        <w:t xml:space="preserve">Principles Applying to </w:t>
      </w:r>
      <w:r w:rsidR="00C65FAE">
        <w:rPr>
          <w:rFonts w:ascii="Arial" w:hAnsi="Arial" w:cs="Arial"/>
          <w:b/>
          <w:sz w:val="22"/>
          <w:szCs w:val="22"/>
        </w:rPr>
        <w:t>Related</w:t>
      </w:r>
      <w:r w:rsidRPr="008A4C17">
        <w:rPr>
          <w:rFonts w:ascii="Arial" w:hAnsi="Arial" w:cs="Arial"/>
          <w:b/>
          <w:sz w:val="22"/>
          <w:szCs w:val="22"/>
        </w:rPr>
        <w:t xml:space="preserve"> Party Relationships</w:t>
      </w:r>
    </w:p>
    <w:p w14:paraId="27B0A792" w14:textId="77777777" w:rsidR="00B57344" w:rsidRPr="008A4C17" w:rsidRDefault="00B57344" w:rsidP="00615EE5">
      <w:pPr>
        <w:pStyle w:val="Default"/>
        <w:jc w:val="both"/>
        <w:rPr>
          <w:sz w:val="22"/>
          <w:szCs w:val="22"/>
        </w:rPr>
      </w:pPr>
    </w:p>
    <w:p w14:paraId="3F194B47" w14:textId="77777777" w:rsidR="00933EF1" w:rsidRPr="008A4C17" w:rsidRDefault="00933EF1" w:rsidP="00933EF1">
      <w:pPr>
        <w:pStyle w:val="Default"/>
        <w:jc w:val="both"/>
        <w:rPr>
          <w:sz w:val="22"/>
          <w:szCs w:val="22"/>
        </w:rPr>
      </w:pPr>
      <w:r w:rsidRPr="008A4C17">
        <w:rPr>
          <w:sz w:val="22"/>
          <w:szCs w:val="22"/>
        </w:rPr>
        <w:t xml:space="preserve">The </w:t>
      </w:r>
      <w:r w:rsidR="00537802">
        <w:rPr>
          <w:sz w:val="22"/>
          <w:szCs w:val="22"/>
        </w:rPr>
        <w:t>T</w:t>
      </w:r>
      <w:r w:rsidRPr="008A4C17">
        <w:rPr>
          <w:sz w:val="22"/>
          <w:szCs w:val="22"/>
        </w:rPr>
        <w:t>rust must be even-handed in their relationships with connected parties by ensuring that:</w:t>
      </w:r>
    </w:p>
    <w:p w14:paraId="4869C852" w14:textId="77777777" w:rsidR="00933EF1" w:rsidRPr="008A4C17" w:rsidRDefault="00933EF1" w:rsidP="00933EF1">
      <w:pPr>
        <w:pStyle w:val="Default"/>
        <w:jc w:val="both"/>
        <w:rPr>
          <w:sz w:val="22"/>
          <w:szCs w:val="22"/>
        </w:rPr>
      </w:pPr>
    </w:p>
    <w:p w14:paraId="1D36D05A" w14:textId="77777777"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trustees comply with their statutory duties as company directors to avoid conflicts of interest, not to accept benefits from third parties, and to declare interest in proposed transactions or arrangements</w:t>
      </w:r>
    </w:p>
    <w:p w14:paraId="5AE3C903" w14:textId="440F4DD6"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all members, trustees, local governors of academies within a </w:t>
      </w:r>
      <w:r w:rsidR="00C65FAE">
        <w:rPr>
          <w:rFonts w:ascii="Arial" w:hAnsi="Arial" w:cs="Arial"/>
          <w:bCs/>
          <w:sz w:val="22"/>
          <w:szCs w:val="22"/>
          <w:lang w:eastAsia="en-US"/>
        </w:rPr>
        <w:t>MAT</w:t>
      </w:r>
      <w:r w:rsidRPr="008A4C17">
        <w:rPr>
          <w:rFonts w:ascii="Arial" w:hAnsi="Arial" w:cs="Arial"/>
          <w:bCs/>
          <w:sz w:val="22"/>
          <w:szCs w:val="22"/>
          <w:lang w:eastAsia="en-US"/>
        </w:rPr>
        <w:t xml:space="preserve"> and senior employees have completed the register of interests</w:t>
      </w:r>
      <w:r w:rsidR="00C65FAE">
        <w:rPr>
          <w:rFonts w:ascii="Arial" w:hAnsi="Arial" w:cs="Arial"/>
          <w:bCs/>
          <w:sz w:val="22"/>
          <w:szCs w:val="22"/>
          <w:lang w:eastAsia="en-US"/>
        </w:rPr>
        <w:t>, in accordance with the Academ</w:t>
      </w:r>
      <w:r w:rsidR="00A27B1F">
        <w:rPr>
          <w:rFonts w:ascii="Arial" w:hAnsi="Arial" w:cs="Arial"/>
          <w:bCs/>
          <w:sz w:val="22"/>
          <w:szCs w:val="22"/>
          <w:lang w:eastAsia="en-US"/>
        </w:rPr>
        <w:t>y</w:t>
      </w:r>
      <w:r w:rsidR="00C65FAE">
        <w:rPr>
          <w:rFonts w:ascii="Arial" w:hAnsi="Arial" w:cs="Arial"/>
          <w:bCs/>
          <w:sz w:val="22"/>
          <w:szCs w:val="22"/>
          <w:lang w:eastAsia="en-US"/>
        </w:rPr>
        <w:t xml:space="preserve"> </w:t>
      </w:r>
      <w:r w:rsidR="00A27B1F">
        <w:rPr>
          <w:rFonts w:ascii="Arial" w:hAnsi="Arial" w:cs="Arial"/>
          <w:bCs/>
          <w:sz w:val="22"/>
          <w:szCs w:val="22"/>
          <w:lang w:eastAsia="en-US"/>
        </w:rPr>
        <w:t xml:space="preserve">Trust </w:t>
      </w:r>
      <w:r w:rsidR="00C65FAE">
        <w:rPr>
          <w:rFonts w:ascii="Arial" w:hAnsi="Arial" w:cs="Arial"/>
          <w:bCs/>
          <w:sz w:val="22"/>
          <w:szCs w:val="22"/>
          <w:lang w:eastAsia="en-US"/>
        </w:rPr>
        <w:t>Handbook</w:t>
      </w:r>
    </w:p>
    <w:p w14:paraId="6FA35A65" w14:textId="77777777"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no member, trustee, local governor, employee or related individual or organisation uses their connection to the </w:t>
      </w:r>
      <w:r w:rsidR="00537802">
        <w:rPr>
          <w:rFonts w:ascii="Arial" w:hAnsi="Arial" w:cs="Arial"/>
          <w:bCs/>
          <w:sz w:val="22"/>
          <w:szCs w:val="22"/>
          <w:lang w:eastAsia="en-US"/>
        </w:rPr>
        <w:t>T</w:t>
      </w:r>
      <w:r w:rsidRPr="008A4C17">
        <w:rPr>
          <w:rFonts w:ascii="Arial" w:hAnsi="Arial" w:cs="Arial"/>
          <w:bCs/>
          <w:sz w:val="22"/>
          <w:szCs w:val="22"/>
          <w:lang w:eastAsia="en-US"/>
        </w:rPr>
        <w:t xml:space="preserve">rust for personal gain, including payment under terms that are preferential to those that would be offered to an individual or organisation with no connection to the </w:t>
      </w:r>
      <w:r w:rsidR="00537802">
        <w:rPr>
          <w:rFonts w:ascii="Arial" w:hAnsi="Arial" w:cs="Arial"/>
          <w:bCs/>
          <w:sz w:val="22"/>
          <w:szCs w:val="22"/>
          <w:lang w:eastAsia="en-US"/>
        </w:rPr>
        <w:t>T</w:t>
      </w:r>
      <w:r w:rsidRPr="008A4C17">
        <w:rPr>
          <w:rFonts w:ascii="Arial" w:hAnsi="Arial" w:cs="Arial"/>
          <w:bCs/>
          <w:sz w:val="22"/>
          <w:szCs w:val="22"/>
          <w:lang w:eastAsia="en-US"/>
        </w:rPr>
        <w:t xml:space="preserve">rust </w:t>
      </w:r>
    </w:p>
    <w:p w14:paraId="68CFBA84" w14:textId="77777777"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there are no payments to any trustee by the </w:t>
      </w:r>
      <w:r w:rsidR="00537802">
        <w:rPr>
          <w:rFonts w:ascii="Arial" w:hAnsi="Arial" w:cs="Arial"/>
          <w:bCs/>
          <w:sz w:val="22"/>
          <w:szCs w:val="22"/>
          <w:lang w:eastAsia="en-US"/>
        </w:rPr>
        <w:t>T</w:t>
      </w:r>
      <w:r w:rsidRPr="008A4C17">
        <w:rPr>
          <w:rFonts w:ascii="Arial" w:hAnsi="Arial" w:cs="Arial"/>
          <w:bCs/>
          <w:sz w:val="22"/>
          <w:szCs w:val="22"/>
          <w:lang w:eastAsia="en-US"/>
        </w:rPr>
        <w:t xml:space="preserve">rust unless permitted by the </w:t>
      </w:r>
      <w:r w:rsidR="00C65FAE">
        <w:rPr>
          <w:rFonts w:ascii="Arial" w:hAnsi="Arial" w:cs="Arial"/>
          <w:bCs/>
          <w:sz w:val="22"/>
          <w:szCs w:val="22"/>
          <w:lang w:eastAsia="en-US"/>
        </w:rPr>
        <w:t>A</w:t>
      </w:r>
      <w:r w:rsidRPr="008A4C17">
        <w:rPr>
          <w:rFonts w:ascii="Arial" w:hAnsi="Arial" w:cs="Arial"/>
          <w:bCs/>
          <w:sz w:val="22"/>
          <w:szCs w:val="22"/>
          <w:lang w:eastAsia="en-US"/>
        </w:rPr>
        <w:t xml:space="preserve">rticles, or by authority from the Charity Commission and comply with any relevant agreement with the Secretary of State. Trusts will need to consider these obligations where payments are made to other business entities who employ the trustee, are owned by the trustee, or in which the trustee holds a controlling interest </w:t>
      </w:r>
    </w:p>
    <w:p w14:paraId="04335477" w14:textId="77777777"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lastRenderedPageBreak/>
        <w:t xml:space="preserve">the Charity Commission’s approval is obtained where the </w:t>
      </w:r>
      <w:r w:rsidR="00537802">
        <w:rPr>
          <w:rFonts w:ascii="Arial" w:hAnsi="Arial" w:cs="Arial"/>
          <w:bCs/>
          <w:sz w:val="22"/>
          <w:szCs w:val="22"/>
          <w:lang w:eastAsia="en-US"/>
        </w:rPr>
        <w:t>T</w:t>
      </w:r>
      <w:r w:rsidRPr="008A4C17">
        <w:rPr>
          <w:rFonts w:ascii="Arial" w:hAnsi="Arial" w:cs="Arial"/>
          <w:bCs/>
          <w:sz w:val="22"/>
          <w:szCs w:val="22"/>
          <w:lang w:eastAsia="en-US"/>
        </w:rPr>
        <w:t xml:space="preserve">rust believes a significant advantage exists in paying a trustee for acting as a trustee </w:t>
      </w:r>
    </w:p>
    <w:p w14:paraId="403C0C08" w14:textId="77777777" w:rsidR="00933EF1" w:rsidRPr="008A4C17" w:rsidRDefault="00933EF1" w:rsidP="00933EF1">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any payment provided to the persons referred to above satisfies the ‘at cost’ requirements as set out below</w:t>
      </w:r>
    </w:p>
    <w:p w14:paraId="5AA66E97" w14:textId="77777777" w:rsidR="00933EF1" w:rsidRPr="008A4C17" w:rsidRDefault="00933EF1" w:rsidP="00933EF1">
      <w:pPr>
        <w:pStyle w:val="Default"/>
        <w:jc w:val="both"/>
        <w:rPr>
          <w:sz w:val="22"/>
          <w:szCs w:val="22"/>
        </w:rPr>
      </w:pPr>
    </w:p>
    <w:p w14:paraId="3DED6EF9" w14:textId="77777777" w:rsidR="00933EF1" w:rsidRPr="008A4C17" w:rsidRDefault="00933EF1" w:rsidP="00933EF1">
      <w:pPr>
        <w:pStyle w:val="Default"/>
        <w:jc w:val="both"/>
        <w:rPr>
          <w:sz w:val="22"/>
          <w:szCs w:val="22"/>
        </w:rPr>
      </w:pPr>
      <w:r w:rsidRPr="008A4C17">
        <w:rPr>
          <w:sz w:val="22"/>
          <w:szCs w:val="22"/>
        </w:rPr>
        <w:t xml:space="preserve">The board of trustees must ensure requirements for managing </w:t>
      </w:r>
      <w:r w:rsidR="00C65FAE">
        <w:rPr>
          <w:sz w:val="22"/>
          <w:szCs w:val="22"/>
        </w:rPr>
        <w:t>related</w:t>
      </w:r>
      <w:r w:rsidRPr="008A4C17">
        <w:rPr>
          <w:sz w:val="22"/>
          <w:szCs w:val="22"/>
        </w:rPr>
        <w:t xml:space="preserve"> party transactions are applied across the </w:t>
      </w:r>
      <w:r w:rsidR="00537802">
        <w:rPr>
          <w:sz w:val="22"/>
          <w:szCs w:val="22"/>
        </w:rPr>
        <w:t>T</w:t>
      </w:r>
      <w:r w:rsidRPr="008A4C17">
        <w:rPr>
          <w:sz w:val="22"/>
          <w:szCs w:val="22"/>
        </w:rPr>
        <w:t xml:space="preserve">rust. The chair of the board and the accounting officer must ensure that their capacity to control and influence does not conflict with these requirements. They must manage personal relationships with </w:t>
      </w:r>
      <w:r w:rsidR="00C65FAE">
        <w:rPr>
          <w:sz w:val="22"/>
          <w:szCs w:val="22"/>
        </w:rPr>
        <w:t>related</w:t>
      </w:r>
      <w:r w:rsidRPr="008A4C17">
        <w:rPr>
          <w:sz w:val="22"/>
          <w:szCs w:val="22"/>
        </w:rPr>
        <w:t xml:space="preserve"> parties to avoid both real and perceived conflicts of interest, promoting integrity and openness in accordance with the seven principles of public life.</w:t>
      </w:r>
    </w:p>
    <w:p w14:paraId="58C7114F" w14:textId="77777777" w:rsidR="00933EF1" w:rsidRPr="008A4C17" w:rsidRDefault="00933EF1" w:rsidP="00933EF1">
      <w:pPr>
        <w:pStyle w:val="Default"/>
        <w:jc w:val="both"/>
        <w:rPr>
          <w:sz w:val="22"/>
          <w:szCs w:val="22"/>
        </w:rPr>
      </w:pPr>
    </w:p>
    <w:p w14:paraId="67EFEF25" w14:textId="77777777" w:rsidR="00933EF1" w:rsidRPr="008A4C17" w:rsidRDefault="008D5FFC" w:rsidP="00933EF1">
      <w:pPr>
        <w:pStyle w:val="Default"/>
        <w:jc w:val="both"/>
        <w:rPr>
          <w:sz w:val="22"/>
          <w:szCs w:val="22"/>
        </w:rPr>
      </w:pPr>
      <w:r w:rsidRPr="008A4C17">
        <w:rPr>
          <w:sz w:val="22"/>
          <w:szCs w:val="22"/>
        </w:rPr>
        <w:t xml:space="preserve">The </w:t>
      </w:r>
      <w:r w:rsidR="004F7C78">
        <w:rPr>
          <w:sz w:val="22"/>
          <w:szCs w:val="22"/>
        </w:rPr>
        <w:t>T</w:t>
      </w:r>
      <w:r w:rsidR="00933EF1" w:rsidRPr="008A4C17">
        <w:rPr>
          <w:sz w:val="22"/>
          <w:szCs w:val="22"/>
        </w:rPr>
        <w:t xml:space="preserve">rust must recognise that some relationships with </w:t>
      </w:r>
      <w:r w:rsidR="00C65FAE">
        <w:rPr>
          <w:sz w:val="22"/>
          <w:szCs w:val="22"/>
        </w:rPr>
        <w:t>related</w:t>
      </w:r>
      <w:r w:rsidR="00933EF1" w:rsidRPr="008A4C17">
        <w:rPr>
          <w:sz w:val="22"/>
          <w:szCs w:val="22"/>
        </w:rPr>
        <w:t xml:space="preserve"> parties may attract gr</w:t>
      </w:r>
      <w:r w:rsidR="006F6C02" w:rsidRPr="008A4C17">
        <w:rPr>
          <w:sz w:val="22"/>
          <w:szCs w:val="22"/>
        </w:rPr>
        <w:t>eater public scrutiny, such as:</w:t>
      </w:r>
    </w:p>
    <w:p w14:paraId="7AB64A69" w14:textId="77777777" w:rsidR="006F6C02" w:rsidRPr="008A4C17" w:rsidRDefault="006F6C02" w:rsidP="00933EF1">
      <w:pPr>
        <w:pStyle w:val="Default"/>
        <w:jc w:val="both"/>
        <w:rPr>
          <w:sz w:val="22"/>
          <w:szCs w:val="22"/>
        </w:rPr>
      </w:pPr>
    </w:p>
    <w:p w14:paraId="3E519488" w14:textId="77777777" w:rsidR="00933EF1" w:rsidRPr="008A4C17" w:rsidRDefault="00933EF1" w:rsidP="00C209A9">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transactions with individuals in a position of control and influence, including the chair of the board of </w:t>
      </w:r>
      <w:r w:rsidR="00C209A9" w:rsidRPr="008A4C17">
        <w:rPr>
          <w:rFonts w:ascii="Arial" w:hAnsi="Arial" w:cs="Arial"/>
          <w:bCs/>
          <w:sz w:val="22"/>
          <w:szCs w:val="22"/>
          <w:lang w:eastAsia="en-US"/>
        </w:rPr>
        <w:t>trustees and accounting officer</w:t>
      </w:r>
    </w:p>
    <w:p w14:paraId="5ABBFEF2" w14:textId="77777777" w:rsidR="00933EF1" w:rsidRPr="008A4C17" w:rsidRDefault="00933EF1" w:rsidP="00C209A9">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payments to organisations w</w:t>
      </w:r>
      <w:r w:rsidR="00C65FAE">
        <w:rPr>
          <w:rFonts w:ascii="Arial" w:hAnsi="Arial" w:cs="Arial"/>
          <w:bCs/>
          <w:sz w:val="22"/>
          <w:szCs w:val="22"/>
          <w:lang w:eastAsia="en-US"/>
        </w:rPr>
        <w:t xml:space="preserve">ith </w:t>
      </w:r>
      <w:r w:rsidRPr="008A4C17">
        <w:rPr>
          <w:rFonts w:ascii="Arial" w:hAnsi="Arial" w:cs="Arial"/>
          <w:bCs/>
          <w:sz w:val="22"/>
          <w:szCs w:val="22"/>
          <w:lang w:eastAsia="en-US"/>
        </w:rPr>
        <w:t>a profit motive, as opposed t</w:t>
      </w:r>
      <w:r w:rsidR="00C209A9" w:rsidRPr="008A4C17">
        <w:rPr>
          <w:rFonts w:ascii="Arial" w:hAnsi="Arial" w:cs="Arial"/>
          <w:bCs/>
          <w:sz w:val="22"/>
          <w:szCs w:val="22"/>
          <w:lang w:eastAsia="en-US"/>
        </w:rPr>
        <w:t>o those in the voluntary sector</w:t>
      </w:r>
    </w:p>
    <w:p w14:paraId="79306613" w14:textId="77777777" w:rsidR="00933EF1" w:rsidRPr="008A4C17" w:rsidRDefault="00933EF1" w:rsidP="00C209A9">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relationships with external auditors beyond their du</w:t>
      </w:r>
      <w:r w:rsidR="00C209A9" w:rsidRPr="008A4C17">
        <w:rPr>
          <w:rFonts w:ascii="Arial" w:hAnsi="Arial" w:cs="Arial"/>
          <w:bCs/>
          <w:sz w:val="22"/>
          <w:szCs w:val="22"/>
          <w:lang w:eastAsia="en-US"/>
        </w:rPr>
        <w:t>ty to deliver a statutory audit</w:t>
      </w:r>
    </w:p>
    <w:p w14:paraId="50C8D0C6" w14:textId="77777777" w:rsidR="00933EF1" w:rsidRPr="008A4C17" w:rsidRDefault="00933EF1" w:rsidP="00933EF1">
      <w:pPr>
        <w:pStyle w:val="Default"/>
        <w:jc w:val="both"/>
        <w:rPr>
          <w:sz w:val="22"/>
          <w:szCs w:val="22"/>
        </w:rPr>
      </w:pPr>
    </w:p>
    <w:p w14:paraId="42FE2F18" w14:textId="77777777" w:rsidR="00933EF1" w:rsidRPr="008A4C17" w:rsidRDefault="00933EF1" w:rsidP="00933EF1">
      <w:pPr>
        <w:pStyle w:val="Default"/>
        <w:jc w:val="both"/>
        <w:rPr>
          <w:sz w:val="22"/>
          <w:szCs w:val="22"/>
        </w:rPr>
      </w:pPr>
      <w:r w:rsidRPr="008A4C17">
        <w:rPr>
          <w:sz w:val="22"/>
          <w:szCs w:val="22"/>
        </w:rPr>
        <w:t xml:space="preserve">The </w:t>
      </w:r>
      <w:r w:rsidR="004F7C78">
        <w:rPr>
          <w:sz w:val="22"/>
          <w:szCs w:val="22"/>
        </w:rPr>
        <w:t>T</w:t>
      </w:r>
      <w:r w:rsidRPr="008A4C17">
        <w:rPr>
          <w:sz w:val="22"/>
          <w:szCs w:val="22"/>
        </w:rPr>
        <w:t xml:space="preserve">rust must </w:t>
      </w:r>
      <w:r w:rsidR="0093122B">
        <w:rPr>
          <w:sz w:val="22"/>
          <w:szCs w:val="22"/>
        </w:rPr>
        <w:t>keep</w:t>
      </w:r>
      <w:r w:rsidRPr="008A4C17">
        <w:rPr>
          <w:sz w:val="22"/>
          <w:szCs w:val="22"/>
        </w:rPr>
        <w:t xml:space="preserve"> sufficient records and make sufficient disclosures in their annual accounts, to </w:t>
      </w:r>
      <w:r w:rsidR="0093122B">
        <w:rPr>
          <w:sz w:val="22"/>
          <w:szCs w:val="22"/>
        </w:rPr>
        <w:t>show</w:t>
      </w:r>
      <w:r w:rsidRPr="008A4C17">
        <w:rPr>
          <w:sz w:val="22"/>
          <w:szCs w:val="22"/>
        </w:rPr>
        <w:t xml:space="preserve"> that transactions with these parties and all other </w:t>
      </w:r>
      <w:r w:rsidR="0093122B">
        <w:rPr>
          <w:sz w:val="22"/>
          <w:szCs w:val="22"/>
        </w:rPr>
        <w:t>relate</w:t>
      </w:r>
      <w:r w:rsidRPr="008A4C17">
        <w:rPr>
          <w:sz w:val="22"/>
          <w:szCs w:val="22"/>
        </w:rPr>
        <w:t>d parties have been conducted in accordance with the high standards of accountability and transparency req</w:t>
      </w:r>
      <w:r w:rsidR="00C209A9" w:rsidRPr="008A4C17">
        <w:rPr>
          <w:sz w:val="22"/>
          <w:szCs w:val="22"/>
        </w:rPr>
        <w:t>uired within the public sector.</w:t>
      </w:r>
    </w:p>
    <w:p w14:paraId="2C618C87" w14:textId="77777777" w:rsidR="00C209A9" w:rsidRPr="008A4C17" w:rsidRDefault="00C209A9" w:rsidP="00933EF1">
      <w:pPr>
        <w:pStyle w:val="Default"/>
        <w:jc w:val="both"/>
        <w:rPr>
          <w:sz w:val="22"/>
          <w:szCs w:val="22"/>
        </w:rPr>
      </w:pPr>
    </w:p>
    <w:p w14:paraId="3558E498" w14:textId="77777777" w:rsidR="00D1336C" w:rsidRPr="008A4C17" w:rsidRDefault="00D1336C" w:rsidP="00D1336C">
      <w:pPr>
        <w:pStyle w:val="ListParagraph"/>
        <w:numPr>
          <w:ilvl w:val="0"/>
          <w:numId w:val="6"/>
        </w:numPr>
        <w:tabs>
          <w:tab w:val="left" w:pos="567"/>
        </w:tabs>
        <w:ind w:left="567" w:hanging="567"/>
        <w:rPr>
          <w:rFonts w:ascii="Arial" w:hAnsi="Arial" w:cs="Arial"/>
          <w:b/>
          <w:sz w:val="22"/>
          <w:szCs w:val="22"/>
        </w:rPr>
      </w:pPr>
      <w:r>
        <w:rPr>
          <w:rFonts w:ascii="Arial" w:hAnsi="Arial" w:cs="Arial"/>
          <w:b/>
          <w:sz w:val="22"/>
          <w:szCs w:val="22"/>
        </w:rPr>
        <w:t>Reporting of related party transactions to ESFA</w:t>
      </w:r>
    </w:p>
    <w:p w14:paraId="2E4674FC" w14:textId="77777777" w:rsidR="00D1336C" w:rsidRPr="008A4C17" w:rsidRDefault="00D1336C" w:rsidP="00D1336C">
      <w:pPr>
        <w:pStyle w:val="Default"/>
        <w:jc w:val="both"/>
        <w:rPr>
          <w:sz w:val="22"/>
          <w:szCs w:val="22"/>
        </w:rPr>
      </w:pPr>
    </w:p>
    <w:p w14:paraId="6002B240" w14:textId="77777777" w:rsidR="00D1336C" w:rsidRPr="00D1336C" w:rsidRDefault="00C209A9" w:rsidP="00933EF1">
      <w:pPr>
        <w:pStyle w:val="Default"/>
        <w:jc w:val="both"/>
        <w:rPr>
          <w:sz w:val="22"/>
          <w:szCs w:val="22"/>
        </w:rPr>
      </w:pPr>
      <w:r w:rsidRPr="00D1336C">
        <w:rPr>
          <w:sz w:val="22"/>
          <w:szCs w:val="22"/>
        </w:rPr>
        <w:t xml:space="preserve">The </w:t>
      </w:r>
      <w:r w:rsidR="00537802">
        <w:rPr>
          <w:sz w:val="22"/>
          <w:szCs w:val="22"/>
        </w:rPr>
        <w:t>Tr</w:t>
      </w:r>
      <w:r w:rsidR="00933EF1" w:rsidRPr="00D1336C">
        <w:rPr>
          <w:sz w:val="22"/>
          <w:szCs w:val="22"/>
        </w:rPr>
        <w:t xml:space="preserve">ust must </w:t>
      </w:r>
      <w:r w:rsidR="00A202FB" w:rsidRPr="00D1336C">
        <w:rPr>
          <w:sz w:val="22"/>
          <w:szCs w:val="22"/>
        </w:rPr>
        <w:t xml:space="preserve">report all transactions with related parties to ESFA in advance of the transaction taking place, using ESFA’s online form. This requirement applies to transactions made on or after 1 April 2019. </w:t>
      </w:r>
    </w:p>
    <w:p w14:paraId="627D1EC2" w14:textId="77777777" w:rsidR="00D1336C" w:rsidRDefault="00D1336C" w:rsidP="00933EF1">
      <w:pPr>
        <w:pStyle w:val="Default"/>
        <w:jc w:val="both"/>
        <w:rPr>
          <w:sz w:val="22"/>
          <w:szCs w:val="22"/>
          <w:highlight w:val="red"/>
        </w:rPr>
      </w:pPr>
    </w:p>
    <w:p w14:paraId="7511ECB0" w14:textId="77777777" w:rsidR="00493ECD" w:rsidRPr="008A4C17" w:rsidRDefault="00493ECD" w:rsidP="00493ECD">
      <w:pPr>
        <w:pStyle w:val="ListParagraph"/>
        <w:numPr>
          <w:ilvl w:val="0"/>
          <w:numId w:val="6"/>
        </w:numPr>
        <w:tabs>
          <w:tab w:val="left" w:pos="567"/>
        </w:tabs>
        <w:ind w:left="567" w:hanging="567"/>
        <w:rPr>
          <w:rFonts w:ascii="Arial" w:hAnsi="Arial" w:cs="Arial"/>
          <w:b/>
          <w:sz w:val="22"/>
          <w:szCs w:val="22"/>
        </w:rPr>
      </w:pPr>
      <w:r>
        <w:rPr>
          <w:rFonts w:ascii="Arial" w:hAnsi="Arial" w:cs="Arial"/>
          <w:b/>
          <w:sz w:val="22"/>
          <w:szCs w:val="22"/>
        </w:rPr>
        <w:t>Approval of related party transactions by ESFA</w:t>
      </w:r>
    </w:p>
    <w:p w14:paraId="4BB21193" w14:textId="77777777" w:rsidR="00D1336C" w:rsidRPr="00493ECD" w:rsidRDefault="00D1336C" w:rsidP="00933EF1">
      <w:pPr>
        <w:pStyle w:val="Default"/>
        <w:jc w:val="both"/>
        <w:rPr>
          <w:sz w:val="22"/>
          <w:szCs w:val="22"/>
        </w:rPr>
      </w:pPr>
    </w:p>
    <w:p w14:paraId="09591523" w14:textId="77777777" w:rsidR="00933EF1" w:rsidRPr="00493ECD" w:rsidRDefault="00A202FB" w:rsidP="00933EF1">
      <w:pPr>
        <w:pStyle w:val="Default"/>
        <w:jc w:val="both"/>
        <w:rPr>
          <w:sz w:val="22"/>
          <w:szCs w:val="22"/>
        </w:rPr>
      </w:pPr>
      <w:r w:rsidRPr="00493ECD">
        <w:rPr>
          <w:sz w:val="22"/>
          <w:szCs w:val="22"/>
        </w:rPr>
        <w:t xml:space="preserve">The Trust must obtain ESFA’s </w:t>
      </w:r>
      <w:r w:rsidR="00933EF1" w:rsidRPr="00493ECD">
        <w:rPr>
          <w:sz w:val="22"/>
          <w:szCs w:val="22"/>
        </w:rPr>
        <w:t xml:space="preserve">approval for transactions with </w:t>
      </w:r>
      <w:r w:rsidRPr="00493ECD">
        <w:rPr>
          <w:sz w:val="22"/>
          <w:szCs w:val="22"/>
        </w:rPr>
        <w:t>relat</w:t>
      </w:r>
      <w:r w:rsidR="00933EF1" w:rsidRPr="00493ECD">
        <w:rPr>
          <w:sz w:val="22"/>
          <w:szCs w:val="22"/>
        </w:rPr>
        <w:t>ed parties tha</w:t>
      </w:r>
      <w:r w:rsidR="009D7763" w:rsidRPr="00493ECD">
        <w:rPr>
          <w:sz w:val="22"/>
          <w:szCs w:val="22"/>
        </w:rPr>
        <w:t>t are novel</w:t>
      </w:r>
      <w:r w:rsidRPr="00493ECD">
        <w:rPr>
          <w:sz w:val="22"/>
          <w:szCs w:val="22"/>
        </w:rPr>
        <w:t xml:space="preserve">, </w:t>
      </w:r>
      <w:r w:rsidR="009D7763" w:rsidRPr="00493ECD">
        <w:rPr>
          <w:sz w:val="22"/>
          <w:szCs w:val="22"/>
        </w:rPr>
        <w:t>contentious</w:t>
      </w:r>
      <w:r w:rsidRPr="00493ECD">
        <w:rPr>
          <w:sz w:val="22"/>
          <w:szCs w:val="22"/>
        </w:rPr>
        <w:t xml:space="preserve"> and/or repercussive</w:t>
      </w:r>
      <w:r w:rsidR="009D7763" w:rsidRPr="00493ECD">
        <w:rPr>
          <w:sz w:val="22"/>
          <w:szCs w:val="22"/>
        </w:rPr>
        <w:t>.</w:t>
      </w:r>
      <w:r w:rsidRPr="00493ECD">
        <w:rPr>
          <w:sz w:val="22"/>
          <w:szCs w:val="22"/>
        </w:rPr>
        <w:t xml:space="preserve"> Trusts should carefully consider the impact of this requirement and its relevance to transactions involving the chair of the board and the accounting officer.</w:t>
      </w:r>
    </w:p>
    <w:p w14:paraId="398CA64C" w14:textId="77777777" w:rsidR="00D1336C" w:rsidRPr="00493ECD" w:rsidRDefault="00D1336C" w:rsidP="00933EF1">
      <w:pPr>
        <w:pStyle w:val="Default"/>
        <w:jc w:val="both"/>
        <w:rPr>
          <w:sz w:val="22"/>
          <w:szCs w:val="22"/>
        </w:rPr>
      </w:pPr>
    </w:p>
    <w:p w14:paraId="63D48F7E" w14:textId="77777777" w:rsidR="00493ECD" w:rsidRDefault="00493ECD" w:rsidP="00D1336C">
      <w:pPr>
        <w:pStyle w:val="Default"/>
        <w:jc w:val="both"/>
        <w:rPr>
          <w:sz w:val="22"/>
          <w:szCs w:val="22"/>
        </w:rPr>
      </w:pPr>
      <w:r w:rsidRPr="00493ECD">
        <w:rPr>
          <w:sz w:val="22"/>
          <w:szCs w:val="22"/>
        </w:rPr>
        <w:t xml:space="preserve">The </w:t>
      </w:r>
      <w:r w:rsidR="004F7C78">
        <w:rPr>
          <w:sz w:val="22"/>
          <w:szCs w:val="22"/>
        </w:rPr>
        <w:t>T</w:t>
      </w:r>
      <w:r w:rsidRPr="00493ECD">
        <w:rPr>
          <w:sz w:val="22"/>
          <w:szCs w:val="22"/>
        </w:rPr>
        <w:t>rust must obtain ESFA’s prior approval, using ESFA’s online form, for contracts for the</w:t>
      </w:r>
      <w:r>
        <w:rPr>
          <w:sz w:val="22"/>
          <w:szCs w:val="22"/>
        </w:rPr>
        <w:t xml:space="preserve"> supply of goods or services to the </w:t>
      </w:r>
      <w:r w:rsidR="00537802">
        <w:rPr>
          <w:sz w:val="22"/>
          <w:szCs w:val="22"/>
        </w:rPr>
        <w:t>T</w:t>
      </w:r>
      <w:r>
        <w:rPr>
          <w:sz w:val="22"/>
          <w:szCs w:val="22"/>
        </w:rPr>
        <w:t>rust by a related party agreed on or after 1 April 2019 where any of the following limits arise:</w:t>
      </w:r>
    </w:p>
    <w:p w14:paraId="6C91C577" w14:textId="77777777" w:rsidR="00493ECD" w:rsidRPr="008A4C17" w:rsidRDefault="00493ECD" w:rsidP="00493ECD">
      <w:pPr>
        <w:pStyle w:val="Default"/>
        <w:jc w:val="both"/>
        <w:rPr>
          <w:sz w:val="22"/>
          <w:szCs w:val="22"/>
        </w:rPr>
      </w:pPr>
    </w:p>
    <w:p w14:paraId="2F514744" w14:textId="77777777" w:rsidR="00493ECD" w:rsidRPr="008A4C17" w:rsidRDefault="00493ECD" w:rsidP="00493ECD">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t>a contract exceeding £20,000</w:t>
      </w:r>
    </w:p>
    <w:p w14:paraId="5C27B7DF" w14:textId="77777777" w:rsidR="00493ECD" w:rsidRPr="008A4C17" w:rsidRDefault="00493ECD" w:rsidP="00493ECD">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t>a contract of any value that would take the total value of contracts with the related party beyond £20,0</w:t>
      </w:r>
      <w:r w:rsidR="002F52C3">
        <w:rPr>
          <w:rFonts w:ascii="Arial" w:hAnsi="Arial" w:cs="Arial"/>
          <w:bCs/>
          <w:sz w:val="22"/>
          <w:szCs w:val="22"/>
          <w:lang w:eastAsia="en-US"/>
        </w:rPr>
        <w:t>0</w:t>
      </w:r>
      <w:r>
        <w:rPr>
          <w:rFonts w:ascii="Arial" w:hAnsi="Arial" w:cs="Arial"/>
          <w:bCs/>
          <w:sz w:val="22"/>
          <w:szCs w:val="22"/>
          <w:lang w:eastAsia="en-US"/>
        </w:rPr>
        <w:t>0 in the same financial year ending 31 August</w:t>
      </w:r>
    </w:p>
    <w:p w14:paraId="7AC5BA61" w14:textId="77777777" w:rsidR="00493ECD" w:rsidRPr="00BD0645" w:rsidRDefault="00493ECD" w:rsidP="00493ECD">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t>a contract of any value if there have been contracts exceeding £20,0</w:t>
      </w:r>
      <w:r w:rsidR="002F52C3">
        <w:rPr>
          <w:rFonts w:ascii="Arial" w:hAnsi="Arial" w:cs="Arial"/>
          <w:bCs/>
          <w:sz w:val="22"/>
          <w:szCs w:val="22"/>
          <w:lang w:eastAsia="en-US"/>
        </w:rPr>
        <w:t>0</w:t>
      </w:r>
      <w:r>
        <w:rPr>
          <w:rFonts w:ascii="Arial" w:hAnsi="Arial" w:cs="Arial"/>
          <w:bCs/>
          <w:sz w:val="22"/>
          <w:szCs w:val="22"/>
          <w:lang w:eastAsia="en-US"/>
        </w:rPr>
        <w:t xml:space="preserve">0 individually or cumulatively with the related party in the same financial </w:t>
      </w:r>
      <w:r w:rsidRPr="00BD0645">
        <w:rPr>
          <w:rFonts w:ascii="Arial" w:hAnsi="Arial" w:cs="Arial"/>
          <w:bCs/>
          <w:sz w:val="22"/>
          <w:szCs w:val="22"/>
          <w:lang w:eastAsia="en-US"/>
        </w:rPr>
        <w:t>year ending 31 August</w:t>
      </w:r>
    </w:p>
    <w:p w14:paraId="0E8C0950" w14:textId="77777777" w:rsidR="00493ECD" w:rsidRPr="008A4C17" w:rsidRDefault="00493ECD" w:rsidP="00493ECD">
      <w:pPr>
        <w:pStyle w:val="Default"/>
        <w:jc w:val="both"/>
        <w:rPr>
          <w:sz w:val="22"/>
          <w:szCs w:val="22"/>
        </w:rPr>
      </w:pPr>
    </w:p>
    <w:p w14:paraId="2D4DEF19" w14:textId="77777777" w:rsidR="00493ECD" w:rsidRPr="008A4C17" w:rsidRDefault="00BD0645" w:rsidP="00D1336C">
      <w:pPr>
        <w:pStyle w:val="Default"/>
        <w:jc w:val="both"/>
        <w:rPr>
          <w:sz w:val="22"/>
          <w:szCs w:val="22"/>
        </w:rPr>
      </w:pPr>
      <w:r>
        <w:rPr>
          <w:sz w:val="22"/>
          <w:szCs w:val="22"/>
        </w:rPr>
        <w:t xml:space="preserve">For the purposes of reporting to, and approval by ESFA, transactions with related parties do not include salaries and other payments made by the Trust to a person under a contract of employment through the Trust’s payroll. </w:t>
      </w:r>
    </w:p>
    <w:p w14:paraId="21DA4BEE" w14:textId="77777777" w:rsidR="00933EF1" w:rsidRPr="008A4C17" w:rsidRDefault="00933EF1" w:rsidP="00615EE5">
      <w:pPr>
        <w:pStyle w:val="Default"/>
        <w:jc w:val="both"/>
        <w:rPr>
          <w:sz w:val="22"/>
          <w:szCs w:val="22"/>
        </w:rPr>
      </w:pPr>
    </w:p>
    <w:p w14:paraId="4E9FA5A1" w14:textId="77777777" w:rsidR="004F1BBB" w:rsidRPr="008A4C17" w:rsidRDefault="004F1BBB" w:rsidP="004F1BBB">
      <w:pPr>
        <w:pStyle w:val="ListParagraph"/>
        <w:numPr>
          <w:ilvl w:val="0"/>
          <w:numId w:val="6"/>
        </w:numPr>
        <w:tabs>
          <w:tab w:val="left" w:pos="567"/>
        </w:tabs>
        <w:ind w:left="567" w:hanging="567"/>
        <w:rPr>
          <w:rFonts w:ascii="Arial" w:hAnsi="Arial" w:cs="Arial"/>
          <w:b/>
          <w:sz w:val="22"/>
          <w:szCs w:val="22"/>
        </w:rPr>
      </w:pPr>
      <w:r>
        <w:rPr>
          <w:rFonts w:ascii="Arial" w:hAnsi="Arial" w:cs="Arial"/>
          <w:b/>
          <w:sz w:val="22"/>
          <w:szCs w:val="22"/>
        </w:rPr>
        <w:t>Register of interests</w:t>
      </w:r>
    </w:p>
    <w:p w14:paraId="5DA1E5DB" w14:textId="77777777" w:rsidR="004F1BBB" w:rsidRDefault="004F1BBB" w:rsidP="004F1BBB">
      <w:pPr>
        <w:pStyle w:val="Default"/>
        <w:jc w:val="both"/>
        <w:rPr>
          <w:sz w:val="22"/>
          <w:szCs w:val="22"/>
        </w:rPr>
      </w:pPr>
    </w:p>
    <w:p w14:paraId="26FBF0A1" w14:textId="77777777" w:rsidR="004F1BBB" w:rsidRDefault="004F1BBB" w:rsidP="004F1BBB">
      <w:pPr>
        <w:pStyle w:val="Default"/>
        <w:jc w:val="both"/>
        <w:rPr>
          <w:sz w:val="22"/>
          <w:szCs w:val="22"/>
        </w:rPr>
      </w:pPr>
      <w:r>
        <w:rPr>
          <w:sz w:val="22"/>
          <w:szCs w:val="22"/>
        </w:rPr>
        <w:t>The Trust’s register of interests must capture relevant business and pecuniary interests of members, trustees, local governors of academies within a MAT and senior employees including:</w:t>
      </w:r>
    </w:p>
    <w:p w14:paraId="2A4B23CF" w14:textId="77777777" w:rsidR="004F1BBB" w:rsidRPr="008A4C17" w:rsidRDefault="004F1BBB" w:rsidP="004F1BBB">
      <w:pPr>
        <w:pStyle w:val="Default"/>
        <w:jc w:val="both"/>
        <w:rPr>
          <w:sz w:val="22"/>
          <w:szCs w:val="22"/>
        </w:rPr>
      </w:pPr>
    </w:p>
    <w:p w14:paraId="1FA99571" w14:textId="77777777" w:rsidR="004F1BBB" w:rsidRPr="008A4C17" w:rsidRDefault="004F1BBB" w:rsidP="004F1BBB">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t>directorships, partnerships and employments with businesses</w:t>
      </w:r>
    </w:p>
    <w:p w14:paraId="47D6D057" w14:textId="77777777" w:rsidR="004F1BBB" w:rsidRPr="008A4C17" w:rsidRDefault="004F1BBB" w:rsidP="004F1BBB">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lastRenderedPageBreak/>
        <w:t>trusteeships and governorships at other educational institutions and charities</w:t>
      </w:r>
    </w:p>
    <w:p w14:paraId="17036D9A" w14:textId="77777777" w:rsidR="004F1BBB" w:rsidRPr="00BD0645" w:rsidRDefault="004F1BBB" w:rsidP="004F1BBB">
      <w:pPr>
        <w:pStyle w:val="ListParagraph"/>
        <w:numPr>
          <w:ilvl w:val="1"/>
          <w:numId w:val="9"/>
        </w:numPr>
        <w:tabs>
          <w:tab w:val="left" w:pos="709"/>
        </w:tabs>
        <w:ind w:left="709" w:hanging="425"/>
        <w:contextualSpacing w:val="0"/>
        <w:jc w:val="both"/>
        <w:rPr>
          <w:rFonts w:ascii="Arial" w:hAnsi="Arial" w:cs="Arial"/>
          <w:bCs/>
          <w:sz w:val="22"/>
          <w:szCs w:val="22"/>
          <w:lang w:eastAsia="en-US"/>
        </w:rPr>
      </w:pPr>
      <w:r>
        <w:rPr>
          <w:rFonts w:ascii="Arial" w:hAnsi="Arial" w:cs="Arial"/>
          <w:bCs/>
          <w:sz w:val="22"/>
          <w:szCs w:val="22"/>
          <w:lang w:eastAsia="en-US"/>
        </w:rPr>
        <w:t>for each interest: the name of the business; the nature of the business; the nature of the interest; and the date the interest began</w:t>
      </w:r>
    </w:p>
    <w:p w14:paraId="7990782C" w14:textId="77777777" w:rsidR="004F1BBB" w:rsidRPr="008A4C17" w:rsidRDefault="004F1BBB" w:rsidP="004F1BBB">
      <w:pPr>
        <w:pStyle w:val="Default"/>
        <w:jc w:val="both"/>
        <w:rPr>
          <w:sz w:val="22"/>
          <w:szCs w:val="22"/>
        </w:rPr>
      </w:pPr>
    </w:p>
    <w:p w14:paraId="365F17E9" w14:textId="77777777" w:rsidR="004F1BBB" w:rsidRDefault="00C46144" w:rsidP="004F1BBB">
      <w:pPr>
        <w:pStyle w:val="Default"/>
        <w:jc w:val="both"/>
        <w:rPr>
          <w:sz w:val="22"/>
          <w:szCs w:val="22"/>
        </w:rPr>
      </w:pPr>
      <w:r>
        <w:rPr>
          <w:sz w:val="22"/>
          <w:szCs w:val="22"/>
        </w:rPr>
        <w:t>The register must identify any relevant material interests from close family relationships between the Trust’s members, trustees or local governors. It must also identify relevant material interests arising from close family relationships between those individuals and employees.</w:t>
      </w:r>
    </w:p>
    <w:p w14:paraId="79251D15" w14:textId="77777777" w:rsidR="00C46144" w:rsidRDefault="00C46144" w:rsidP="004F1BBB">
      <w:pPr>
        <w:pStyle w:val="Default"/>
        <w:jc w:val="both"/>
        <w:rPr>
          <w:sz w:val="22"/>
          <w:szCs w:val="22"/>
        </w:rPr>
      </w:pPr>
    </w:p>
    <w:p w14:paraId="1FD9ADDC" w14:textId="77777777" w:rsidR="00C46144" w:rsidRDefault="00C46144" w:rsidP="004F1BBB">
      <w:pPr>
        <w:pStyle w:val="Default"/>
        <w:jc w:val="both"/>
        <w:rPr>
          <w:sz w:val="22"/>
          <w:szCs w:val="22"/>
        </w:rPr>
      </w:pPr>
      <w:r>
        <w:rPr>
          <w:sz w:val="22"/>
          <w:szCs w:val="22"/>
        </w:rPr>
        <w:t>The Trust should consider whether any other interests should be registered. Boards of trustees should keep their register of interests up-to-date.</w:t>
      </w:r>
    </w:p>
    <w:p w14:paraId="7CEF94E1" w14:textId="77777777" w:rsidR="006F33CF" w:rsidRDefault="006F33CF" w:rsidP="004F1BBB">
      <w:pPr>
        <w:pStyle w:val="Default"/>
        <w:jc w:val="both"/>
        <w:rPr>
          <w:sz w:val="22"/>
          <w:szCs w:val="22"/>
        </w:rPr>
      </w:pPr>
    </w:p>
    <w:p w14:paraId="0E2F7247" w14:textId="77777777" w:rsidR="006F33CF" w:rsidRDefault="006F33CF" w:rsidP="004F1BBB">
      <w:pPr>
        <w:pStyle w:val="Default"/>
        <w:jc w:val="both"/>
        <w:rPr>
          <w:sz w:val="22"/>
          <w:szCs w:val="22"/>
        </w:rPr>
      </w:pPr>
      <w:r>
        <w:rPr>
          <w:sz w:val="22"/>
          <w:szCs w:val="22"/>
        </w:rPr>
        <w:t>The Trust must publish on its website, relevant business and pecuniary interests of members, trustees, local governors and accounting officers. The Trust has discretion over the publication of interests of any other individual named on the register.</w:t>
      </w:r>
    </w:p>
    <w:p w14:paraId="4D3FCF0E" w14:textId="77777777" w:rsidR="004F1BBB" w:rsidRDefault="004F1BBB" w:rsidP="004F1BBB">
      <w:pPr>
        <w:pStyle w:val="Default"/>
        <w:jc w:val="both"/>
        <w:rPr>
          <w:sz w:val="22"/>
          <w:szCs w:val="22"/>
        </w:rPr>
      </w:pPr>
    </w:p>
    <w:p w14:paraId="23F72DF2" w14:textId="77777777" w:rsidR="000A6F6A" w:rsidRPr="008A4C17" w:rsidRDefault="000A6F6A" w:rsidP="000A6F6A">
      <w:pPr>
        <w:pStyle w:val="ListParagraph"/>
        <w:numPr>
          <w:ilvl w:val="0"/>
          <w:numId w:val="6"/>
        </w:numPr>
        <w:tabs>
          <w:tab w:val="left" w:pos="567"/>
        </w:tabs>
        <w:ind w:left="567" w:hanging="567"/>
        <w:rPr>
          <w:rFonts w:ascii="Arial" w:hAnsi="Arial" w:cs="Arial"/>
          <w:b/>
          <w:sz w:val="22"/>
          <w:szCs w:val="22"/>
        </w:rPr>
      </w:pPr>
      <w:r w:rsidRPr="008A4C17">
        <w:rPr>
          <w:rFonts w:ascii="Arial" w:hAnsi="Arial" w:cs="Arial"/>
          <w:b/>
          <w:sz w:val="22"/>
          <w:szCs w:val="22"/>
        </w:rPr>
        <w:t>‘At Cost’ Requirement</w:t>
      </w:r>
    </w:p>
    <w:p w14:paraId="5CAA58EE" w14:textId="77777777" w:rsidR="004F1BBB" w:rsidRPr="008A4C17" w:rsidRDefault="004F1BBB" w:rsidP="004F1BBB">
      <w:pPr>
        <w:pStyle w:val="Default"/>
        <w:jc w:val="both"/>
        <w:rPr>
          <w:sz w:val="22"/>
          <w:szCs w:val="22"/>
        </w:rPr>
      </w:pPr>
    </w:p>
    <w:p w14:paraId="0E228F43" w14:textId="77777777" w:rsidR="00E22A33" w:rsidRPr="008A4C17" w:rsidRDefault="000A6F6A" w:rsidP="00323F5F">
      <w:pPr>
        <w:pStyle w:val="Default"/>
        <w:jc w:val="both"/>
        <w:rPr>
          <w:sz w:val="22"/>
          <w:szCs w:val="22"/>
        </w:rPr>
      </w:pPr>
      <w:r>
        <w:rPr>
          <w:sz w:val="22"/>
          <w:szCs w:val="22"/>
        </w:rPr>
        <w:t>The T</w:t>
      </w:r>
      <w:r w:rsidR="00E22A33" w:rsidRPr="008A4C17">
        <w:rPr>
          <w:sz w:val="22"/>
          <w:szCs w:val="22"/>
        </w:rPr>
        <w:t xml:space="preserve">rust must pay no more than ‘cost’ for goods or services provided to it by the following persons (‘services’ do not include </w:t>
      </w:r>
      <w:r w:rsidR="002E74D5" w:rsidRPr="008A4C17">
        <w:rPr>
          <w:sz w:val="22"/>
          <w:szCs w:val="22"/>
        </w:rPr>
        <w:t>contract</w:t>
      </w:r>
      <w:r>
        <w:rPr>
          <w:sz w:val="22"/>
          <w:szCs w:val="22"/>
        </w:rPr>
        <w:t>s</w:t>
      </w:r>
      <w:r w:rsidR="002E74D5" w:rsidRPr="008A4C17">
        <w:rPr>
          <w:sz w:val="22"/>
          <w:szCs w:val="22"/>
        </w:rPr>
        <w:t xml:space="preserve"> of employment):</w:t>
      </w:r>
    </w:p>
    <w:p w14:paraId="5EDEA6EC" w14:textId="77777777" w:rsidR="002E74D5" w:rsidRPr="008A4C17" w:rsidRDefault="002E74D5" w:rsidP="00323F5F">
      <w:pPr>
        <w:pStyle w:val="Default"/>
        <w:jc w:val="both"/>
        <w:rPr>
          <w:sz w:val="22"/>
          <w:szCs w:val="22"/>
        </w:rPr>
      </w:pPr>
    </w:p>
    <w:p w14:paraId="1EB6A4AC" w14:textId="77777777" w:rsidR="00E22A33" w:rsidRPr="008A4C17" w:rsidRDefault="00E22A33" w:rsidP="002E74D5">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any member </w:t>
      </w:r>
      <w:r w:rsidR="002E74D5" w:rsidRPr="008A4C17">
        <w:rPr>
          <w:rFonts w:ascii="Arial" w:hAnsi="Arial" w:cs="Arial"/>
          <w:bCs/>
          <w:sz w:val="22"/>
          <w:szCs w:val="22"/>
          <w:lang w:eastAsia="en-US"/>
        </w:rPr>
        <w:t xml:space="preserve">or trustee of the </w:t>
      </w:r>
      <w:r w:rsidR="000A6F6A">
        <w:rPr>
          <w:rFonts w:ascii="Arial" w:hAnsi="Arial" w:cs="Arial"/>
          <w:bCs/>
          <w:sz w:val="22"/>
          <w:szCs w:val="22"/>
          <w:lang w:eastAsia="en-US"/>
        </w:rPr>
        <w:t>T</w:t>
      </w:r>
      <w:r w:rsidR="002E74D5" w:rsidRPr="008A4C17">
        <w:rPr>
          <w:rFonts w:ascii="Arial" w:hAnsi="Arial" w:cs="Arial"/>
          <w:bCs/>
          <w:sz w:val="22"/>
          <w:szCs w:val="22"/>
          <w:lang w:eastAsia="en-US"/>
        </w:rPr>
        <w:t>rust</w:t>
      </w:r>
    </w:p>
    <w:p w14:paraId="5FD81467" w14:textId="77777777" w:rsidR="00E22A33" w:rsidRPr="008A4C17" w:rsidRDefault="00E22A33" w:rsidP="002E74D5">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any individual or organisation connected to a member or trustee of the </w:t>
      </w:r>
      <w:r w:rsidR="000A6F6A">
        <w:rPr>
          <w:rFonts w:ascii="Arial" w:hAnsi="Arial" w:cs="Arial"/>
          <w:bCs/>
          <w:sz w:val="22"/>
          <w:szCs w:val="22"/>
          <w:lang w:eastAsia="en-US"/>
        </w:rPr>
        <w:t>T</w:t>
      </w:r>
      <w:r w:rsidRPr="008A4C17">
        <w:rPr>
          <w:rFonts w:ascii="Arial" w:hAnsi="Arial" w:cs="Arial"/>
          <w:bCs/>
          <w:sz w:val="22"/>
          <w:szCs w:val="22"/>
          <w:lang w:eastAsia="en-US"/>
        </w:rPr>
        <w:t>rust. For these purposes the following persons are con</w:t>
      </w:r>
      <w:r w:rsidR="002E74D5" w:rsidRPr="008A4C17">
        <w:rPr>
          <w:rFonts w:ascii="Arial" w:hAnsi="Arial" w:cs="Arial"/>
          <w:bCs/>
          <w:sz w:val="22"/>
          <w:szCs w:val="22"/>
          <w:lang w:eastAsia="en-US"/>
        </w:rPr>
        <w:t>nected to a member, or trustee:</w:t>
      </w:r>
    </w:p>
    <w:p w14:paraId="7F939CEA" w14:textId="77777777" w:rsidR="00E22A33" w:rsidRPr="008A4C17" w:rsidRDefault="00E22A33" w:rsidP="002E74D5">
      <w:pPr>
        <w:pStyle w:val="ListParagraph"/>
        <w:numPr>
          <w:ilvl w:val="1"/>
          <w:numId w:val="9"/>
        </w:numPr>
        <w:tabs>
          <w:tab w:val="left" w:pos="1134"/>
        </w:tabs>
        <w:ind w:left="1134" w:hanging="425"/>
        <w:contextualSpacing w:val="0"/>
        <w:jc w:val="both"/>
        <w:rPr>
          <w:rFonts w:ascii="Arial" w:hAnsi="Arial" w:cs="Arial"/>
          <w:bCs/>
          <w:sz w:val="22"/>
          <w:szCs w:val="22"/>
          <w:lang w:eastAsia="en-US"/>
        </w:rPr>
      </w:pPr>
      <w:r w:rsidRPr="008A4C17">
        <w:rPr>
          <w:rFonts w:ascii="Arial" w:hAnsi="Arial" w:cs="Arial"/>
          <w:bCs/>
          <w:sz w:val="22"/>
          <w:szCs w:val="22"/>
          <w:lang w:eastAsia="en-US"/>
        </w:rPr>
        <w:t>a relative of the member or trustee. A relative is defined as</w:t>
      </w:r>
      <w:r w:rsidR="000A6F6A">
        <w:rPr>
          <w:rFonts w:ascii="Arial" w:hAnsi="Arial" w:cs="Arial"/>
          <w:bCs/>
          <w:sz w:val="22"/>
          <w:szCs w:val="22"/>
          <w:lang w:eastAsia="en-US"/>
        </w:rPr>
        <w:t xml:space="preserve"> </w:t>
      </w:r>
      <w:r w:rsidRPr="008A4C17">
        <w:rPr>
          <w:rFonts w:ascii="Arial" w:hAnsi="Arial" w:cs="Arial"/>
          <w:bCs/>
          <w:sz w:val="22"/>
          <w:szCs w:val="22"/>
          <w:lang w:eastAsia="en-US"/>
        </w:rPr>
        <w:t xml:space="preserve">a close member of the family, or member of the same household, who may be expected to influence, or be influenced by, the person. This includes, but is not limited to, a child, parent, spouse or civil partner </w:t>
      </w:r>
    </w:p>
    <w:p w14:paraId="5CF7B39E" w14:textId="77777777" w:rsidR="00E22A33" w:rsidRPr="008A4C17" w:rsidRDefault="00E22A33" w:rsidP="002E74D5">
      <w:pPr>
        <w:pStyle w:val="ListParagraph"/>
        <w:numPr>
          <w:ilvl w:val="1"/>
          <w:numId w:val="9"/>
        </w:numPr>
        <w:tabs>
          <w:tab w:val="left" w:pos="1134"/>
        </w:tabs>
        <w:ind w:left="1134"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 individual or organisation carrying on business in partnership with the member, trustee or a relative of the member or trustee </w:t>
      </w:r>
    </w:p>
    <w:p w14:paraId="25B2A2EB" w14:textId="77777777" w:rsidR="00E22A33" w:rsidRPr="008A4C17" w:rsidRDefault="00E22A33" w:rsidP="002E74D5">
      <w:pPr>
        <w:pStyle w:val="ListParagraph"/>
        <w:numPr>
          <w:ilvl w:val="1"/>
          <w:numId w:val="9"/>
        </w:numPr>
        <w:tabs>
          <w:tab w:val="left" w:pos="1134"/>
        </w:tabs>
        <w:ind w:left="1134"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 company in which a member or the relative of a member (taken separately or together), and/or a trustee or the relative of a trustee (taken separately or together), holds more than 20% of the share capital or is entitled to exercise more than 20% of the voting power at any general meeting of that company </w:t>
      </w:r>
    </w:p>
    <w:p w14:paraId="5120E823" w14:textId="77777777" w:rsidR="00E22A33" w:rsidRPr="008A4C17" w:rsidRDefault="00E22A33" w:rsidP="002E74D5">
      <w:pPr>
        <w:pStyle w:val="ListParagraph"/>
        <w:numPr>
          <w:ilvl w:val="1"/>
          <w:numId w:val="9"/>
        </w:numPr>
        <w:tabs>
          <w:tab w:val="left" w:pos="1134"/>
        </w:tabs>
        <w:ind w:left="1134"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 organisation which is controlled by a member or the relative of a member (acting separately or together), and/or a trustee or the relative of a trustee (acting separately or together). For these purposes an organisation is controlled by an individual or organisation if that individual or organisation is able to secure that the affairs of the body are conducted in accordance with the individual’s or organisation’s wishes </w:t>
      </w:r>
    </w:p>
    <w:p w14:paraId="76766D97" w14:textId="77777777" w:rsidR="00E22A33" w:rsidRPr="008A4C17" w:rsidRDefault="00E22A33" w:rsidP="002E74D5">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any individual or organisation given the right under the </w:t>
      </w:r>
      <w:r w:rsidR="000A6F6A">
        <w:rPr>
          <w:rFonts w:ascii="Arial" w:hAnsi="Arial" w:cs="Arial"/>
          <w:bCs/>
          <w:sz w:val="22"/>
          <w:szCs w:val="22"/>
          <w:lang w:eastAsia="en-US"/>
        </w:rPr>
        <w:t>T</w:t>
      </w:r>
      <w:r w:rsidRPr="008A4C17">
        <w:rPr>
          <w:rFonts w:ascii="Arial" w:hAnsi="Arial" w:cs="Arial"/>
          <w:bCs/>
          <w:sz w:val="22"/>
          <w:szCs w:val="22"/>
          <w:lang w:eastAsia="en-US"/>
        </w:rPr>
        <w:t xml:space="preserve">rust’s articles of association to appoint a member or trustee of the </w:t>
      </w:r>
      <w:r w:rsidR="000A6F6A">
        <w:rPr>
          <w:rFonts w:ascii="Arial" w:hAnsi="Arial" w:cs="Arial"/>
          <w:bCs/>
          <w:sz w:val="22"/>
          <w:szCs w:val="22"/>
          <w:lang w:eastAsia="en-US"/>
        </w:rPr>
        <w:t>T</w:t>
      </w:r>
      <w:r w:rsidRPr="008A4C17">
        <w:rPr>
          <w:rFonts w:ascii="Arial" w:hAnsi="Arial" w:cs="Arial"/>
          <w:bCs/>
          <w:sz w:val="22"/>
          <w:szCs w:val="22"/>
          <w:lang w:eastAsia="en-US"/>
        </w:rPr>
        <w:t xml:space="preserve">rust; or anybody </w:t>
      </w:r>
      <w:r w:rsidR="000A6F6A">
        <w:rPr>
          <w:rFonts w:ascii="Arial" w:hAnsi="Arial" w:cs="Arial"/>
          <w:bCs/>
          <w:sz w:val="22"/>
          <w:szCs w:val="22"/>
          <w:lang w:eastAsia="en-US"/>
        </w:rPr>
        <w:t>connected</w:t>
      </w:r>
      <w:r w:rsidRPr="008A4C17">
        <w:rPr>
          <w:rFonts w:ascii="Arial" w:hAnsi="Arial" w:cs="Arial"/>
          <w:bCs/>
          <w:sz w:val="22"/>
          <w:szCs w:val="22"/>
          <w:lang w:eastAsia="en-US"/>
        </w:rPr>
        <w:t xml:space="preserve"> to </w:t>
      </w:r>
      <w:r w:rsidR="002E74D5" w:rsidRPr="008A4C17">
        <w:rPr>
          <w:rFonts w:ascii="Arial" w:hAnsi="Arial" w:cs="Arial"/>
          <w:bCs/>
          <w:sz w:val="22"/>
          <w:szCs w:val="22"/>
          <w:lang w:eastAsia="en-US"/>
        </w:rPr>
        <w:t>such individual or organisation</w:t>
      </w:r>
    </w:p>
    <w:p w14:paraId="385722C2" w14:textId="77777777" w:rsidR="00E22A33" w:rsidRPr="008A4C17" w:rsidRDefault="00E22A33" w:rsidP="002E74D5">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any individual or organisation recognised by the Secretary of State as a sponsor of the </w:t>
      </w:r>
      <w:r w:rsidR="000A6F6A">
        <w:rPr>
          <w:rFonts w:ascii="Arial" w:hAnsi="Arial" w:cs="Arial"/>
          <w:bCs/>
          <w:sz w:val="22"/>
          <w:szCs w:val="22"/>
          <w:lang w:eastAsia="en-US"/>
        </w:rPr>
        <w:t>T</w:t>
      </w:r>
      <w:r w:rsidRPr="008A4C17">
        <w:rPr>
          <w:rFonts w:ascii="Arial" w:hAnsi="Arial" w:cs="Arial"/>
          <w:bCs/>
          <w:sz w:val="22"/>
          <w:szCs w:val="22"/>
          <w:lang w:eastAsia="en-US"/>
        </w:rPr>
        <w:t xml:space="preserve">rust; or anybody </w:t>
      </w:r>
      <w:r w:rsidR="000A6F6A">
        <w:rPr>
          <w:rFonts w:ascii="Arial" w:hAnsi="Arial" w:cs="Arial"/>
          <w:bCs/>
          <w:sz w:val="22"/>
          <w:szCs w:val="22"/>
          <w:lang w:eastAsia="en-US"/>
        </w:rPr>
        <w:t>connected</w:t>
      </w:r>
      <w:r w:rsidRPr="008A4C17">
        <w:rPr>
          <w:rFonts w:ascii="Arial" w:hAnsi="Arial" w:cs="Arial"/>
          <w:bCs/>
          <w:sz w:val="22"/>
          <w:szCs w:val="22"/>
          <w:lang w:eastAsia="en-US"/>
        </w:rPr>
        <w:t xml:space="preserve"> to su</w:t>
      </w:r>
      <w:r w:rsidR="002E74D5" w:rsidRPr="008A4C17">
        <w:rPr>
          <w:rFonts w:ascii="Arial" w:hAnsi="Arial" w:cs="Arial"/>
          <w:bCs/>
          <w:sz w:val="22"/>
          <w:szCs w:val="22"/>
          <w:lang w:eastAsia="en-US"/>
        </w:rPr>
        <w:t>ch individual or organisation</w:t>
      </w:r>
    </w:p>
    <w:p w14:paraId="01DD2B58" w14:textId="77777777" w:rsidR="00B8068E" w:rsidRPr="008A4C17" w:rsidRDefault="00B8068E" w:rsidP="00615EE5">
      <w:pPr>
        <w:pStyle w:val="Default"/>
        <w:jc w:val="both"/>
        <w:rPr>
          <w:sz w:val="22"/>
          <w:szCs w:val="22"/>
        </w:rPr>
      </w:pPr>
    </w:p>
    <w:p w14:paraId="0E4660F4" w14:textId="736DE4CE" w:rsidR="00BA1A1C" w:rsidRDefault="00D04857" w:rsidP="00D04857">
      <w:pPr>
        <w:pStyle w:val="Default"/>
        <w:jc w:val="both"/>
        <w:rPr>
          <w:sz w:val="22"/>
          <w:szCs w:val="22"/>
        </w:rPr>
      </w:pPr>
      <w:r w:rsidRPr="008A4C17">
        <w:rPr>
          <w:sz w:val="22"/>
          <w:szCs w:val="22"/>
        </w:rPr>
        <w:t xml:space="preserve">A body is </w:t>
      </w:r>
      <w:r w:rsidR="00184B7A">
        <w:rPr>
          <w:sz w:val="22"/>
          <w:szCs w:val="22"/>
        </w:rPr>
        <w:t>connected</w:t>
      </w:r>
      <w:r w:rsidRPr="008A4C17">
        <w:rPr>
          <w:sz w:val="22"/>
          <w:szCs w:val="22"/>
        </w:rPr>
        <w:t xml:space="preserve"> to another individual or organisation if it: </w:t>
      </w:r>
    </w:p>
    <w:p w14:paraId="79A75D21" w14:textId="5CAE6D34" w:rsidR="00BA1A1C" w:rsidRDefault="00BA1A1C" w:rsidP="00BA1A1C">
      <w:pPr>
        <w:pStyle w:val="Default"/>
        <w:numPr>
          <w:ilvl w:val="0"/>
          <w:numId w:val="13"/>
        </w:numPr>
        <w:jc w:val="both"/>
        <w:rPr>
          <w:sz w:val="22"/>
          <w:szCs w:val="22"/>
        </w:rPr>
      </w:pPr>
      <w:r>
        <w:rPr>
          <w:sz w:val="22"/>
          <w:szCs w:val="22"/>
        </w:rPr>
        <w:t xml:space="preserve">is </w:t>
      </w:r>
      <w:r w:rsidR="00D04857" w:rsidRPr="008A4C17">
        <w:rPr>
          <w:sz w:val="22"/>
          <w:szCs w:val="22"/>
        </w:rPr>
        <w:t>controlled by the individual or organisation; or</w:t>
      </w:r>
    </w:p>
    <w:p w14:paraId="1CD28098" w14:textId="77777777" w:rsidR="00BA1A1C" w:rsidRDefault="00D04857" w:rsidP="00BA1A1C">
      <w:pPr>
        <w:pStyle w:val="Default"/>
        <w:numPr>
          <w:ilvl w:val="0"/>
          <w:numId w:val="13"/>
        </w:numPr>
        <w:jc w:val="both"/>
        <w:rPr>
          <w:sz w:val="22"/>
          <w:szCs w:val="22"/>
        </w:rPr>
      </w:pPr>
      <w:r w:rsidRPr="008A4C17">
        <w:rPr>
          <w:sz w:val="22"/>
          <w:szCs w:val="22"/>
        </w:rPr>
        <w:t>controls the organisation; or</w:t>
      </w:r>
    </w:p>
    <w:p w14:paraId="6075A037" w14:textId="77777777" w:rsidR="00BA1A1C" w:rsidRDefault="00D04857" w:rsidP="00BA1A1C">
      <w:pPr>
        <w:pStyle w:val="Default"/>
        <w:numPr>
          <w:ilvl w:val="0"/>
          <w:numId w:val="13"/>
        </w:numPr>
        <w:jc w:val="both"/>
        <w:rPr>
          <w:sz w:val="22"/>
          <w:szCs w:val="22"/>
        </w:rPr>
      </w:pPr>
      <w:r w:rsidRPr="008A4C17">
        <w:rPr>
          <w:sz w:val="22"/>
          <w:szCs w:val="22"/>
        </w:rPr>
        <w:t xml:space="preserve">is under common control with the individual or organisation. </w:t>
      </w:r>
    </w:p>
    <w:p w14:paraId="7085CC81" w14:textId="77777777" w:rsidR="00BA1A1C" w:rsidRDefault="00BA1A1C" w:rsidP="00D04857">
      <w:pPr>
        <w:pStyle w:val="Default"/>
        <w:jc w:val="both"/>
        <w:rPr>
          <w:sz w:val="22"/>
          <w:szCs w:val="22"/>
        </w:rPr>
      </w:pPr>
    </w:p>
    <w:p w14:paraId="21E4A6D6" w14:textId="1F466B9F" w:rsidR="00D04857" w:rsidRPr="008A4C17" w:rsidRDefault="00D04857" w:rsidP="00D04857">
      <w:pPr>
        <w:pStyle w:val="Default"/>
        <w:jc w:val="both"/>
        <w:rPr>
          <w:sz w:val="22"/>
          <w:szCs w:val="22"/>
        </w:rPr>
      </w:pPr>
      <w:r w:rsidRPr="008A4C17">
        <w:rPr>
          <w:sz w:val="22"/>
          <w:szCs w:val="22"/>
        </w:rPr>
        <w:t>For these purposes control means:</w:t>
      </w:r>
    </w:p>
    <w:p w14:paraId="5BE13130" w14:textId="77777777" w:rsidR="00D04857" w:rsidRPr="008A4C17" w:rsidRDefault="00D04857" w:rsidP="00D04857">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holding more than 20% of the share capital (or equivalent interest), or</w:t>
      </w:r>
    </w:p>
    <w:p w14:paraId="6928E948" w14:textId="77777777" w:rsidR="00D04857" w:rsidRPr="008A4C17" w:rsidRDefault="00D04857" w:rsidP="00D04857">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having the equivalent right to control management decisions of the body, or</w:t>
      </w:r>
    </w:p>
    <w:p w14:paraId="618A701B" w14:textId="77777777" w:rsidR="00D04857" w:rsidRPr="008A4C17" w:rsidRDefault="00D04857" w:rsidP="00D04857">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having the right to appoint or remove a majority of the board or governing body</w:t>
      </w:r>
    </w:p>
    <w:p w14:paraId="16FBACCE" w14:textId="77777777" w:rsidR="00D04857" w:rsidRDefault="00D04857" w:rsidP="000633A3">
      <w:pPr>
        <w:pStyle w:val="Default"/>
        <w:jc w:val="both"/>
        <w:rPr>
          <w:sz w:val="22"/>
          <w:szCs w:val="22"/>
        </w:rPr>
      </w:pPr>
    </w:p>
    <w:p w14:paraId="50210B04" w14:textId="77777777" w:rsidR="00D04857" w:rsidRPr="008A4C17" w:rsidRDefault="00D04857" w:rsidP="000633A3">
      <w:pPr>
        <w:pStyle w:val="Default"/>
        <w:jc w:val="both"/>
        <w:rPr>
          <w:sz w:val="22"/>
          <w:szCs w:val="22"/>
        </w:rPr>
      </w:pPr>
      <w:r w:rsidRPr="008A4C17">
        <w:rPr>
          <w:sz w:val="22"/>
          <w:szCs w:val="22"/>
        </w:rPr>
        <w:t xml:space="preserve">The ‘at cost’ requirement does not apply to the </w:t>
      </w:r>
      <w:r w:rsidR="00184B7A">
        <w:rPr>
          <w:sz w:val="22"/>
          <w:szCs w:val="22"/>
        </w:rPr>
        <w:t>T</w:t>
      </w:r>
      <w:r w:rsidRPr="008A4C17">
        <w:rPr>
          <w:sz w:val="22"/>
          <w:szCs w:val="22"/>
        </w:rPr>
        <w:t>rust’s employees unless they are also one of the parties as described above.</w:t>
      </w:r>
    </w:p>
    <w:p w14:paraId="1EB06A6D" w14:textId="77777777" w:rsidR="00D04857" w:rsidRPr="008A4C17" w:rsidRDefault="00D04857" w:rsidP="00615EE5">
      <w:pPr>
        <w:pStyle w:val="Default"/>
        <w:jc w:val="both"/>
        <w:rPr>
          <w:sz w:val="22"/>
          <w:szCs w:val="22"/>
        </w:rPr>
      </w:pPr>
    </w:p>
    <w:p w14:paraId="70EFA67F" w14:textId="77777777" w:rsidR="00B8068E" w:rsidRPr="008A4C17" w:rsidRDefault="00D04857" w:rsidP="00615EE5">
      <w:pPr>
        <w:pStyle w:val="Default"/>
        <w:jc w:val="both"/>
        <w:rPr>
          <w:sz w:val="22"/>
          <w:szCs w:val="22"/>
        </w:rPr>
      </w:pPr>
      <w:r w:rsidRPr="008A4C17">
        <w:rPr>
          <w:sz w:val="22"/>
          <w:szCs w:val="22"/>
        </w:rPr>
        <w:lastRenderedPageBreak/>
        <w:t>Whil</w:t>
      </w:r>
      <w:r w:rsidR="00184B7A">
        <w:rPr>
          <w:sz w:val="22"/>
          <w:szCs w:val="22"/>
        </w:rPr>
        <w:t>e</w:t>
      </w:r>
      <w:r w:rsidRPr="008A4C17">
        <w:rPr>
          <w:sz w:val="22"/>
          <w:szCs w:val="22"/>
        </w:rPr>
        <w:t xml:space="preserve"> these provisions do not apply to contracts of employment, the same principles of securing value for money and using public money properly, including managing conflicts of interest, will still apply. Salaries should be appropriate to the individual’s skills and experience and </w:t>
      </w:r>
      <w:r w:rsidR="00184B7A">
        <w:rPr>
          <w:sz w:val="22"/>
          <w:szCs w:val="22"/>
        </w:rPr>
        <w:t>to</w:t>
      </w:r>
      <w:r w:rsidRPr="008A4C17">
        <w:rPr>
          <w:sz w:val="22"/>
          <w:szCs w:val="22"/>
        </w:rPr>
        <w:t xml:space="preserve"> rates in the wider market.</w:t>
      </w:r>
    </w:p>
    <w:p w14:paraId="34D33A3E" w14:textId="77777777" w:rsidR="00B8068E" w:rsidRPr="008A4C17" w:rsidRDefault="00B8068E" w:rsidP="00615EE5">
      <w:pPr>
        <w:pStyle w:val="Default"/>
        <w:jc w:val="both"/>
        <w:rPr>
          <w:sz w:val="22"/>
          <w:szCs w:val="22"/>
        </w:rPr>
      </w:pPr>
    </w:p>
    <w:p w14:paraId="266E29C7" w14:textId="138633FF" w:rsidR="00B8068E" w:rsidRPr="008A4C17" w:rsidRDefault="00D04857" w:rsidP="00615EE5">
      <w:pPr>
        <w:pStyle w:val="Default"/>
        <w:jc w:val="both"/>
        <w:rPr>
          <w:sz w:val="22"/>
          <w:szCs w:val="22"/>
        </w:rPr>
      </w:pPr>
      <w:r w:rsidRPr="008A4C17">
        <w:rPr>
          <w:sz w:val="22"/>
          <w:szCs w:val="22"/>
        </w:rPr>
        <w:t xml:space="preserve">Should any staff/personnel of an individual or organisation referred to </w:t>
      </w:r>
      <w:r w:rsidR="00625A52" w:rsidRPr="008A4C17">
        <w:rPr>
          <w:sz w:val="22"/>
          <w:szCs w:val="22"/>
        </w:rPr>
        <w:t xml:space="preserve">above </w:t>
      </w:r>
      <w:r w:rsidRPr="008A4C17">
        <w:rPr>
          <w:sz w:val="22"/>
          <w:szCs w:val="22"/>
        </w:rPr>
        <w:t xml:space="preserve">be based in, or work from the premises of the </w:t>
      </w:r>
      <w:r w:rsidR="00184B7A">
        <w:rPr>
          <w:sz w:val="22"/>
          <w:szCs w:val="22"/>
        </w:rPr>
        <w:t>T</w:t>
      </w:r>
      <w:r w:rsidRPr="008A4C17">
        <w:rPr>
          <w:sz w:val="22"/>
          <w:szCs w:val="22"/>
        </w:rPr>
        <w:t xml:space="preserve">rust, that individual/organisation and the </w:t>
      </w:r>
      <w:r w:rsidR="00184B7A">
        <w:rPr>
          <w:sz w:val="22"/>
          <w:szCs w:val="22"/>
        </w:rPr>
        <w:t>T</w:t>
      </w:r>
      <w:r w:rsidRPr="008A4C17">
        <w:rPr>
          <w:sz w:val="22"/>
          <w:szCs w:val="22"/>
        </w:rPr>
        <w:t xml:space="preserve">rust must agree an appropriate sum to be paid to the </w:t>
      </w:r>
      <w:r w:rsidR="00184B7A">
        <w:rPr>
          <w:sz w:val="22"/>
          <w:szCs w:val="22"/>
        </w:rPr>
        <w:t>T</w:t>
      </w:r>
      <w:r w:rsidRPr="008A4C17">
        <w:rPr>
          <w:sz w:val="22"/>
          <w:szCs w:val="22"/>
        </w:rPr>
        <w:t xml:space="preserve">rust for such use/occupation of the premises, save to the extent that they are carrying out work for the </w:t>
      </w:r>
      <w:r w:rsidR="00184B7A">
        <w:rPr>
          <w:sz w:val="22"/>
          <w:szCs w:val="22"/>
        </w:rPr>
        <w:t>T</w:t>
      </w:r>
      <w:r w:rsidRPr="008A4C17">
        <w:rPr>
          <w:sz w:val="22"/>
          <w:szCs w:val="22"/>
        </w:rPr>
        <w:t>rust.</w:t>
      </w:r>
    </w:p>
    <w:p w14:paraId="6B45752E" w14:textId="77777777" w:rsidR="00B8068E" w:rsidRPr="008A4C17" w:rsidRDefault="00B8068E" w:rsidP="00615EE5">
      <w:pPr>
        <w:pStyle w:val="Default"/>
        <w:jc w:val="both"/>
        <w:rPr>
          <w:sz w:val="22"/>
          <w:szCs w:val="22"/>
        </w:rPr>
      </w:pPr>
    </w:p>
    <w:p w14:paraId="62AD6743" w14:textId="77777777" w:rsidR="00184B7A" w:rsidRPr="00184B7A" w:rsidRDefault="000633A3" w:rsidP="00615EE5">
      <w:pPr>
        <w:pStyle w:val="Default"/>
        <w:jc w:val="both"/>
        <w:rPr>
          <w:sz w:val="22"/>
          <w:szCs w:val="22"/>
        </w:rPr>
      </w:pPr>
      <w:r w:rsidRPr="00184B7A">
        <w:rPr>
          <w:sz w:val="22"/>
          <w:szCs w:val="22"/>
        </w:rPr>
        <w:t xml:space="preserve">The ‘at cost’ requirement applies to contracts for goods and services from a </w:t>
      </w:r>
      <w:r w:rsidR="00184B7A" w:rsidRPr="00184B7A">
        <w:rPr>
          <w:sz w:val="22"/>
          <w:szCs w:val="22"/>
        </w:rPr>
        <w:t>related</w:t>
      </w:r>
      <w:r w:rsidRPr="00184B7A">
        <w:rPr>
          <w:sz w:val="22"/>
          <w:szCs w:val="22"/>
        </w:rPr>
        <w:t xml:space="preserve"> party </w:t>
      </w:r>
      <w:r w:rsidR="00184B7A" w:rsidRPr="00184B7A">
        <w:rPr>
          <w:sz w:val="22"/>
          <w:szCs w:val="22"/>
        </w:rPr>
        <w:t xml:space="preserve">agreed on or after 7 November </w:t>
      </w:r>
      <w:r w:rsidR="00184B7A" w:rsidRPr="00BA1A1C">
        <w:rPr>
          <w:sz w:val="22"/>
          <w:szCs w:val="22"/>
        </w:rPr>
        <w:t>2013.</w:t>
      </w:r>
      <w:r w:rsidR="00184B7A" w:rsidRPr="00184B7A">
        <w:rPr>
          <w:sz w:val="22"/>
          <w:szCs w:val="22"/>
        </w:rPr>
        <w:t xml:space="preserve"> </w:t>
      </w:r>
    </w:p>
    <w:p w14:paraId="315F516E" w14:textId="77777777" w:rsidR="00184B7A" w:rsidRPr="00184B7A" w:rsidRDefault="00184B7A" w:rsidP="00615EE5">
      <w:pPr>
        <w:pStyle w:val="Default"/>
        <w:jc w:val="both"/>
        <w:rPr>
          <w:sz w:val="22"/>
          <w:szCs w:val="22"/>
        </w:rPr>
      </w:pPr>
    </w:p>
    <w:p w14:paraId="30C3A581" w14:textId="77777777" w:rsidR="00B8068E" w:rsidRPr="008A4C17" w:rsidRDefault="00184B7A" w:rsidP="00615EE5">
      <w:pPr>
        <w:pStyle w:val="Default"/>
        <w:jc w:val="both"/>
        <w:rPr>
          <w:sz w:val="22"/>
          <w:szCs w:val="22"/>
        </w:rPr>
      </w:pPr>
      <w:r w:rsidRPr="00184B7A">
        <w:rPr>
          <w:sz w:val="22"/>
          <w:szCs w:val="22"/>
        </w:rPr>
        <w:t xml:space="preserve">The ‘at cost’ requirement applies to contracts for goods and services from a related party </w:t>
      </w:r>
      <w:r w:rsidR="000633A3" w:rsidRPr="00184B7A">
        <w:rPr>
          <w:sz w:val="22"/>
          <w:szCs w:val="22"/>
        </w:rPr>
        <w:t>exceeding £2,500, cumulatively, in any</w:t>
      </w:r>
      <w:r w:rsidRPr="00184B7A">
        <w:rPr>
          <w:sz w:val="22"/>
          <w:szCs w:val="22"/>
        </w:rPr>
        <w:t xml:space="preserve"> one financial year</w:t>
      </w:r>
      <w:r w:rsidR="000633A3" w:rsidRPr="00184B7A">
        <w:rPr>
          <w:sz w:val="22"/>
          <w:szCs w:val="22"/>
        </w:rPr>
        <w:t xml:space="preserve">. For these purposes, where a contract takes the </w:t>
      </w:r>
      <w:r w:rsidRPr="00184B7A">
        <w:rPr>
          <w:sz w:val="22"/>
          <w:szCs w:val="22"/>
        </w:rPr>
        <w:t>T</w:t>
      </w:r>
      <w:r w:rsidR="000633A3" w:rsidRPr="00184B7A">
        <w:rPr>
          <w:sz w:val="22"/>
          <w:szCs w:val="22"/>
        </w:rPr>
        <w:t xml:space="preserve">rust’s cumulative annual total with the </w:t>
      </w:r>
      <w:r w:rsidRPr="00184B7A">
        <w:rPr>
          <w:sz w:val="22"/>
          <w:szCs w:val="22"/>
        </w:rPr>
        <w:t>relat</w:t>
      </w:r>
      <w:r w:rsidR="000633A3" w:rsidRPr="00184B7A">
        <w:rPr>
          <w:sz w:val="22"/>
          <w:szCs w:val="22"/>
        </w:rPr>
        <w:t>ed party beyond £2,500, the element above £2,500 must be at no more than cost.</w:t>
      </w:r>
    </w:p>
    <w:p w14:paraId="5CB116B6" w14:textId="77777777" w:rsidR="00B8068E" w:rsidRPr="008A4C17" w:rsidRDefault="00B8068E" w:rsidP="00615EE5">
      <w:pPr>
        <w:pStyle w:val="Default"/>
        <w:jc w:val="both"/>
        <w:rPr>
          <w:sz w:val="22"/>
          <w:szCs w:val="22"/>
        </w:rPr>
      </w:pPr>
    </w:p>
    <w:p w14:paraId="10C11D96" w14:textId="77777777" w:rsidR="00B8068E" w:rsidRPr="008A4C17" w:rsidRDefault="00350E48" w:rsidP="00615EE5">
      <w:pPr>
        <w:pStyle w:val="Default"/>
        <w:jc w:val="both"/>
        <w:rPr>
          <w:sz w:val="22"/>
          <w:szCs w:val="22"/>
        </w:rPr>
      </w:pPr>
      <w:r w:rsidRPr="008A4C17">
        <w:rPr>
          <w:sz w:val="22"/>
          <w:szCs w:val="22"/>
        </w:rPr>
        <w:t xml:space="preserve">In relation to organisations supplying legal advice or audit services to the </w:t>
      </w:r>
      <w:r w:rsidR="007E5F5B">
        <w:rPr>
          <w:sz w:val="22"/>
          <w:szCs w:val="22"/>
        </w:rPr>
        <w:t>T</w:t>
      </w:r>
      <w:r w:rsidRPr="008A4C17">
        <w:rPr>
          <w:sz w:val="22"/>
          <w:szCs w:val="22"/>
        </w:rPr>
        <w:t xml:space="preserve">rust, the ‘at cost’ requirement applies where the organisation’s partner directly managing the service is a member or trustee of the </w:t>
      </w:r>
      <w:r w:rsidR="007E5F5B">
        <w:rPr>
          <w:sz w:val="22"/>
          <w:szCs w:val="22"/>
        </w:rPr>
        <w:t>T</w:t>
      </w:r>
      <w:r w:rsidRPr="008A4C17">
        <w:rPr>
          <w:sz w:val="22"/>
          <w:szCs w:val="22"/>
        </w:rPr>
        <w:t>rust but not in other cases for those organisations. The published ethical standards for auditors also prevent partners or employees of the audit firm from acting as a trustee of their client trust, but not of other trusts.</w:t>
      </w:r>
    </w:p>
    <w:p w14:paraId="5B98B252" w14:textId="77777777" w:rsidR="00B8068E" w:rsidRDefault="00B8068E" w:rsidP="00615EE5">
      <w:pPr>
        <w:pStyle w:val="Default"/>
        <w:jc w:val="both"/>
        <w:rPr>
          <w:sz w:val="22"/>
          <w:szCs w:val="22"/>
        </w:rPr>
      </w:pPr>
    </w:p>
    <w:p w14:paraId="0BFDE1CA" w14:textId="77777777" w:rsidR="007E5F5B" w:rsidRPr="008A4C17" w:rsidRDefault="007E5F5B" w:rsidP="007E5F5B">
      <w:pPr>
        <w:pStyle w:val="Default"/>
        <w:jc w:val="both"/>
        <w:rPr>
          <w:sz w:val="22"/>
          <w:szCs w:val="22"/>
        </w:rPr>
      </w:pPr>
      <w:r>
        <w:rPr>
          <w:sz w:val="22"/>
          <w:szCs w:val="22"/>
        </w:rPr>
        <w:t>The Trust must ensure that a</w:t>
      </w:r>
      <w:r w:rsidRPr="008A4C17">
        <w:rPr>
          <w:sz w:val="22"/>
          <w:szCs w:val="22"/>
        </w:rPr>
        <w:t>ny agreement with a</w:t>
      </w:r>
      <w:r>
        <w:rPr>
          <w:sz w:val="22"/>
          <w:szCs w:val="22"/>
        </w:rPr>
        <w:t xml:space="preserve">n </w:t>
      </w:r>
      <w:r w:rsidRPr="008A4C17">
        <w:rPr>
          <w:sz w:val="22"/>
          <w:szCs w:val="22"/>
        </w:rPr>
        <w:t xml:space="preserve">individual or organisation to supply goods or services to the </w:t>
      </w:r>
      <w:r>
        <w:rPr>
          <w:sz w:val="22"/>
          <w:szCs w:val="22"/>
        </w:rPr>
        <w:t>T</w:t>
      </w:r>
      <w:r w:rsidRPr="008A4C17">
        <w:rPr>
          <w:sz w:val="22"/>
          <w:szCs w:val="22"/>
        </w:rPr>
        <w:t xml:space="preserve">rust </w:t>
      </w:r>
      <w:r>
        <w:rPr>
          <w:sz w:val="22"/>
          <w:szCs w:val="22"/>
        </w:rPr>
        <w:t xml:space="preserve">is </w:t>
      </w:r>
      <w:r w:rsidRPr="008A4C17">
        <w:rPr>
          <w:sz w:val="22"/>
          <w:szCs w:val="22"/>
        </w:rPr>
        <w:t>properly procured through an open and fair process</w:t>
      </w:r>
      <w:r>
        <w:rPr>
          <w:sz w:val="22"/>
          <w:szCs w:val="22"/>
        </w:rPr>
        <w:t xml:space="preserve"> </w:t>
      </w:r>
      <w:r w:rsidRPr="008A4C17">
        <w:rPr>
          <w:sz w:val="22"/>
          <w:szCs w:val="22"/>
        </w:rPr>
        <w:t>and is:</w:t>
      </w:r>
    </w:p>
    <w:p w14:paraId="25CBA860" w14:textId="77777777" w:rsidR="007E5F5B" w:rsidRPr="008A4C17" w:rsidRDefault="007E5F5B" w:rsidP="007E5F5B">
      <w:pPr>
        <w:pStyle w:val="Default"/>
        <w:jc w:val="both"/>
        <w:rPr>
          <w:sz w:val="22"/>
          <w:szCs w:val="22"/>
        </w:rPr>
      </w:pPr>
    </w:p>
    <w:p w14:paraId="110721E0" w14:textId="77777777" w:rsidR="007E5F5B" w:rsidRPr="008A4C17" w:rsidRDefault="007E5F5B" w:rsidP="007E5F5B">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supported by a statement of assurance from that individual or organisation to the </w:t>
      </w:r>
      <w:r>
        <w:rPr>
          <w:rFonts w:ascii="Arial" w:hAnsi="Arial" w:cs="Arial"/>
          <w:bCs/>
          <w:sz w:val="22"/>
          <w:szCs w:val="22"/>
          <w:lang w:eastAsia="en-US"/>
        </w:rPr>
        <w:t>T</w:t>
      </w:r>
      <w:r w:rsidRPr="008A4C17">
        <w:rPr>
          <w:rFonts w:ascii="Arial" w:hAnsi="Arial" w:cs="Arial"/>
          <w:bCs/>
          <w:sz w:val="22"/>
          <w:szCs w:val="22"/>
          <w:lang w:eastAsia="en-US"/>
        </w:rPr>
        <w:t>rust confirming that their charges do not exceed the cost of the goods or services, and</w:t>
      </w:r>
    </w:p>
    <w:p w14:paraId="59AB4E4A" w14:textId="77777777" w:rsidR="007E5F5B" w:rsidRPr="008A4C17" w:rsidRDefault="007E5F5B" w:rsidP="007E5F5B">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on the basis of an open book agreement including a requirement for the supplier to demonstrate clearly, if requested, that their charges do not exceed the cost of supply</w:t>
      </w:r>
    </w:p>
    <w:p w14:paraId="1BE74467" w14:textId="77777777" w:rsidR="007E5F5B" w:rsidRDefault="007E5F5B" w:rsidP="00615EE5">
      <w:pPr>
        <w:pStyle w:val="Default"/>
        <w:jc w:val="both"/>
        <w:rPr>
          <w:sz w:val="22"/>
          <w:szCs w:val="22"/>
        </w:rPr>
      </w:pPr>
    </w:p>
    <w:p w14:paraId="1237DCE4" w14:textId="77777777" w:rsidR="003F78FA" w:rsidRPr="008A4C17" w:rsidRDefault="003F78FA" w:rsidP="003F78FA">
      <w:pPr>
        <w:pStyle w:val="Default"/>
        <w:jc w:val="both"/>
        <w:rPr>
          <w:sz w:val="22"/>
          <w:szCs w:val="22"/>
        </w:rPr>
      </w:pPr>
      <w:r w:rsidRPr="008A4C17">
        <w:rPr>
          <w:sz w:val="22"/>
          <w:szCs w:val="22"/>
        </w:rPr>
        <w:t xml:space="preserve">For the purposes </w:t>
      </w:r>
      <w:r w:rsidR="007E5F5B">
        <w:rPr>
          <w:sz w:val="22"/>
          <w:szCs w:val="22"/>
        </w:rPr>
        <w:t xml:space="preserve">the cost will be the </w:t>
      </w:r>
      <w:r w:rsidRPr="008A4C17">
        <w:rPr>
          <w:sz w:val="22"/>
          <w:szCs w:val="22"/>
        </w:rPr>
        <w:t>‘full cost’ of all the resources used in supplying the goods or services</w:t>
      </w:r>
      <w:r w:rsidR="007E5F5B">
        <w:rPr>
          <w:sz w:val="22"/>
          <w:szCs w:val="22"/>
        </w:rPr>
        <w:t>, and must not include any profit</w:t>
      </w:r>
      <w:r w:rsidRPr="008A4C17">
        <w:rPr>
          <w:sz w:val="22"/>
          <w:szCs w:val="22"/>
        </w:rPr>
        <w:t>. Full cost includes:</w:t>
      </w:r>
    </w:p>
    <w:p w14:paraId="0421D685" w14:textId="77777777" w:rsidR="003F78FA" w:rsidRPr="008A4C17" w:rsidRDefault="003F78FA" w:rsidP="003F78FA">
      <w:pPr>
        <w:pStyle w:val="Default"/>
        <w:jc w:val="both"/>
        <w:rPr>
          <w:sz w:val="22"/>
          <w:szCs w:val="22"/>
        </w:rPr>
      </w:pPr>
    </w:p>
    <w:p w14:paraId="212F6EEE" w14:textId="77777777" w:rsidR="003F78FA" w:rsidRPr="008A4C17" w:rsidRDefault="003F78FA" w:rsidP="003F78FA">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all direct costs (the costs of any materials and labour used directly in producing the goods or services) </w:t>
      </w:r>
    </w:p>
    <w:p w14:paraId="33BF664C" w14:textId="77777777" w:rsidR="003F78FA" w:rsidRPr="008A4C17" w:rsidRDefault="003F78FA" w:rsidP="003F78FA">
      <w:pPr>
        <w:pStyle w:val="ListParagraph"/>
        <w:numPr>
          <w:ilvl w:val="1"/>
          <w:numId w:val="9"/>
        </w:numPr>
        <w:tabs>
          <w:tab w:val="left" w:pos="709"/>
        </w:tabs>
        <w:ind w:left="709" w:hanging="425"/>
        <w:contextualSpacing w:val="0"/>
        <w:jc w:val="both"/>
        <w:rPr>
          <w:rFonts w:ascii="Arial" w:hAnsi="Arial" w:cs="Arial"/>
          <w:bCs/>
          <w:sz w:val="22"/>
          <w:szCs w:val="22"/>
          <w:lang w:eastAsia="en-US"/>
        </w:rPr>
      </w:pPr>
      <w:r w:rsidRPr="008A4C17">
        <w:rPr>
          <w:rFonts w:ascii="Arial" w:hAnsi="Arial" w:cs="Arial"/>
          <w:bCs/>
          <w:sz w:val="22"/>
          <w:szCs w:val="22"/>
          <w:lang w:eastAsia="en-US"/>
        </w:rPr>
        <w:t xml:space="preserve">indirect costs (a proportionate and reasonable share of fixed and variable overheads) </w:t>
      </w:r>
    </w:p>
    <w:p w14:paraId="50C4302C" w14:textId="77777777" w:rsidR="003F78FA" w:rsidRPr="008A4C17" w:rsidRDefault="003F78FA" w:rsidP="003F78FA">
      <w:pPr>
        <w:pStyle w:val="Default"/>
        <w:jc w:val="both"/>
        <w:rPr>
          <w:sz w:val="22"/>
          <w:szCs w:val="22"/>
        </w:rPr>
      </w:pPr>
    </w:p>
    <w:sectPr w:rsidR="003F78FA" w:rsidRPr="008A4C17" w:rsidSect="00E5311F">
      <w:pgSz w:w="11906" w:h="16838"/>
      <w:pgMar w:top="1134" w:right="1247"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DE61" w14:textId="77777777" w:rsidR="00762F71" w:rsidRDefault="00762F71" w:rsidP="00762F71">
      <w:r>
        <w:separator/>
      </w:r>
    </w:p>
  </w:endnote>
  <w:endnote w:type="continuationSeparator" w:id="0">
    <w:p w14:paraId="76309A89" w14:textId="77777777" w:rsidR="00762F71" w:rsidRDefault="00762F71" w:rsidP="0076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122174"/>
      <w:docPartObj>
        <w:docPartGallery w:val="Page Numbers (Bottom of Page)"/>
        <w:docPartUnique/>
      </w:docPartObj>
    </w:sdtPr>
    <w:sdtEndPr>
      <w:rPr>
        <w:noProof/>
      </w:rPr>
    </w:sdtEndPr>
    <w:sdtContent>
      <w:p w14:paraId="00C43F8F" w14:textId="77777777" w:rsidR="00F47057" w:rsidRDefault="00F47057">
        <w:pPr>
          <w:pStyle w:val="Footer"/>
          <w:jc w:val="center"/>
        </w:pPr>
        <w:r>
          <w:fldChar w:fldCharType="begin"/>
        </w:r>
        <w:r>
          <w:instrText xml:space="preserve"> PAGE   \* MERGEFORMAT </w:instrText>
        </w:r>
        <w:r>
          <w:fldChar w:fldCharType="separate"/>
        </w:r>
        <w:r w:rsidR="002F52C3">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D019" w14:textId="77777777" w:rsidR="00762F71" w:rsidRPr="00762F71" w:rsidRDefault="00762F7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FAD4" w14:textId="77777777" w:rsidR="00762F71" w:rsidRDefault="00762F71" w:rsidP="00762F71">
      <w:r>
        <w:separator/>
      </w:r>
    </w:p>
  </w:footnote>
  <w:footnote w:type="continuationSeparator" w:id="0">
    <w:p w14:paraId="1D6DB6DB" w14:textId="77777777" w:rsidR="00762F71" w:rsidRDefault="00762F71" w:rsidP="0076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0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42637"/>
    <w:multiLevelType w:val="hybridMultilevel"/>
    <w:tmpl w:val="8BC472B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8F3929"/>
    <w:multiLevelType w:val="hybridMultilevel"/>
    <w:tmpl w:val="33DE4334"/>
    <w:lvl w:ilvl="0" w:tplc="08090017">
      <w:start w:val="1"/>
      <w:numFmt w:val="lowerLetter"/>
      <w:lvlText w:val="%1)"/>
      <w:lvlJc w:val="left"/>
      <w:pPr>
        <w:ind w:left="720" w:hanging="360"/>
      </w:pPr>
    </w:lvl>
    <w:lvl w:ilvl="1" w:tplc="C5F6096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A6B02"/>
    <w:multiLevelType w:val="multilevel"/>
    <w:tmpl w:val="EF88EFB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0F096F"/>
    <w:multiLevelType w:val="hybridMultilevel"/>
    <w:tmpl w:val="0B1A33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D669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7550AA"/>
    <w:multiLevelType w:val="hybridMultilevel"/>
    <w:tmpl w:val="8AC6443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9C6A87"/>
    <w:multiLevelType w:val="hybridMultilevel"/>
    <w:tmpl w:val="20E8D0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C5E62"/>
    <w:multiLevelType w:val="hybridMultilevel"/>
    <w:tmpl w:val="98069EB4"/>
    <w:lvl w:ilvl="0" w:tplc="0809000F">
      <w:start w:val="1"/>
      <w:numFmt w:val="decimal"/>
      <w:lvlText w:val="%1."/>
      <w:lvlJc w:val="left"/>
      <w:pPr>
        <w:ind w:left="720" w:hanging="360"/>
      </w:pPr>
    </w:lvl>
    <w:lvl w:ilvl="1" w:tplc="C5F6096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42A5"/>
    <w:multiLevelType w:val="multilevel"/>
    <w:tmpl w:val="FC8E9A2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50162B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885772"/>
    <w:multiLevelType w:val="hybridMultilevel"/>
    <w:tmpl w:val="ECE48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A5E51"/>
    <w:multiLevelType w:val="multilevel"/>
    <w:tmpl w:val="4434044C"/>
    <w:lvl w:ilvl="0">
      <w:numFmt w:val="bullet"/>
      <w:lvlText w:val=""/>
      <w:lvlJc w:val="left"/>
      <w:pPr>
        <w:ind w:left="494" w:hanging="360"/>
      </w:pPr>
      <w:rPr>
        <w:rFonts w:ascii="Symbol" w:hAnsi="Symbol"/>
      </w:rPr>
    </w:lvl>
    <w:lvl w:ilvl="1">
      <w:numFmt w:val="bullet"/>
      <w:lvlText w:val="o"/>
      <w:lvlJc w:val="left"/>
      <w:pPr>
        <w:ind w:left="1214" w:hanging="360"/>
      </w:pPr>
      <w:rPr>
        <w:rFonts w:ascii="Courier New" w:hAnsi="Courier New" w:cs="Courier New"/>
      </w:rPr>
    </w:lvl>
    <w:lvl w:ilvl="2">
      <w:numFmt w:val="bullet"/>
      <w:lvlText w:val=""/>
      <w:lvlJc w:val="left"/>
      <w:pPr>
        <w:ind w:left="1934" w:hanging="360"/>
      </w:pPr>
      <w:rPr>
        <w:rFonts w:ascii="Wingdings" w:hAnsi="Wingdings"/>
      </w:rPr>
    </w:lvl>
    <w:lvl w:ilvl="3">
      <w:numFmt w:val="bullet"/>
      <w:lvlText w:val=""/>
      <w:lvlJc w:val="left"/>
      <w:pPr>
        <w:ind w:left="2654" w:hanging="360"/>
      </w:pPr>
      <w:rPr>
        <w:rFonts w:ascii="Symbol" w:hAnsi="Symbol"/>
      </w:rPr>
    </w:lvl>
    <w:lvl w:ilvl="4">
      <w:numFmt w:val="bullet"/>
      <w:lvlText w:val="o"/>
      <w:lvlJc w:val="left"/>
      <w:pPr>
        <w:ind w:left="3374" w:hanging="360"/>
      </w:pPr>
      <w:rPr>
        <w:rFonts w:ascii="Courier New" w:hAnsi="Courier New" w:cs="Courier New"/>
      </w:rPr>
    </w:lvl>
    <w:lvl w:ilvl="5">
      <w:numFmt w:val="bullet"/>
      <w:lvlText w:val=""/>
      <w:lvlJc w:val="left"/>
      <w:pPr>
        <w:ind w:left="4094" w:hanging="360"/>
      </w:pPr>
      <w:rPr>
        <w:rFonts w:ascii="Wingdings" w:hAnsi="Wingdings"/>
      </w:rPr>
    </w:lvl>
    <w:lvl w:ilvl="6">
      <w:numFmt w:val="bullet"/>
      <w:lvlText w:val=""/>
      <w:lvlJc w:val="left"/>
      <w:pPr>
        <w:ind w:left="4814" w:hanging="360"/>
      </w:pPr>
      <w:rPr>
        <w:rFonts w:ascii="Symbol" w:hAnsi="Symbol"/>
      </w:rPr>
    </w:lvl>
    <w:lvl w:ilvl="7">
      <w:numFmt w:val="bullet"/>
      <w:lvlText w:val="o"/>
      <w:lvlJc w:val="left"/>
      <w:pPr>
        <w:ind w:left="5534" w:hanging="360"/>
      </w:pPr>
      <w:rPr>
        <w:rFonts w:ascii="Courier New" w:hAnsi="Courier New" w:cs="Courier New"/>
      </w:rPr>
    </w:lvl>
    <w:lvl w:ilvl="8">
      <w:numFmt w:val="bullet"/>
      <w:lvlText w:val=""/>
      <w:lvlJc w:val="left"/>
      <w:pPr>
        <w:ind w:left="6254" w:hanging="360"/>
      </w:pPr>
      <w:rPr>
        <w:rFonts w:ascii="Wingdings" w:hAnsi="Wingdings"/>
      </w:rPr>
    </w:lvl>
  </w:abstractNum>
  <w:num w:numId="1" w16cid:durableId="463548934">
    <w:abstractNumId w:val="4"/>
  </w:num>
  <w:num w:numId="2" w16cid:durableId="1201434279">
    <w:abstractNumId w:val="11"/>
  </w:num>
  <w:num w:numId="3" w16cid:durableId="1546480435">
    <w:abstractNumId w:val="3"/>
  </w:num>
  <w:num w:numId="4" w16cid:durableId="1885823581">
    <w:abstractNumId w:val="9"/>
  </w:num>
  <w:num w:numId="5" w16cid:durableId="114719394">
    <w:abstractNumId w:val="12"/>
  </w:num>
  <w:num w:numId="6" w16cid:durableId="2146001938">
    <w:abstractNumId w:val="8"/>
  </w:num>
  <w:num w:numId="7" w16cid:durableId="72358888">
    <w:abstractNumId w:val="0"/>
  </w:num>
  <w:num w:numId="8" w16cid:durableId="1371105402">
    <w:abstractNumId w:val="1"/>
  </w:num>
  <w:num w:numId="9" w16cid:durableId="1457479659">
    <w:abstractNumId w:val="6"/>
  </w:num>
  <w:num w:numId="10" w16cid:durableId="1392460714">
    <w:abstractNumId w:val="10"/>
  </w:num>
  <w:num w:numId="11" w16cid:durableId="131674194">
    <w:abstractNumId w:val="5"/>
  </w:num>
  <w:num w:numId="12" w16cid:durableId="102923279">
    <w:abstractNumId w:val="2"/>
  </w:num>
  <w:num w:numId="13" w16cid:durableId="1482574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CFD"/>
    <w:rsid w:val="0000604D"/>
    <w:rsid w:val="00010D73"/>
    <w:rsid w:val="000171C8"/>
    <w:rsid w:val="000446A7"/>
    <w:rsid w:val="00056E43"/>
    <w:rsid w:val="000633A3"/>
    <w:rsid w:val="00066200"/>
    <w:rsid w:val="000A6F6A"/>
    <w:rsid w:val="000E1A52"/>
    <w:rsid w:val="000F09DC"/>
    <w:rsid w:val="0016122A"/>
    <w:rsid w:val="0017216F"/>
    <w:rsid w:val="00184B7A"/>
    <w:rsid w:val="00192CBB"/>
    <w:rsid w:val="001952B1"/>
    <w:rsid w:val="001D155C"/>
    <w:rsid w:val="001E0D19"/>
    <w:rsid w:val="001E3746"/>
    <w:rsid w:val="001E3B30"/>
    <w:rsid w:val="001F2FC8"/>
    <w:rsid w:val="00230784"/>
    <w:rsid w:val="002814F9"/>
    <w:rsid w:val="002B3707"/>
    <w:rsid w:val="002B4034"/>
    <w:rsid w:val="002E74D5"/>
    <w:rsid w:val="002F52C3"/>
    <w:rsid w:val="002F707A"/>
    <w:rsid w:val="0032277F"/>
    <w:rsid w:val="00323F5F"/>
    <w:rsid w:val="00341D1E"/>
    <w:rsid w:val="00350E48"/>
    <w:rsid w:val="0035561C"/>
    <w:rsid w:val="0037724A"/>
    <w:rsid w:val="003922E2"/>
    <w:rsid w:val="003A38E6"/>
    <w:rsid w:val="003C2CE2"/>
    <w:rsid w:val="003E3E56"/>
    <w:rsid w:val="003F78FA"/>
    <w:rsid w:val="004625D1"/>
    <w:rsid w:val="004757C3"/>
    <w:rsid w:val="00477478"/>
    <w:rsid w:val="00493ECD"/>
    <w:rsid w:val="004A7742"/>
    <w:rsid w:val="004B4666"/>
    <w:rsid w:val="004B6F0B"/>
    <w:rsid w:val="004D45C3"/>
    <w:rsid w:val="004E6735"/>
    <w:rsid w:val="004F1BBB"/>
    <w:rsid w:val="004F7C78"/>
    <w:rsid w:val="005312AB"/>
    <w:rsid w:val="00537802"/>
    <w:rsid w:val="00584E92"/>
    <w:rsid w:val="005901CE"/>
    <w:rsid w:val="005C0A31"/>
    <w:rsid w:val="005C7298"/>
    <w:rsid w:val="005E2BB1"/>
    <w:rsid w:val="00615EE5"/>
    <w:rsid w:val="006217C2"/>
    <w:rsid w:val="006236D7"/>
    <w:rsid w:val="00625A52"/>
    <w:rsid w:val="006264B1"/>
    <w:rsid w:val="0063745A"/>
    <w:rsid w:val="006531EA"/>
    <w:rsid w:val="006821B2"/>
    <w:rsid w:val="006B322F"/>
    <w:rsid w:val="006C2E72"/>
    <w:rsid w:val="006D7618"/>
    <w:rsid w:val="006E1332"/>
    <w:rsid w:val="006E3E12"/>
    <w:rsid w:val="006F22EA"/>
    <w:rsid w:val="006F33CF"/>
    <w:rsid w:val="006F6C02"/>
    <w:rsid w:val="00717A8B"/>
    <w:rsid w:val="00725EF4"/>
    <w:rsid w:val="007333B6"/>
    <w:rsid w:val="00762F71"/>
    <w:rsid w:val="007864D4"/>
    <w:rsid w:val="00787AE6"/>
    <w:rsid w:val="007E5F5B"/>
    <w:rsid w:val="00814131"/>
    <w:rsid w:val="00844110"/>
    <w:rsid w:val="008603E6"/>
    <w:rsid w:val="00861927"/>
    <w:rsid w:val="00892A79"/>
    <w:rsid w:val="008A4C17"/>
    <w:rsid w:val="008C1D60"/>
    <w:rsid w:val="008D5FFC"/>
    <w:rsid w:val="008F2F72"/>
    <w:rsid w:val="0093122B"/>
    <w:rsid w:val="00933EF1"/>
    <w:rsid w:val="00934FB2"/>
    <w:rsid w:val="00937BAB"/>
    <w:rsid w:val="00945F42"/>
    <w:rsid w:val="00972B58"/>
    <w:rsid w:val="009C0B2D"/>
    <w:rsid w:val="009D587C"/>
    <w:rsid w:val="009D6B88"/>
    <w:rsid w:val="009D7763"/>
    <w:rsid w:val="009E2F4B"/>
    <w:rsid w:val="009E5223"/>
    <w:rsid w:val="00A03C86"/>
    <w:rsid w:val="00A16DB0"/>
    <w:rsid w:val="00A202FB"/>
    <w:rsid w:val="00A27B1F"/>
    <w:rsid w:val="00A44408"/>
    <w:rsid w:val="00A4612C"/>
    <w:rsid w:val="00A62D70"/>
    <w:rsid w:val="00A64B37"/>
    <w:rsid w:val="00A94AB6"/>
    <w:rsid w:val="00AA3654"/>
    <w:rsid w:val="00AA3E77"/>
    <w:rsid w:val="00AA708B"/>
    <w:rsid w:val="00AB6E70"/>
    <w:rsid w:val="00B23435"/>
    <w:rsid w:val="00B57327"/>
    <w:rsid w:val="00B57344"/>
    <w:rsid w:val="00B67D1A"/>
    <w:rsid w:val="00B76684"/>
    <w:rsid w:val="00B8068E"/>
    <w:rsid w:val="00B80E23"/>
    <w:rsid w:val="00B8239D"/>
    <w:rsid w:val="00BA1A1C"/>
    <w:rsid w:val="00BC1FFB"/>
    <w:rsid w:val="00BC5805"/>
    <w:rsid w:val="00BD0645"/>
    <w:rsid w:val="00BD57FB"/>
    <w:rsid w:val="00BD791C"/>
    <w:rsid w:val="00BE3C26"/>
    <w:rsid w:val="00BE4946"/>
    <w:rsid w:val="00C05C5C"/>
    <w:rsid w:val="00C13CFD"/>
    <w:rsid w:val="00C14390"/>
    <w:rsid w:val="00C209A9"/>
    <w:rsid w:val="00C304D3"/>
    <w:rsid w:val="00C3349F"/>
    <w:rsid w:val="00C46144"/>
    <w:rsid w:val="00C6041D"/>
    <w:rsid w:val="00C60E3C"/>
    <w:rsid w:val="00C61711"/>
    <w:rsid w:val="00C65FAE"/>
    <w:rsid w:val="00C70F72"/>
    <w:rsid w:val="00CA34A1"/>
    <w:rsid w:val="00CB4FF6"/>
    <w:rsid w:val="00CE73D1"/>
    <w:rsid w:val="00CF0221"/>
    <w:rsid w:val="00D011A5"/>
    <w:rsid w:val="00D04857"/>
    <w:rsid w:val="00D1336C"/>
    <w:rsid w:val="00D47671"/>
    <w:rsid w:val="00D660EB"/>
    <w:rsid w:val="00D76E6B"/>
    <w:rsid w:val="00DF3D3A"/>
    <w:rsid w:val="00E01AD5"/>
    <w:rsid w:val="00E1129E"/>
    <w:rsid w:val="00E13877"/>
    <w:rsid w:val="00E22A33"/>
    <w:rsid w:val="00E3260F"/>
    <w:rsid w:val="00E35EC7"/>
    <w:rsid w:val="00E5311F"/>
    <w:rsid w:val="00E53210"/>
    <w:rsid w:val="00E5454C"/>
    <w:rsid w:val="00E62640"/>
    <w:rsid w:val="00E94C8D"/>
    <w:rsid w:val="00E95D85"/>
    <w:rsid w:val="00F12831"/>
    <w:rsid w:val="00F41A81"/>
    <w:rsid w:val="00F47057"/>
    <w:rsid w:val="00F62BAB"/>
    <w:rsid w:val="00F7041D"/>
    <w:rsid w:val="00F80804"/>
    <w:rsid w:val="00F90980"/>
    <w:rsid w:val="00FA7E39"/>
    <w:rsid w:val="00FD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4FFB45"/>
  <w15:docId w15:val="{A3FB354B-ED91-40D7-BD47-84ABB785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rsid w:val="000F09DC"/>
    <w:pPr>
      <w:pageBreakBefore/>
      <w:suppressAutoHyphens/>
      <w:autoSpaceDN w:val="0"/>
      <w:spacing w:after="240"/>
      <w:textAlignment w:val="baseline"/>
      <w:outlineLvl w:val="0"/>
    </w:pPr>
    <w:rPr>
      <w:rFonts w:ascii="Arial" w:hAnsi="Arial"/>
      <w:b/>
      <w:color w:val="104F75"/>
      <w:sz w:val="36"/>
    </w:rPr>
  </w:style>
  <w:style w:type="paragraph" w:styleId="Heading2">
    <w:name w:val="heading 2"/>
    <w:basedOn w:val="Normal"/>
    <w:next w:val="Normal"/>
    <w:link w:val="Heading2Char"/>
    <w:rsid w:val="000F09DC"/>
    <w:pPr>
      <w:keepNext/>
      <w:suppressAutoHyphens/>
      <w:autoSpaceDN w:val="0"/>
      <w:spacing w:before="480" w:after="240"/>
      <w:textAlignment w:val="baseline"/>
      <w:outlineLvl w:val="1"/>
    </w:pPr>
    <w:rPr>
      <w:rFonts w:ascii="Arial" w:hAnsi="Arial"/>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57FB"/>
    <w:rPr>
      <w:rFonts w:ascii="Tahoma" w:hAnsi="Tahoma" w:cs="Tahoma"/>
      <w:sz w:val="16"/>
      <w:szCs w:val="16"/>
    </w:rPr>
  </w:style>
  <w:style w:type="table" w:styleId="TableGrid">
    <w:name w:val="Table Grid"/>
    <w:basedOn w:val="TableNormal"/>
    <w:rsid w:val="00DF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16F"/>
    <w:pPr>
      <w:ind w:left="720"/>
      <w:contextualSpacing/>
    </w:pPr>
  </w:style>
  <w:style w:type="character" w:customStyle="1" w:styleId="Heading1Char">
    <w:name w:val="Heading 1 Char"/>
    <w:basedOn w:val="DefaultParagraphFont"/>
    <w:link w:val="Heading1"/>
    <w:rsid w:val="000F09DC"/>
    <w:rPr>
      <w:rFonts w:ascii="Arial" w:hAnsi="Arial"/>
      <w:b/>
      <w:color w:val="104F75"/>
      <w:sz w:val="36"/>
      <w:szCs w:val="24"/>
    </w:rPr>
  </w:style>
  <w:style w:type="character" w:customStyle="1" w:styleId="Heading2Char">
    <w:name w:val="Heading 2 Char"/>
    <w:basedOn w:val="DefaultParagraphFont"/>
    <w:link w:val="Heading2"/>
    <w:rsid w:val="000F09DC"/>
    <w:rPr>
      <w:rFonts w:ascii="Arial" w:hAnsi="Arial"/>
      <w:b/>
      <w:color w:val="104F75"/>
      <w:sz w:val="32"/>
      <w:szCs w:val="32"/>
    </w:rPr>
  </w:style>
  <w:style w:type="character" w:styleId="Hyperlink">
    <w:name w:val="Hyperlink"/>
    <w:rsid w:val="000F09DC"/>
    <w:rPr>
      <w:rFonts w:ascii="Arial" w:hAnsi="Arial"/>
      <w:color w:val="0000FF"/>
      <w:sz w:val="24"/>
      <w:u w:val="single"/>
    </w:rPr>
  </w:style>
  <w:style w:type="paragraph" w:customStyle="1" w:styleId="CopyrightBox">
    <w:name w:val="CopyrightBox"/>
    <w:basedOn w:val="Normal"/>
    <w:rsid w:val="000F09DC"/>
    <w:pPr>
      <w:suppressAutoHyphens/>
      <w:autoSpaceDN w:val="0"/>
      <w:spacing w:after="240" w:line="288" w:lineRule="auto"/>
      <w:textAlignment w:val="baseline"/>
    </w:pPr>
    <w:rPr>
      <w:rFonts w:ascii="Arial" w:hAnsi="Arial"/>
      <w:color w:val="0D0D0D"/>
    </w:rPr>
  </w:style>
  <w:style w:type="paragraph" w:customStyle="1" w:styleId="TableRow">
    <w:name w:val="TableRow"/>
    <w:rsid w:val="000F09DC"/>
    <w:pPr>
      <w:suppressAutoHyphens/>
      <w:autoSpaceDN w:val="0"/>
      <w:spacing w:before="60" w:after="60"/>
      <w:ind w:left="57" w:right="57"/>
      <w:textAlignment w:val="baseline"/>
    </w:pPr>
    <w:rPr>
      <w:rFonts w:ascii="Arial" w:hAnsi="Arial"/>
      <w:color w:val="0D0D0D"/>
      <w:sz w:val="24"/>
      <w:szCs w:val="24"/>
    </w:rPr>
  </w:style>
  <w:style w:type="numbering" w:customStyle="1" w:styleId="WWOutlineListStyle12">
    <w:name w:val="WW_OutlineListStyle_12"/>
    <w:basedOn w:val="NoList"/>
    <w:rsid w:val="000F09DC"/>
    <w:pPr>
      <w:numPr>
        <w:numId w:val="3"/>
      </w:numPr>
    </w:pPr>
  </w:style>
  <w:style w:type="paragraph" w:styleId="EndnoteText">
    <w:name w:val="endnote text"/>
    <w:basedOn w:val="Normal"/>
    <w:link w:val="EndnoteTextChar"/>
    <w:rsid w:val="00615EE5"/>
    <w:pPr>
      <w:widowControl w:val="0"/>
      <w:tabs>
        <w:tab w:val="left" w:pos="2160"/>
        <w:tab w:val="left" w:pos="2880"/>
      </w:tabs>
      <w:overflowPunct w:val="0"/>
      <w:autoSpaceDE w:val="0"/>
      <w:autoSpaceDN w:val="0"/>
      <w:adjustRightInd w:val="0"/>
      <w:jc w:val="both"/>
      <w:textAlignment w:val="baseline"/>
    </w:pPr>
    <w:rPr>
      <w:rFonts w:ascii="Courier New" w:hAnsi="Courier New" w:cs="Courier New"/>
      <w:sz w:val="22"/>
      <w:lang w:val="en-US" w:eastAsia="en-US"/>
    </w:rPr>
  </w:style>
  <w:style w:type="character" w:customStyle="1" w:styleId="EndnoteTextChar">
    <w:name w:val="Endnote Text Char"/>
    <w:basedOn w:val="DefaultParagraphFont"/>
    <w:link w:val="EndnoteText"/>
    <w:rsid w:val="00615EE5"/>
    <w:rPr>
      <w:rFonts w:ascii="Courier New" w:hAnsi="Courier New" w:cs="Courier New"/>
      <w:sz w:val="22"/>
      <w:szCs w:val="24"/>
      <w:lang w:val="en-US" w:eastAsia="en-US"/>
    </w:rPr>
  </w:style>
  <w:style w:type="paragraph" w:customStyle="1" w:styleId="Default">
    <w:name w:val="Default"/>
    <w:rsid w:val="00615EE5"/>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762F71"/>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762F71"/>
    <w:rPr>
      <w:sz w:val="24"/>
      <w:lang w:eastAsia="en-US"/>
    </w:rPr>
  </w:style>
  <w:style w:type="paragraph" w:styleId="Title">
    <w:name w:val="Title"/>
    <w:basedOn w:val="Normal"/>
    <w:link w:val="TitleChar"/>
    <w:qFormat/>
    <w:rsid w:val="00762F71"/>
    <w:pPr>
      <w:jc w:val="center"/>
    </w:pPr>
    <w:rPr>
      <w:b/>
      <w:szCs w:val="20"/>
      <w:u w:val="single"/>
      <w:lang w:eastAsia="en-US"/>
    </w:rPr>
  </w:style>
  <w:style w:type="character" w:customStyle="1" w:styleId="TitleChar">
    <w:name w:val="Title Char"/>
    <w:basedOn w:val="DefaultParagraphFont"/>
    <w:link w:val="Title"/>
    <w:rsid w:val="00762F71"/>
    <w:rPr>
      <w:b/>
      <w:sz w:val="24"/>
      <w:u w:val="single"/>
      <w:lang w:eastAsia="en-US"/>
    </w:rPr>
  </w:style>
  <w:style w:type="paragraph" w:styleId="Header">
    <w:name w:val="header"/>
    <w:basedOn w:val="Normal"/>
    <w:link w:val="HeaderChar"/>
    <w:rsid w:val="00762F71"/>
    <w:pPr>
      <w:tabs>
        <w:tab w:val="center" w:pos="4513"/>
        <w:tab w:val="right" w:pos="9026"/>
      </w:tabs>
    </w:pPr>
  </w:style>
  <w:style w:type="character" w:customStyle="1" w:styleId="HeaderChar">
    <w:name w:val="Header Char"/>
    <w:basedOn w:val="DefaultParagraphFont"/>
    <w:link w:val="Header"/>
    <w:rsid w:val="00762F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7503">
      <w:bodyDiv w:val="1"/>
      <w:marLeft w:val="0"/>
      <w:marRight w:val="0"/>
      <w:marTop w:val="0"/>
      <w:marBottom w:val="0"/>
      <w:divBdr>
        <w:top w:val="none" w:sz="0" w:space="0" w:color="auto"/>
        <w:left w:val="none" w:sz="0" w:space="0" w:color="auto"/>
        <w:bottom w:val="none" w:sz="0" w:space="0" w:color="auto"/>
        <w:right w:val="none" w:sz="0" w:space="0" w:color="auto"/>
      </w:divBdr>
      <w:divsChild>
        <w:div w:id="185943570">
          <w:marLeft w:val="0"/>
          <w:marRight w:val="0"/>
          <w:marTop w:val="0"/>
          <w:marBottom w:val="0"/>
          <w:divBdr>
            <w:top w:val="none" w:sz="0" w:space="0" w:color="auto"/>
            <w:left w:val="none" w:sz="0" w:space="0" w:color="auto"/>
            <w:bottom w:val="none" w:sz="0" w:space="0" w:color="auto"/>
            <w:right w:val="none" w:sz="0" w:space="0" w:color="auto"/>
          </w:divBdr>
        </w:div>
        <w:div w:id="207031968">
          <w:marLeft w:val="0"/>
          <w:marRight w:val="0"/>
          <w:marTop w:val="0"/>
          <w:marBottom w:val="0"/>
          <w:divBdr>
            <w:top w:val="none" w:sz="0" w:space="0" w:color="auto"/>
            <w:left w:val="none" w:sz="0" w:space="0" w:color="auto"/>
            <w:bottom w:val="none" w:sz="0" w:space="0" w:color="auto"/>
            <w:right w:val="none" w:sz="0" w:space="0" w:color="auto"/>
          </w:divBdr>
        </w:div>
        <w:div w:id="337466912">
          <w:marLeft w:val="0"/>
          <w:marRight w:val="0"/>
          <w:marTop w:val="0"/>
          <w:marBottom w:val="0"/>
          <w:divBdr>
            <w:top w:val="none" w:sz="0" w:space="0" w:color="auto"/>
            <w:left w:val="none" w:sz="0" w:space="0" w:color="auto"/>
            <w:bottom w:val="none" w:sz="0" w:space="0" w:color="auto"/>
            <w:right w:val="none" w:sz="0" w:space="0" w:color="auto"/>
          </w:divBdr>
        </w:div>
        <w:div w:id="410275801">
          <w:marLeft w:val="0"/>
          <w:marRight w:val="0"/>
          <w:marTop w:val="0"/>
          <w:marBottom w:val="0"/>
          <w:divBdr>
            <w:top w:val="none" w:sz="0" w:space="0" w:color="auto"/>
            <w:left w:val="none" w:sz="0" w:space="0" w:color="auto"/>
            <w:bottom w:val="none" w:sz="0" w:space="0" w:color="auto"/>
            <w:right w:val="none" w:sz="0" w:space="0" w:color="auto"/>
          </w:divBdr>
        </w:div>
        <w:div w:id="454719447">
          <w:marLeft w:val="0"/>
          <w:marRight w:val="0"/>
          <w:marTop w:val="0"/>
          <w:marBottom w:val="0"/>
          <w:divBdr>
            <w:top w:val="none" w:sz="0" w:space="0" w:color="auto"/>
            <w:left w:val="none" w:sz="0" w:space="0" w:color="auto"/>
            <w:bottom w:val="none" w:sz="0" w:space="0" w:color="auto"/>
            <w:right w:val="none" w:sz="0" w:space="0" w:color="auto"/>
          </w:divBdr>
        </w:div>
        <w:div w:id="572816643">
          <w:marLeft w:val="0"/>
          <w:marRight w:val="0"/>
          <w:marTop w:val="0"/>
          <w:marBottom w:val="0"/>
          <w:divBdr>
            <w:top w:val="none" w:sz="0" w:space="0" w:color="auto"/>
            <w:left w:val="none" w:sz="0" w:space="0" w:color="auto"/>
            <w:bottom w:val="none" w:sz="0" w:space="0" w:color="auto"/>
            <w:right w:val="none" w:sz="0" w:space="0" w:color="auto"/>
          </w:divBdr>
        </w:div>
        <w:div w:id="796753502">
          <w:marLeft w:val="0"/>
          <w:marRight w:val="0"/>
          <w:marTop w:val="0"/>
          <w:marBottom w:val="0"/>
          <w:divBdr>
            <w:top w:val="none" w:sz="0" w:space="0" w:color="auto"/>
            <w:left w:val="none" w:sz="0" w:space="0" w:color="auto"/>
            <w:bottom w:val="none" w:sz="0" w:space="0" w:color="auto"/>
            <w:right w:val="none" w:sz="0" w:space="0" w:color="auto"/>
          </w:divBdr>
        </w:div>
        <w:div w:id="927687851">
          <w:marLeft w:val="0"/>
          <w:marRight w:val="0"/>
          <w:marTop w:val="0"/>
          <w:marBottom w:val="0"/>
          <w:divBdr>
            <w:top w:val="none" w:sz="0" w:space="0" w:color="auto"/>
            <w:left w:val="none" w:sz="0" w:space="0" w:color="auto"/>
            <w:bottom w:val="none" w:sz="0" w:space="0" w:color="auto"/>
            <w:right w:val="none" w:sz="0" w:space="0" w:color="auto"/>
          </w:divBdr>
        </w:div>
        <w:div w:id="1452477336">
          <w:marLeft w:val="0"/>
          <w:marRight w:val="0"/>
          <w:marTop w:val="0"/>
          <w:marBottom w:val="0"/>
          <w:divBdr>
            <w:top w:val="none" w:sz="0" w:space="0" w:color="auto"/>
            <w:left w:val="none" w:sz="0" w:space="0" w:color="auto"/>
            <w:bottom w:val="none" w:sz="0" w:space="0" w:color="auto"/>
            <w:right w:val="none" w:sz="0" w:space="0" w:color="auto"/>
          </w:divBdr>
        </w:div>
        <w:div w:id="1673794614">
          <w:marLeft w:val="0"/>
          <w:marRight w:val="0"/>
          <w:marTop w:val="0"/>
          <w:marBottom w:val="0"/>
          <w:divBdr>
            <w:top w:val="none" w:sz="0" w:space="0" w:color="auto"/>
            <w:left w:val="none" w:sz="0" w:space="0" w:color="auto"/>
            <w:bottom w:val="none" w:sz="0" w:space="0" w:color="auto"/>
            <w:right w:val="none" w:sz="0" w:space="0" w:color="auto"/>
          </w:divBdr>
        </w:div>
        <w:div w:id="1679771597">
          <w:marLeft w:val="0"/>
          <w:marRight w:val="0"/>
          <w:marTop w:val="0"/>
          <w:marBottom w:val="0"/>
          <w:divBdr>
            <w:top w:val="none" w:sz="0" w:space="0" w:color="auto"/>
            <w:left w:val="none" w:sz="0" w:space="0" w:color="auto"/>
            <w:bottom w:val="none" w:sz="0" w:space="0" w:color="auto"/>
            <w:right w:val="none" w:sz="0" w:space="0" w:color="auto"/>
          </w:divBdr>
        </w:div>
        <w:div w:id="1755777609">
          <w:marLeft w:val="0"/>
          <w:marRight w:val="0"/>
          <w:marTop w:val="0"/>
          <w:marBottom w:val="0"/>
          <w:divBdr>
            <w:top w:val="none" w:sz="0" w:space="0" w:color="auto"/>
            <w:left w:val="none" w:sz="0" w:space="0" w:color="auto"/>
            <w:bottom w:val="none" w:sz="0" w:space="0" w:color="auto"/>
            <w:right w:val="none" w:sz="0" w:space="0" w:color="auto"/>
          </w:divBdr>
        </w:div>
        <w:div w:id="1994791624">
          <w:marLeft w:val="0"/>
          <w:marRight w:val="0"/>
          <w:marTop w:val="0"/>
          <w:marBottom w:val="0"/>
          <w:divBdr>
            <w:top w:val="none" w:sz="0" w:space="0" w:color="auto"/>
            <w:left w:val="none" w:sz="0" w:space="0" w:color="auto"/>
            <w:bottom w:val="none" w:sz="0" w:space="0" w:color="auto"/>
            <w:right w:val="none" w:sz="0" w:space="0" w:color="auto"/>
          </w:divBdr>
        </w:div>
      </w:divsChild>
    </w:div>
    <w:div w:id="735739186">
      <w:bodyDiv w:val="1"/>
      <w:marLeft w:val="0"/>
      <w:marRight w:val="0"/>
      <w:marTop w:val="0"/>
      <w:marBottom w:val="0"/>
      <w:divBdr>
        <w:top w:val="none" w:sz="0" w:space="0" w:color="auto"/>
        <w:left w:val="none" w:sz="0" w:space="0" w:color="auto"/>
        <w:bottom w:val="none" w:sz="0" w:space="0" w:color="auto"/>
        <w:right w:val="none" w:sz="0" w:space="0" w:color="auto"/>
      </w:divBdr>
    </w:div>
    <w:div w:id="8950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6203-0AD9-4D46-82F7-ED7D6188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BSFC</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Wiggins</dc:creator>
  <cp:lastModifiedBy>Michelle McLaren</cp:lastModifiedBy>
  <cp:revision>24</cp:revision>
  <cp:lastPrinted>2011-01-28T09:24:00Z</cp:lastPrinted>
  <dcterms:created xsi:type="dcterms:W3CDTF">2016-02-29T10:23:00Z</dcterms:created>
  <dcterms:modified xsi:type="dcterms:W3CDTF">2025-02-03T09:55:00Z</dcterms:modified>
</cp:coreProperties>
</file>