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D03B" w14:textId="78E2B171" w:rsidR="00DF20A3" w:rsidRPr="00D4679B" w:rsidRDefault="00520F48" w:rsidP="00DF20A3">
      <w:pPr>
        <w:rPr>
          <w:rFonts w:ascii="Century Gothic" w:hAnsi="Century Gothic" w:cstheme="minorHAnsi"/>
          <w:b/>
          <w:sz w:val="28"/>
          <w:szCs w:val="28"/>
        </w:rPr>
      </w:pPr>
      <w:r>
        <w:rPr>
          <w:rFonts w:ascii="Century Gothic" w:hAnsi="Century Gothic" w:cstheme="minorHAnsi"/>
          <w:b/>
          <w:noProof/>
          <w:sz w:val="28"/>
          <w:szCs w:val="28"/>
        </w:rPr>
        <mc:AlternateContent>
          <mc:Choice Requires="wps">
            <w:drawing>
              <wp:anchor distT="0" distB="0" distL="114300" distR="114300" simplePos="0" relativeHeight="251659264" behindDoc="0" locked="0" layoutInCell="1" allowOverlap="1" wp14:anchorId="6691A925" wp14:editId="1A55CD33">
                <wp:simplePos x="0" y="0"/>
                <wp:positionH relativeFrom="column">
                  <wp:posOffset>3771900</wp:posOffset>
                </wp:positionH>
                <wp:positionV relativeFrom="paragraph">
                  <wp:posOffset>-790575</wp:posOffset>
                </wp:positionV>
                <wp:extent cx="2781300" cy="1104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781300" cy="1104900"/>
                        </a:xfrm>
                        <a:prstGeom prst="rect">
                          <a:avLst/>
                        </a:prstGeom>
                        <a:solidFill>
                          <a:schemeClr val="lt1"/>
                        </a:solidFill>
                        <a:ln w="6350">
                          <a:solidFill>
                            <a:prstClr val="black"/>
                          </a:solidFill>
                        </a:ln>
                      </wps:spPr>
                      <wps:txbx>
                        <w:txbxContent>
                          <w:p w14:paraId="3C9B8780" w14:textId="2B112B54" w:rsidR="00520F48" w:rsidRDefault="00520F48" w:rsidP="00B8569E">
                            <w:pPr>
                              <w:spacing w:after="0" w:line="240" w:lineRule="auto"/>
                            </w:pPr>
                            <w:r>
                              <w:t>Owner:</w:t>
                            </w:r>
                            <w:r>
                              <w:tab/>
                            </w:r>
                            <w:r>
                              <w:tab/>
                              <w:t xml:space="preserve">Director of </w:t>
                            </w:r>
                            <w:r w:rsidR="003C1CEF">
                              <w:t>Student</w:t>
                            </w:r>
                            <w:r>
                              <w:t xml:space="preserve"> Support</w:t>
                            </w:r>
                          </w:p>
                          <w:p w14:paraId="24D45162" w14:textId="0FA6D284" w:rsidR="00520F48" w:rsidRDefault="00520F48" w:rsidP="00B8569E">
                            <w:pPr>
                              <w:spacing w:after="0" w:line="240" w:lineRule="auto"/>
                            </w:pPr>
                            <w:r>
                              <w:t>Reviewed by:</w:t>
                            </w:r>
                            <w:r>
                              <w:tab/>
                              <w:t>Vice Principal</w:t>
                            </w:r>
                          </w:p>
                          <w:p w14:paraId="0DE6BFF6" w14:textId="03CD50F8" w:rsidR="00B8569E" w:rsidRDefault="00B8569E" w:rsidP="00B8569E">
                            <w:pPr>
                              <w:spacing w:after="0" w:line="240" w:lineRule="auto"/>
                            </w:pPr>
                            <w:r>
                              <w:t>Approved by:</w:t>
                            </w:r>
                            <w:r>
                              <w:tab/>
                              <w:t>Principal</w:t>
                            </w:r>
                          </w:p>
                          <w:p w14:paraId="558C36B8" w14:textId="5F3DF870" w:rsidR="00520F48" w:rsidRDefault="00520F48" w:rsidP="00B8569E">
                            <w:pPr>
                              <w:spacing w:after="0" w:line="240" w:lineRule="auto"/>
                            </w:pPr>
                            <w:r>
                              <w:t>Review cycle:</w:t>
                            </w:r>
                            <w:r>
                              <w:tab/>
                            </w:r>
                            <w:r w:rsidR="003C1CEF">
                              <w:t xml:space="preserve">Three Yearly </w:t>
                            </w:r>
                          </w:p>
                          <w:p w14:paraId="61C47B69" w14:textId="1EEF7174" w:rsidR="00520F48" w:rsidRDefault="00520F48" w:rsidP="00B8569E">
                            <w:pPr>
                              <w:spacing w:after="0" w:line="240" w:lineRule="auto"/>
                            </w:pPr>
                            <w:r>
                              <w:t>Last review:</w:t>
                            </w:r>
                            <w:r>
                              <w:tab/>
                            </w:r>
                            <w:r w:rsidR="00B302C9">
                              <w:t>October</w:t>
                            </w:r>
                            <w:r w:rsidR="006E0286">
                              <w:t xml:space="preserve"> 202</w:t>
                            </w:r>
                            <w:r w:rsidR="00B302C9">
                              <w:t>3</w:t>
                            </w:r>
                          </w:p>
                          <w:p w14:paraId="764FB803" w14:textId="499DF0A3" w:rsidR="00520F48" w:rsidRDefault="00520F48" w:rsidP="00B8569E">
                            <w:pPr>
                              <w:spacing w:after="0" w:line="240" w:lineRule="auto"/>
                            </w:pPr>
                            <w:r>
                              <w:t>Due for review:</w:t>
                            </w:r>
                            <w:r w:rsidR="006E0286">
                              <w:tab/>
                            </w:r>
                            <w:r w:rsidR="00B302C9">
                              <w:t>October</w:t>
                            </w:r>
                            <w:r w:rsidR="006E0286">
                              <w:t xml:space="preserve"> 202</w:t>
                            </w:r>
                            <w:r w:rsidR="00B302C9">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1A925" id="_x0000_t202" coordsize="21600,21600" o:spt="202" path="m,l,21600r21600,l21600,xe">
                <v:stroke joinstyle="miter"/>
                <v:path gradientshapeok="t" o:connecttype="rect"/>
              </v:shapetype>
              <v:shape id="Text Box 1" o:spid="_x0000_s1026" type="#_x0000_t202" style="position:absolute;margin-left:297pt;margin-top:-62.25pt;width:219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" fillcolor="white [3201]" strokeweight=".5pt">
                <v:textbox>
                  <w:txbxContent>
                    <w:p w14:paraId="3C9B8780" w14:textId="2B112B54" w:rsidR="00520F48" w:rsidRDefault="00520F48" w:rsidP="00B8569E">
                      <w:pPr>
                        <w:spacing w:after="0" w:line="240" w:lineRule="auto"/>
                      </w:pPr>
                      <w:r>
                        <w:t>Owner:</w:t>
                      </w:r>
                      <w:r>
                        <w:tab/>
                      </w:r>
                      <w:r>
                        <w:tab/>
                        <w:t xml:space="preserve">Director of </w:t>
                      </w:r>
                      <w:r w:rsidR="003C1CEF">
                        <w:t>Student</w:t>
                      </w:r>
                      <w:r>
                        <w:t xml:space="preserve"> Support</w:t>
                      </w:r>
                    </w:p>
                    <w:p w14:paraId="24D45162" w14:textId="0FA6D284" w:rsidR="00520F48" w:rsidRDefault="00520F48" w:rsidP="00B8569E">
                      <w:pPr>
                        <w:spacing w:after="0" w:line="240" w:lineRule="auto"/>
                      </w:pPr>
                      <w:r>
                        <w:t>Reviewed by:</w:t>
                      </w:r>
                      <w:r>
                        <w:tab/>
                        <w:t>Vice Principal</w:t>
                      </w:r>
                    </w:p>
                    <w:p w14:paraId="0DE6BFF6" w14:textId="03CD50F8" w:rsidR="00B8569E" w:rsidRDefault="00B8569E" w:rsidP="00B8569E">
                      <w:pPr>
                        <w:spacing w:after="0" w:line="240" w:lineRule="auto"/>
                      </w:pPr>
                      <w:r>
                        <w:t>Approved by:</w:t>
                      </w:r>
                      <w:r>
                        <w:tab/>
                        <w:t>Principal</w:t>
                      </w:r>
                    </w:p>
                    <w:p w14:paraId="558C36B8" w14:textId="5F3DF870" w:rsidR="00520F48" w:rsidRDefault="00520F48" w:rsidP="00B8569E">
                      <w:pPr>
                        <w:spacing w:after="0" w:line="240" w:lineRule="auto"/>
                      </w:pPr>
                      <w:r>
                        <w:t>Review cycle:</w:t>
                      </w:r>
                      <w:r>
                        <w:tab/>
                      </w:r>
                      <w:r w:rsidR="003C1CEF">
                        <w:t xml:space="preserve">Three Yearly </w:t>
                      </w:r>
                    </w:p>
                    <w:p w14:paraId="61C47B69" w14:textId="1EEF7174" w:rsidR="00520F48" w:rsidRDefault="00520F48" w:rsidP="00B8569E">
                      <w:pPr>
                        <w:spacing w:after="0" w:line="240" w:lineRule="auto"/>
                      </w:pPr>
                      <w:r>
                        <w:t>Last review:</w:t>
                      </w:r>
                      <w:r>
                        <w:tab/>
                      </w:r>
                      <w:r w:rsidR="00B302C9">
                        <w:t>October</w:t>
                      </w:r>
                      <w:r w:rsidR="006E0286">
                        <w:t xml:space="preserve"> 202</w:t>
                      </w:r>
                      <w:r w:rsidR="00B302C9">
                        <w:t>3</w:t>
                      </w:r>
                    </w:p>
                    <w:p w14:paraId="764FB803" w14:textId="499DF0A3" w:rsidR="00520F48" w:rsidRDefault="00520F48" w:rsidP="00B8569E">
                      <w:pPr>
                        <w:spacing w:after="0" w:line="240" w:lineRule="auto"/>
                      </w:pPr>
                      <w:r>
                        <w:t>Due for review:</w:t>
                      </w:r>
                      <w:r w:rsidR="006E0286">
                        <w:tab/>
                      </w:r>
                      <w:r w:rsidR="00B302C9">
                        <w:t>October</w:t>
                      </w:r>
                      <w:r w:rsidR="006E0286">
                        <w:t xml:space="preserve"> 202</w:t>
                      </w:r>
                      <w:r w:rsidR="00B302C9">
                        <w:t>6</w:t>
                      </w:r>
                    </w:p>
                  </w:txbxContent>
                </v:textbox>
              </v:shape>
            </w:pict>
          </mc:Fallback>
        </mc:AlternateContent>
      </w:r>
      <w:r w:rsidR="00DF20A3" w:rsidRPr="00D4679B">
        <w:rPr>
          <w:rFonts w:ascii="Century Gothic" w:hAnsi="Century Gothic" w:cstheme="minorHAnsi"/>
          <w:b/>
          <w:sz w:val="28"/>
          <w:szCs w:val="28"/>
        </w:rPr>
        <w:t xml:space="preserve">Accessibility Plan </w:t>
      </w:r>
      <w:r w:rsidR="00D4679B" w:rsidRPr="00D4679B">
        <w:rPr>
          <w:rFonts w:ascii="Century Gothic" w:hAnsi="Century Gothic" w:cstheme="minorHAnsi"/>
          <w:b/>
          <w:sz w:val="28"/>
          <w:szCs w:val="28"/>
        </w:rPr>
        <w:t>202</w:t>
      </w:r>
      <w:r w:rsidR="003C1CEF">
        <w:rPr>
          <w:rFonts w:ascii="Century Gothic" w:hAnsi="Century Gothic" w:cstheme="minorHAnsi"/>
          <w:b/>
          <w:sz w:val="28"/>
          <w:szCs w:val="28"/>
        </w:rPr>
        <w:t>3</w:t>
      </w:r>
    </w:p>
    <w:p w14:paraId="0A8B34C3" w14:textId="77777777" w:rsidR="00DF20A3" w:rsidRPr="00D4679B" w:rsidRDefault="00DF20A3">
      <w:pPr>
        <w:rPr>
          <w:rFonts w:ascii="Century Gothic" w:hAnsi="Century Gothic" w:cstheme="minorHAnsi"/>
        </w:rPr>
      </w:pPr>
    </w:p>
    <w:p w14:paraId="1973E1B4" w14:textId="16B6ABEF" w:rsidR="005868F9" w:rsidRPr="00D4679B" w:rsidRDefault="004453BD">
      <w:pPr>
        <w:rPr>
          <w:rFonts w:ascii="Century Gothic" w:hAnsi="Century Gothic" w:cstheme="minorHAnsi"/>
        </w:rPr>
      </w:pPr>
      <w:r w:rsidRPr="00D4679B">
        <w:rPr>
          <w:rFonts w:ascii="Century Gothic" w:hAnsi="Century Gothic" w:cstheme="minorHAnsi"/>
        </w:rPr>
        <w:t xml:space="preserve">This plan has been developed to sit alongside </w:t>
      </w:r>
      <w:r w:rsidR="005868F9" w:rsidRPr="00D4679B">
        <w:rPr>
          <w:rFonts w:ascii="Century Gothic" w:hAnsi="Century Gothic" w:cstheme="minorHAnsi"/>
        </w:rPr>
        <w:t xml:space="preserve">the </w:t>
      </w:r>
      <w:r w:rsidRPr="00D4679B">
        <w:rPr>
          <w:rFonts w:ascii="Century Gothic" w:hAnsi="Century Gothic" w:cstheme="minorHAnsi"/>
        </w:rPr>
        <w:t>College Learning Support</w:t>
      </w:r>
      <w:r w:rsidR="005868F9" w:rsidRPr="00D4679B">
        <w:rPr>
          <w:rFonts w:ascii="Century Gothic" w:hAnsi="Century Gothic" w:cstheme="minorHAnsi"/>
        </w:rPr>
        <w:t>, Disability Disclosure</w:t>
      </w:r>
      <w:r w:rsidRPr="00D4679B">
        <w:rPr>
          <w:rFonts w:ascii="Century Gothic" w:hAnsi="Century Gothic" w:cstheme="minorHAnsi"/>
        </w:rPr>
        <w:t xml:space="preserve"> and Equal Opportunities</w:t>
      </w:r>
      <w:r w:rsidR="005868F9" w:rsidRPr="00D4679B">
        <w:rPr>
          <w:rFonts w:ascii="Century Gothic" w:hAnsi="Century Gothic" w:cstheme="minorHAnsi"/>
        </w:rPr>
        <w:t xml:space="preserve"> policies, and to satisfy obligations from the Equality Act 2010 and the </w:t>
      </w:r>
      <w:r w:rsidR="00D4679B">
        <w:rPr>
          <w:rFonts w:ascii="Century Gothic" w:hAnsi="Century Gothic" w:cstheme="minorHAnsi"/>
        </w:rPr>
        <w:t xml:space="preserve">2015 </w:t>
      </w:r>
      <w:r w:rsidR="005868F9" w:rsidRPr="00D4679B">
        <w:rPr>
          <w:rFonts w:ascii="Century Gothic" w:hAnsi="Century Gothic" w:cstheme="minorHAnsi"/>
        </w:rPr>
        <w:t xml:space="preserve">SEND Code of Practice. The college remains committed to providing an outstanding service, support and teaching to all students regardless of their characteristics, and to provide reasonable adjustment where necessary to ensure each student has an equal chance of success and to allow them to work to the best of their potential. </w:t>
      </w:r>
    </w:p>
    <w:p w14:paraId="0DA66719" w14:textId="1EC28479" w:rsidR="005868F9" w:rsidRPr="00D4679B" w:rsidRDefault="005868F9">
      <w:pPr>
        <w:rPr>
          <w:rFonts w:ascii="Century Gothic" w:hAnsi="Century Gothic" w:cstheme="minorHAnsi"/>
        </w:rPr>
      </w:pPr>
    </w:p>
    <w:p w14:paraId="43CDE01B" w14:textId="612376D6" w:rsidR="005868F9" w:rsidRPr="00D4679B" w:rsidRDefault="005868F9">
      <w:pPr>
        <w:rPr>
          <w:rFonts w:ascii="Century Gothic" w:hAnsi="Century Gothic" w:cstheme="minorHAnsi"/>
          <w:b/>
        </w:rPr>
      </w:pPr>
      <w:r w:rsidRPr="00D4679B">
        <w:rPr>
          <w:rFonts w:ascii="Century Gothic" w:hAnsi="Century Gothic" w:cstheme="minorHAnsi"/>
          <w:b/>
        </w:rPr>
        <w:t xml:space="preserve">Legislation and Guidance </w:t>
      </w:r>
    </w:p>
    <w:p w14:paraId="4C1B4439" w14:textId="666C0FC9" w:rsidR="004453BD" w:rsidRPr="00D4679B" w:rsidRDefault="005868F9">
      <w:pPr>
        <w:rPr>
          <w:rFonts w:ascii="Century Gothic" w:hAnsi="Century Gothic" w:cstheme="minorHAnsi"/>
        </w:rPr>
      </w:pPr>
      <w:r w:rsidRPr="00D4679B">
        <w:rPr>
          <w:rFonts w:ascii="Century Gothic" w:hAnsi="Century Gothic" w:cstheme="minorHAnsi"/>
        </w:rPr>
        <w:t xml:space="preserve">The relevant legislation that informs this plan include the SEND Code of Practice and The Equality Act 2010. The College recognises its responsibilities under The Equality Act </w:t>
      </w:r>
      <w:r w:rsidR="000C2419" w:rsidRPr="00D4679B">
        <w:rPr>
          <w:rFonts w:ascii="Century Gothic" w:hAnsi="Century Gothic" w:cstheme="minorHAnsi"/>
        </w:rPr>
        <w:t>to support staff and students who have a disability, described in the Act as ‘</w:t>
      </w:r>
      <w:r w:rsidR="000C2419" w:rsidRPr="00D4679B">
        <w:rPr>
          <w:rFonts w:ascii="Century Gothic" w:hAnsi="Century Gothic" w:cstheme="minorHAnsi"/>
          <w:b/>
        </w:rPr>
        <w:t xml:space="preserve">a physical or mental impairment that has a substantial and long-term adverse effect on his or her ability to carry out normal day to day activities’. </w:t>
      </w:r>
    </w:p>
    <w:p w14:paraId="4D15256F" w14:textId="77777777" w:rsidR="00CC0279" w:rsidRPr="00D4679B" w:rsidRDefault="000C2419" w:rsidP="00DF20A3">
      <w:pPr>
        <w:rPr>
          <w:rFonts w:ascii="Century Gothic" w:hAnsi="Century Gothic" w:cstheme="minorHAnsi"/>
        </w:rPr>
      </w:pPr>
      <w:r w:rsidRPr="00D4679B">
        <w:rPr>
          <w:rFonts w:ascii="Century Gothic" w:hAnsi="Century Gothic" w:cstheme="minorHAnsi"/>
        </w:rPr>
        <w:t xml:space="preserve">The College recognises its responsibilities under the SEND Code of Practice to provide reasonable adjustments to ensure that students with a long term, substantial disability or special educational need are supported appropriately. In doing this, the College seeks to alleviate any substantial disadvantage so as to create a ‘level playing field’ and to give SEND students the same chance of success as non-SEND students. </w:t>
      </w:r>
    </w:p>
    <w:p w14:paraId="4FCC5368" w14:textId="77777777" w:rsidR="00DC17B1" w:rsidRPr="00D4679B" w:rsidRDefault="00DC17B1" w:rsidP="00DF20A3">
      <w:pPr>
        <w:rPr>
          <w:rFonts w:ascii="Century Gothic" w:hAnsi="Century Gothic" w:cstheme="minorHAnsi"/>
          <w:b/>
        </w:rPr>
      </w:pPr>
    </w:p>
    <w:p w14:paraId="6CA88D7A" w14:textId="77777777" w:rsidR="00DF20A3" w:rsidRPr="00D4679B" w:rsidRDefault="00DF20A3" w:rsidP="00DF20A3">
      <w:pPr>
        <w:rPr>
          <w:rFonts w:ascii="Century Gothic" w:hAnsi="Century Gothic" w:cstheme="minorHAnsi"/>
          <w:b/>
        </w:rPr>
      </w:pPr>
      <w:r w:rsidRPr="00D4679B">
        <w:rPr>
          <w:rFonts w:ascii="Century Gothic" w:hAnsi="Century Gothic" w:cstheme="minorHAnsi"/>
          <w:b/>
        </w:rPr>
        <w:t xml:space="preserve">Plan </w:t>
      </w:r>
    </w:p>
    <w:p w14:paraId="19487337" w14:textId="25ECADB6" w:rsidR="00DC17B1" w:rsidRPr="00D4679B" w:rsidRDefault="00DF20A3">
      <w:pPr>
        <w:rPr>
          <w:rFonts w:ascii="Century Gothic" w:hAnsi="Century Gothic" w:cstheme="minorHAnsi"/>
        </w:rPr>
      </w:pPr>
      <w:r w:rsidRPr="00D4679B">
        <w:rPr>
          <w:rFonts w:ascii="Century Gothic" w:hAnsi="Century Gothic" w:cstheme="minorHAnsi"/>
        </w:rPr>
        <w:t xml:space="preserve">To support SEND students, the </w:t>
      </w:r>
      <w:r w:rsidR="00B8569E">
        <w:rPr>
          <w:rFonts w:ascii="Century Gothic" w:hAnsi="Century Gothic" w:cstheme="minorHAnsi"/>
        </w:rPr>
        <w:t>C</w:t>
      </w:r>
      <w:r w:rsidRPr="00D4679B">
        <w:rPr>
          <w:rFonts w:ascii="Century Gothic" w:hAnsi="Century Gothic" w:cstheme="minorHAnsi"/>
        </w:rPr>
        <w:t>ollege will make reasonable adjustments to ensure that the curriculum and environment is accessible:</w:t>
      </w:r>
    </w:p>
    <w:p w14:paraId="0B78BC0E" w14:textId="77777777" w:rsidR="00CC0279" w:rsidRPr="00D4679B" w:rsidRDefault="00CC0279">
      <w:pPr>
        <w:rPr>
          <w:rFonts w:ascii="Century Gothic" w:hAnsi="Century Gothic" w:cstheme="minorHAnsi"/>
          <w:b/>
          <w:i/>
        </w:rPr>
      </w:pPr>
      <w:r w:rsidRPr="00D4679B">
        <w:rPr>
          <w:rFonts w:ascii="Century Gothic" w:hAnsi="Century Gothic" w:cstheme="minorHAnsi"/>
          <w:b/>
          <w:i/>
        </w:rPr>
        <w:t xml:space="preserve">Curriculum </w:t>
      </w:r>
    </w:p>
    <w:p w14:paraId="31D32BF8" w14:textId="4A205B81" w:rsidR="00CC0279" w:rsidRPr="00D4679B" w:rsidRDefault="00CC0279">
      <w:pPr>
        <w:rPr>
          <w:rFonts w:ascii="Century Gothic" w:hAnsi="Century Gothic" w:cstheme="minorHAnsi"/>
        </w:rPr>
      </w:pPr>
      <w:r w:rsidRPr="00D4679B">
        <w:rPr>
          <w:rFonts w:ascii="Century Gothic" w:hAnsi="Century Gothic" w:cstheme="minorHAnsi"/>
        </w:rPr>
        <w:t>The College offers a wide and varied curriculum consisting of A Level</w:t>
      </w:r>
      <w:r w:rsidR="003426E4">
        <w:rPr>
          <w:rFonts w:ascii="Century Gothic" w:hAnsi="Century Gothic" w:cstheme="minorHAnsi"/>
        </w:rPr>
        <w:t xml:space="preserve">, </w:t>
      </w:r>
      <w:r w:rsidR="003426E4" w:rsidRPr="003E700A">
        <w:rPr>
          <w:rFonts w:ascii="Century Gothic" w:hAnsi="Century Gothic" w:cstheme="minorHAnsi"/>
        </w:rPr>
        <w:t>GCSE</w:t>
      </w:r>
      <w:r w:rsidRPr="00D4679B">
        <w:rPr>
          <w:rFonts w:ascii="Century Gothic" w:hAnsi="Century Gothic" w:cstheme="minorHAnsi"/>
        </w:rPr>
        <w:t xml:space="preserve"> and BTEC study. In order to effectively support SEND students, the College</w:t>
      </w:r>
      <w:r w:rsidR="0010613E" w:rsidRPr="00D4679B">
        <w:rPr>
          <w:rFonts w:ascii="Century Gothic" w:hAnsi="Century Gothic" w:cstheme="minorHAnsi"/>
        </w:rPr>
        <w:t xml:space="preserve"> may</w:t>
      </w:r>
      <w:r w:rsidRPr="00D4679B">
        <w:rPr>
          <w:rFonts w:ascii="Century Gothic" w:hAnsi="Century Gothic" w:cstheme="minorHAnsi"/>
        </w:rPr>
        <w:t>:</w:t>
      </w:r>
    </w:p>
    <w:p w14:paraId="0D4A9C7E" w14:textId="77777777" w:rsidR="0010613E" w:rsidRPr="00D4679B" w:rsidRDefault="00CC0279" w:rsidP="0010613E">
      <w:pPr>
        <w:pStyle w:val="ListParagraph"/>
        <w:numPr>
          <w:ilvl w:val="0"/>
          <w:numId w:val="1"/>
        </w:numPr>
        <w:rPr>
          <w:rFonts w:ascii="Century Gothic" w:hAnsi="Century Gothic" w:cstheme="minorHAnsi"/>
        </w:rPr>
      </w:pPr>
      <w:r w:rsidRPr="00D4679B">
        <w:rPr>
          <w:rFonts w:ascii="Century Gothic" w:hAnsi="Century Gothic" w:cstheme="minorHAnsi"/>
        </w:rPr>
        <w:t>Compile</w:t>
      </w:r>
      <w:r w:rsidR="0010613E" w:rsidRPr="00D4679B">
        <w:rPr>
          <w:rFonts w:ascii="Century Gothic" w:hAnsi="Century Gothic" w:cstheme="minorHAnsi"/>
        </w:rPr>
        <w:t xml:space="preserve"> and share</w:t>
      </w:r>
      <w:r w:rsidRPr="00D4679B">
        <w:rPr>
          <w:rFonts w:ascii="Century Gothic" w:hAnsi="Century Gothic" w:cstheme="minorHAnsi"/>
        </w:rPr>
        <w:t xml:space="preserve"> Additional Learning Support Plans with relevant teachers and support staff to ensure the individual has the required </w:t>
      </w:r>
      <w:r w:rsidR="0010613E" w:rsidRPr="00D4679B">
        <w:rPr>
          <w:rFonts w:ascii="Century Gothic" w:hAnsi="Century Gothic" w:cstheme="minorHAnsi"/>
        </w:rPr>
        <w:t>support in class</w:t>
      </w:r>
    </w:p>
    <w:p w14:paraId="0262479F" w14:textId="77777777" w:rsidR="0010613E" w:rsidRPr="00D4679B" w:rsidRDefault="0010613E" w:rsidP="0010613E">
      <w:pPr>
        <w:pStyle w:val="ListParagraph"/>
        <w:numPr>
          <w:ilvl w:val="0"/>
          <w:numId w:val="1"/>
        </w:numPr>
        <w:rPr>
          <w:rFonts w:ascii="Century Gothic" w:hAnsi="Century Gothic" w:cstheme="minorHAnsi"/>
        </w:rPr>
      </w:pPr>
      <w:r w:rsidRPr="00D4679B">
        <w:rPr>
          <w:rFonts w:ascii="Century Gothic" w:hAnsi="Century Gothic" w:cstheme="minorHAnsi"/>
        </w:rPr>
        <w:t>Adapt resources to meet the individual need of the student.</w:t>
      </w:r>
    </w:p>
    <w:p w14:paraId="0F625AEF" w14:textId="37DF8FC6" w:rsidR="0010613E" w:rsidRPr="00D4679B" w:rsidRDefault="0010613E" w:rsidP="0010613E">
      <w:pPr>
        <w:pStyle w:val="ListParagraph"/>
        <w:numPr>
          <w:ilvl w:val="0"/>
          <w:numId w:val="1"/>
        </w:numPr>
        <w:rPr>
          <w:rFonts w:ascii="Century Gothic" w:hAnsi="Century Gothic" w:cstheme="minorHAnsi"/>
        </w:rPr>
      </w:pPr>
      <w:r w:rsidRPr="00D4679B">
        <w:rPr>
          <w:rFonts w:ascii="Century Gothic" w:hAnsi="Century Gothic" w:cstheme="minorHAnsi"/>
        </w:rPr>
        <w:t xml:space="preserve">Implement in or out of class support </w:t>
      </w:r>
      <w:r w:rsidRPr="003E700A">
        <w:rPr>
          <w:rFonts w:ascii="Century Gothic" w:hAnsi="Century Gothic" w:cstheme="minorHAnsi"/>
        </w:rPr>
        <w:t xml:space="preserve">when </w:t>
      </w:r>
      <w:r w:rsidR="003426E4" w:rsidRPr="003E700A">
        <w:rPr>
          <w:rFonts w:ascii="Century Gothic" w:hAnsi="Century Gothic" w:cstheme="minorHAnsi"/>
        </w:rPr>
        <w:t>appropriate</w:t>
      </w:r>
      <w:r w:rsidRPr="003E700A">
        <w:rPr>
          <w:rFonts w:ascii="Century Gothic" w:hAnsi="Century Gothic" w:cstheme="minorHAnsi"/>
        </w:rPr>
        <w:t>.</w:t>
      </w:r>
    </w:p>
    <w:p w14:paraId="4B4730D5" w14:textId="77777777" w:rsidR="0010613E" w:rsidRPr="00D4679B" w:rsidRDefault="0010613E" w:rsidP="0010613E">
      <w:pPr>
        <w:pStyle w:val="ListParagraph"/>
        <w:numPr>
          <w:ilvl w:val="0"/>
          <w:numId w:val="1"/>
        </w:numPr>
        <w:rPr>
          <w:rFonts w:ascii="Century Gothic" w:hAnsi="Century Gothic" w:cstheme="minorHAnsi"/>
        </w:rPr>
      </w:pPr>
      <w:r w:rsidRPr="00D4679B">
        <w:rPr>
          <w:rFonts w:ascii="Century Gothic" w:hAnsi="Century Gothic" w:cstheme="minorHAnsi"/>
        </w:rPr>
        <w:t xml:space="preserve">Monitor progress and performance, offering further support if required.  </w:t>
      </w:r>
    </w:p>
    <w:p w14:paraId="05293A18" w14:textId="77777777" w:rsidR="0010613E" w:rsidRPr="00D4679B" w:rsidRDefault="0010613E" w:rsidP="0010613E">
      <w:pPr>
        <w:pStyle w:val="ListParagraph"/>
        <w:numPr>
          <w:ilvl w:val="0"/>
          <w:numId w:val="1"/>
        </w:numPr>
        <w:rPr>
          <w:rFonts w:ascii="Century Gothic" w:hAnsi="Century Gothic" w:cstheme="minorHAnsi"/>
        </w:rPr>
      </w:pPr>
      <w:r w:rsidRPr="00D4679B">
        <w:rPr>
          <w:rFonts w:ascii="Century Gothic" w:hAnsi="Century Gothic" w:cstheme="minorHAnsi"/>
        </w:rPr>
        <w:t>Provide and signpost to services to assist students with mental health issues</w:t>
      </w:r>
    </w:p>
    <w:p w14:paraId="19A64E9D" w14:textId="77777777" w:rsidR="00CC0279" w:rsidRPr="00D4679B" w:rsidRDefault="00CC0279" w:rsidP="0010613E">
      <w:pPr>
        <w:rPr>
          <w:rFonts w:ascii="Century Gothic" w:hAnsi="Century Gothic" w:cstheme="minorHAnsi"/>
          <w:b/>
          <w:i/>
        </w:rPr>
      </w:pPr>
      <w:r w:rsidRPr="00D4679B">
        <w:rPr>
          <w:rFonts w:ascii="Century Gothic" w:hAnsi="Century Gothic" w:cstheme="minorHAnsi"/>
          <w:b/>
          <w:i/>
        </w:rPr>
        <w:t xml:space="preserve">Environment </w:t>
      </w:r>
    </w:p>
    <w:p w14:paraId="1C2290BD" w14:textId="77777777" w:rsidR="0010613E" w:rsidRPr="00D4679B" w:rsidRDefault="0010613E" w:rsidP="0010613E">
      <w:pPr>
        <w:rPr>
          <w:rFonts w:ascii="Century Gothic" w:hAnsi="Century Gothic" w:cstheme="minorHAnsi"/>
        </w:rPr>
      </w:pPr>
      <w:r w:rsidRPr="00D4679B">
        <w:rPr>
          <w:rFonts w:ascii="Century Gothic" w:hAnsi="Century Gothic" w:cstheme="minorHAnsi"/>
        </w:rPr>
        <w:t>The College is accessible to all staff, students and visitors. The College has:</w:t>
      </w:r>
    </w:p>
    <w:p w14:paraId="751762DF" w14:textId="77777777" w:rsidR="0010613E" w:rsidRPr="00D4679B" w:rsidRDefault="0010613E" w:rsidP="00E40522">
      <w:pPr>
        <w:pStyle w:val="ListParagraph"/>
        <w:numPr>
          <w:ilvl w:val="0"/>
          <w:numId w:val="2"/>
        </w:numPr>
        <w:rPr>
          <w:rFonts w:ascii="Century Gothic" w:hAnsi="Century Gothic" w:cstheme="minorHAnsi"/>
        </w:rPr>
      </w:pPr>
      <w:r w:rsidRPr="00D4679B">
        <w:rPr>
          <w:rFonts w:ascii="Century Gothic" w:hAnsi="Century Gothic" w:cstheme="minorHAnsi"/>
        </w:rPr>
        <w:t>A wheelchair-friendly lift.</w:t>
      </w:r>
    </w:p>
    <w:p w14:paraId="1D38F867" w14:textId="77777777" w:rsidR="0010613E" w:rsidRPr="00D4679B" w:rsidRDefault="0010613E" w:rsidP="00E40522">
      <w:pPr>
        <w:pStyle w:val="ListParagraph"/>
        <w:numPr>
          <w:ilvl w:val="0"/>
          <w:numId w:val="2"/>
        </w:numPr>
        <w:rPr>
          <w:rFonts w:ascii="Century Gothic" w:hAnsi="Century Gothic" w:cstheme="minorHAnsi"/>
        </w:rPr>
      </w:pPr>
      <w:r w:rsidRPr="00D4679B">
        <w:rPr>
          <w:rFonts w:ascii="Century Gothic" w:hAnsi="Century Gothic" w:cstheme="minorHAnsi"/>
        </w:rPr>
        <w:t xml:space="preserve">Wide and spacious corridors </w:t>
      </w:r>
    </w:p>
    <w:p w14:paraId="2D9E56C5" w14:textId="77777777" w:rsidR="0010613E" w:rsidRPr="00D4679B" w:rsidRDefault="0010613E" w:rsidP="00E40522">
      <w:pPr>
        <w:pStyle w:val="ListParagraph"/>
        <w:numPr>
          <w:ilvl w:val="0"/>
          <w:numId w:val="2"/>
        </w:numPr>
        <w:rPr>
          <w:rFonts w:ascii="Century Gothic" w:hAnsi="Century Gothic" w:cstheme="minorHAnsi"/>
        </w:rPr>
      </w:pPr>
      <w:r w:rsidRPr="00D4679B">
        <w:rPr>
          <w:rFonts w:ascii="Century Gothic" w:hAnsi="Century Gothic" w:cstheme="minorHAnsi"/>
        </w:rPr>
        <w:lastRenderedPageBreak/>
        <w:t xml:space="preserve">Disabled parking </w:t>
      </w:r>
    </w:p>
    <w:p w14:paraId="2E7384C1" w14:textId="77777777" w:rsidR="0010613E" w:rsidRPr="00D4679B" w:rsidRDefault="0010613E" w:rsidP="0010613E">
      <w:pPr>
        <w:pStyle w:val="ListParagraph"/>
        <w:numPr>
          <w:ilvl w:val="0"/>
          <w:numId w:val="2"/>
        </w:numPr>
        <w:rPr>
          <w:rFonts w:ascii="Century Gothic" w:hAnsi="Century Gothic" w:cstheme="minorHAnsi"/>
          <w:b/>
        </w:rPr>
      </w:pPr>
      <w:r w:rsidRPr="00D4679B">
        <w:rPr>
          <w:rFonts w:ascii="Century Gothic" w:hAnsi="Century Gothic" w:cstheme="minorHAnsi"/>
        </w:rPr>
        <w:t xml:space="preserve">Accessible toilets </w:t>
      </w:r>
    </w:p>
    <w:p w14:paraId="20B8BB01" w14:textId="77777777" w:rsidR="00CC0279" w:rsidRPr="00D4679B" w:rsidRDefault="00CC0279" w:rsidP="0010613E">
      <w:pPr>
        <w:rPr>
          <w:rFonts w:ascii="Century Gothic" w:hAnsi="Century Gothic" w:cstheme="minorHAnsi"/>
          <w:b/>
          <w:i/>
        </w:rPr>
      </w:pPr>
      <w:r w:rsidRPr="00D4679B">
        <w:rPr>
          <w:rFonts w:ascii="Century Gothic" w:hAnsi="Century Gothic" w:cstheme="minorHAnsi"/>
          <w:b/>
          <w:i/>
        </w:rPr>
        <w:t xml:space="preserve">Additional Support </w:t>
      </w:r>
      <w:r w:rsidR="00DF20A3" w:rsidRPr="00D4679B">
        <w:rPr>
          <w:rFonts w:ascii="Century Gothic" w:hAnsi="Century Gothic" w:cstheme="minorHAnsi"/>
          <w:b/>
          <w:i/>
        </w:rPr>
        <w:t>and Individual Needs</w:t>
      </w:r>
    </w:p>
    <w:p w14:paraId="69EAD580" w14:textId="77777777" w:rsidR="0010613E" w:rsidRPr="00D4679B" w:rsidRDefault="0010613E">
      <w:pPr>
        <w:rPr>
          <w:rFonts w:ascii="Century Gothic" w:hAnsi="Century Gothic" w:cstheme="minorHAnsi"/>
        </w:rPr>
      </w:pPr>
      <w:r w:rsidRPr="00D4679B">
        <w:rPr>
          <w:rFonts w:ascii="Century Gothic" w:hAnsi="Century Gothic" w:cstheme="minorHAnsi"/>
        </w:rPr>
        <w:t xml:space="preserve">The College is committed to providing </w:t>
      </w:r>
      <w:r w:rsidR="00DC17B1" w:rsidRPr="00D4679B">
        <w:rPr>
          <w:rFonts w:ascii="Century Gothic" w:hAnsi="Century Gothic" w:cstheme="minorHAnsi"/>
        </w:rPr>
        <w:t xml:space="preserve">individualised </w:t>
      </w:r>
      <w:r w:rsidRPr="00D4679B">
        <w:rPr>
          <w:rFonts w:ascii="Century Gothic" w:hAnsi="Century Gothic" w:cstheme="minorHAnsi"/>
        </w:rPr>
        <w:t>support and reasonable adjustments to SEND students</w:t>
      </w:r>
      <w:r w:rsidR="00DF20A3" w:rsidRPr="00D4679B">
        <w:rPr>
          <w:rFonts w:ascii="Century Gothic" w:hAnsi="Century Gothic" w:cstheme="minorHAnsi"/>
        </w:rPr>
        <w:t>. To do this, physical adaptations may be made to resources including:</w:t>
      </w:r>
    </w:p>
    <w:p w14:paraId="710D7BEB" w14:textId="77777777" w:rsidR="00DF20A3" w:rsidRPr="00D4679B" w:rsidRDefault="00DF20A3" w:rsidP="00DF20A3">
      <w:pPr>
        <w:pStyle w:val="ListParagraph"/>
        <w:numPr>
          <w:ilvl w:val="0"/>
          <w:numId w:val="3"/>
        </w:numPr>
        <w:rPr>
          <w:rFonts w:ascii="Century Gothic" w:hAnsi="Century Gothic" w:cstheme="minorHAnsi"/>
        </w:rPr>
      </w:pPr>
      <w:r w:rsidRPr="00D4679B">
        <w:rPr>
          <w:rFonts w:ascii="Century Gothic" w:hAnsi="Century Gothic" w:cstheme="minorHAnsi"/>
        </w:rPr>
        <w:t>Printing on coloured paper</w:t>
      </w:r>
    </w:p>
    <w:p w14:paraId="2D57E035" w14:textId="77777777" w:rsidR="00DF20A3" w:rsidRPr="00D4679B" w:rsidRDefault="00DF20A3" w:rsidP="00DF20A3">
      <w:pPr>
        <w:pStyle w:val="ListParagraph"/>
        <w:numPr>
          <w:ilvl w:val="0"/>
          <w:numId w:val="3"/>
        </w:numPr>
        <w:rPr>
          <w:rFonts w:ascii="Century Gothic" w:hAnsi="Century Gothic" w:cstheme="minorHAnsi"/>
        </w:rPr>
      </w:pPr>
      <w:r w:rsidRPr="00D4679B">
        <w:rPr>
          <w:rFonts w:ascii="Century Gothic" w:hAnsi="Century Gothic" w:cstheme="minorHAnsi"/>
        </w:rPr>
        <w:t xml:space="preserve">Use of word processor </w:t>
      </w:r>
    </w:p>
    <w:p w14:paraId="1F411238" w14:textId="77777777" w:rsidR="00DF20A3" w:rsidRPr="00D4679B" w:rsidRDefault="00DF20A3" w:rsidP="00DF20A3">
      <w:pPr>
        <w:pStyle w:val="ListParagraph"/>
        <w:numPr>
          <w:ilvl w:val="0"/>
          <w:numId w:val="3"/>
        </w:numPr>
        <w:rPr>
          <w:rFonts w:ascii="Century Gothic" w:hAnsi="Century Gothic" w:cstheme="minorHAnsi"/>
        </w:rPr>
      </w:pPr>
      <w:r w:rsidRPr="00D4679B">
        <w:rPr>
          <w:rFonts w:ascii="Century Gothic" w:hAnsi="Century Gothic" w:cstheme="minorHAnsi"/>
        </w:rPr>
        <w:t>Large print resources and signage</w:t>
      </w:r>
    </w:p>
    <w:p w14:paraId="1E64B454" w14:textId="77777777" w:rsidR="00DF20A3" w:rsidRPr="00D4679B" w:rsidRDefault="00DF20A3" w:rsidP="00DF20A3">
      <w:pPr>
        <w:pStyle w:val="Default"/>
        <w:rPr>
          <w:rFonts w:ascii="Century Gothic" w:hAnsi="Century Gothic" w:cstheme="minorHAnsi"/>
          <w:b/>
          <w:bCs/>
          <w:sz w:val="22"/>
          <w:szCs w:val="22"/>
        </w:rPr>
      </w:pPr>
    </w:p>
    <w:p w14:paraId="1866C705" w14:textId="77777777" w:rsidR="00DC17B1" w:rsidRPr="00D4679B" w:rsidRDefault="00DC17B1" w:rsidP="00DF20A3">
      <w:pPr>
        <w:pStyle w:val="Default"/>
        <w:rPr>
          <w:rFonts w:ascii="Century Gothic" w:hAnsi="Century Gothic" w:cstheme="minorHAnsi"/>
          <w:b/>
          <w:bCs/>
          <w:sz w:val="22"/>
          <w:szCs w:val="22"/>
        </w:rPr>
      </w:pPr>
    </w:p>
    <w:p w14:paraId="39EDCFC0" w14:textId="77777777" w:rsidR="00DF20A3" w:rsidRPr="00D4679B" w:rsidRDefault="00DC17B1" w:rsidP="00DF20A3">
      <w:pPr>
        <w:pStyle w:val="Default"/>
        <w:rPr>
          <w:rFonts w:ascii="Century Gothic" w:hAnsi="Century Gothic" w:cstheme="minorHAnsi"/>
          <w:b/>
          <w:bCs/>
          <w:sz w:val="22"/>
          <w:szCs w:val="22"/>
        </w:rPr>
      </w:pPr>
      <w:r w:rsidRPr="00D4679B">
        <w:rPr>
          <w:rFonts w:ascii="Century Gothic" w:hAnsi="Century Gothic" w:cstheme="minorHAnsi"/>
          <w:b/>
          <w:bCs/>
          <w:sz w:val="22"/>
          <w:szCs w:val="22"/>
        </w:rPr>
        <w:t xml:space="preserve">Associated Policies </w:t>
      </w:r>
    </w:p>
    <w:p w14:paraId="7347D6C8" w14:textId="77777777" w:rsidR="00DC17B1" w:rsidRPr="00D4679B" w:rsidRDefault="00DC17B1" w:rsidP="00DF20A3">
      <w:pPr>
        <w:pStyle w:val="Default"/>
        <w:rPr>
          <w:rFonts w:ascii="Century Gothic" w:hAnsi="Century Gothic" w:cstheme="minorHAnsi"/>
          <w:bCs/>
          <w:sz w:val="22"/>
          <w:szCs w:val="22"/>
        </w:rPr>
      </w:pPr>
    </w:p>
    <w:p w14:paraId="2607B549" w14:textId="77777777" w:rsidR="00DC17B1" w:rsidRPr="00D4679B" w:rsidRDefault="00DC17B1" w:rsidP="00DF20A3">
      <w:pPr>
        <w:pStyle w:val="Default"/>
        <w:rPr>
          <w:rFonts w:ascii="Century Gothic" w:hAnsi="Century Gothic" w:cstheme="minorHAnsi"/>
          <w:bCs/>
          <w:sz w:val="22"/>
          <w:szCs w:val="22"/>
        </w:rPr>
      </w:pPr>
      <w:r w:rsidRPr="00D4679B">
        <w:rPr>
          <w:rFonts w:ascii="Century Gothic" w:hAnsi="Century Gothic" w:cstheme="minorHAnsi"/>
          <w:bCs/>
          <w:sz w:val="22"/>
          <w:szCs w:val="22"/>
        </w:rPr>
        <w:t>Other policies relevant to this plan include:</w:t>
      </w:r>
    </w:p>
    <w:p w14:paraId="10C28A76" w14:textId="77777777" w:rsidR="00DC17B1" w:rsidRPr="00D4679B" w:rsidRDefault="00DC17B1" w:rsidP="00DF20A3">
      <w:pPr>
        <w:pStyle w:val="Default"/>
        <w:rPr>
          <w:rFonts w:ascii="Century Gothic" w:hAnsi="Century Gothic" w:cstheme="minorHAnsi"/>
          <w:b/>
          <w:bCs/>
          <w:sz w:val="22"/>
          <w:szCs w:val="22"/>
        </w:rPr>
      </w:pPr>
    </w:p>
    <w:p w14:paraId="12469BA6" w14:textId="77777777" w:rsidR="00DF20A3" w:rsidRPr="00D4679B" w:rsidRDefault="00DF20A3" w:rsidP="00DC17B1">
      <w:pPr>
        <w:pStyle w:val="Default"/>
        <w:numPr>
          <w:ilvl w:val="0"/>
          <w:numId w:val="4"/>
        </w:numPr>
        <w:rPr>
          <w:rFonts w:ascii="Century Gothic" w:hAnsi="Century Gothic" w:cstheme="minorHAnsi"/>
          <w:sz w:val="22"/>
          <w:szCs w:val="22"/>
        </w:rPr>
      </w:pPr>
      <w:r w:rsidRPr="00D4679B">
        <w:rPr>
          <w:rFonts w:ascii="Century Gothic" w:hAnsi="Century Gothic" w:cstheme="minorHAnsi"/>
          <w:sz w:val="22"/>
          <w:szCs w:val="22"/>
        </w:rPr>
        <w:t xml:space="preserve">Equality Opportunities Policy </w:t>
      </w:r>
    </w:p>
    <w:p w14:paraId="39CDED6C" w14:textId="77777777" w:rsidR="00DF20A3" w:rsidRPr="00D4679B" w:rsidRDefault="00DF20A3" w:rsidP="00DC17B1">
      <w:pPr>
        <w:pStyle w:val="Default"/>
        <w:numPr>
          <w:ilvl w:val="0"/>
          <w:numId w:val="4"/>
        </w:numPr>
        <w:rPr>
          <w:rFonts w:ascii="Century Gothic" w:hAnsi="Century Gothic" w:cstheme="minorHAnsi"/>
          <w:sz w:val="22"/>
          <w:szCs w:val="22"/>
        </w:rPr>
      </w:pPr>
      <w:r w:rsidRPr="00D4679B">
        <w:rPr>
          <w:rFonts w:ascii="Century Gothic" w:hAnsi="Century Gothic" w:cstheme="minorHAnsi"/>
          <w:sz w:val="22"/>
          <w:szCs w:val="22"/>
        </w:rPr>
        <w:t>Learning Support Policy</w:t>
      </w:r>
    </w:p>
    <w:p w14:paraId="2C1A11F7" w14:textId="77777777" w:rsidR="00DF20A3" w:rsidRPr="00D4679B" w:rsidRDefault="00DF20A3" w:rsidP="00DC17B1">
      <w:pPr>
        <w:pStyle w:val="Default"/>
        <w:numPr>
          <w:ilvl w:val="0"/>
          <w:numId w:val="4"/>
        </w:numPr>
        <w:rPr>
          <w:rFonts w:ascii="Century Gothic" w:hAnsi="Century Gothic" w:cstheme="minorHAnsi"/>
          <w:sz w:val="22"/>
          <w:szCs w:val="22"/>
        </w:rPr>
      </w:pPr>
      <w:r w:rsidRPr="00D4679B">
        <w:rPr>
          <w:rFonts w:ascii="Century Gothic" w:hAnsi="Century Gothic" w:cstheme="minorHAnsi"/>
          <w:sz w:val="22"/>
          <w:szCs w:val="22"/>
        </w:rPr>
        <w:t>Disability Disclosure</w:t>
      </w:r>
      <w:r w:rsidR="00DC17B1" w:rsidRPr="00D4679B">
        <w:rPr>
          <w:rFonts w:ascii="Century Gothic" w:hAnsi="Century Gothic" w:cstheme="minorHAnsi"/>
          <w:sz w:val="22"/>
          <w:szCs w:val="22"/>
        </w:rPr>
        <w:t xml:space="preserve"> Policy</w:t>
      </w:r>
    </w:p>
    <w:p w14:paraId="7F300060" w14:textId="77777777" w:rsidR="00DC17B1" w:rsidRPr="00D4679B" w:rsidRDefault="00DC17B1" w:rsidP="00DF20A3">
      <w:pPr>
        <w:pStyle w:val="Default"/>
        <w:rPr>
          <w:rFonts w:ascii="Century Gothic" w:hAnsi="Century Gothic" w:cstheme="minorHAnsi"/>
          <w:sz w:val="22"/>
          <w:szCs w:val="22"/>
        </w:rPr>
      </w:pPr>
    </w:p>
    <w:p w14:paraId="6F8B664C" w14:textId="77777777" w:rsidR="00DC17B1" w:rsidRPr="00D4679B" w:rsidRDefault="00DC17B1" w:rsidP="00DF20A3">
      <w:pPr>
        <w:pStyle w:val="Default"/>
        <w:rPr>
          <w:rFonts w:ascii="Century Gothic" w:hAnsi="Century Gothic" w:cstheme="minorHAnsi"/>
          <w:b/>
          <w:sz w:val="22"/>
          <w:szCs w:val="22"/>
        </w:rPr>
      </w:pPr>
      <w:r w:rsidRPr="00D4679B">
        <w:rPr>
          <w:rFonts w:ascii="Century Gothic" w:hAnsi="Century Gothic" w:cstheme="minorHAnsi"/>
          <w:b/>
          <w:sz w:val="22"/>
          <w:szCs w:val="22"/>
        </w:rPr>
        <w:t>Review</w:t>
      </w:r>
    </w:p>
    <w:p w14:paraId="51E06287" w14:textId="77777777" w:rsidR="00DC17B1" w:rsidRPr="00D4679B" w:rsidRDefault="00DC17B1" w:rsidP="00DF20A3">
      <w:pPr>
        <w:pStyle w:val="Default"/>
        <w:rPr>
          <w:rFonts w:ascii="Century Gothic" w:hAnsi="Century Gothic" w:cstheme="minorHAnsi"/>
          <w:sz w:val="22"/>
          <w:szCs w:val="22"/>
        </w:rPr>
      </w:pPr>
    </w:p>
    <w:p w14:paraId="2830A4B2" w14:textId="2829AC64" w:rsidR="00DC17B1" w:rsidRPr="00D4679B" w:rsidRDefault="00DC17B1" w:rsidP="00DF20A3">
      <w:pPr>
        <w:pStyle w:val="Default"/>
        <w:rPr>
          <w:rFonts w:ascii="Century Gothic" w:hAnsi="Century Gothic" w:cstheme="minorHAnsi"/>
          <w:sz w:val="22"/>
          <w:szCs w:val="22"/>
        </w:rPr>
      </w:pPr>
      <w:r w:rsidRPr="00D4679B">
        <w:rPr>
          <w:rFonts w:ascii="Century Gothic" w:hAnsi="Century Gothic" w:cstheme="minorHAnsi"/>
          <w:sz w:val="22"/>
          <w:szCs w:val="22"/>
        </w:rPr>
        <w:t xml:space="preserve">This plan will be </w:t>
      </w:r>
      <w:r w:rsidR="002C5E7C">
        <w:rPr>
          <w:rFonts w:ascii="Century Gothic" w:hAnsi="Century Gothic" w:cstheme="minorHAnsi"/>
          <w:sz w:val="22"/>
          <w:szCs w:val="22"/>
        </w:rPr>
        <w:t xml:space="preserve">reviewed </w:t>
      </w:r>
      <w:r w:rsidR="003C1CEF">
        <w:rPr>
          <w:rFonts w:ascii="Century Gothic" w:hAnsi="Century Gothic" w:cstheme="minorHAnsi"/>
          <w:sz w:val="22"/>
          <w:szCs w:val="22"/>
        </w:rPr>
        <w:t>every three years</w:t>
      </w:r>
      <w:r w:rsidR="002C5E7C">
        <w:rPr>
          <w:rFonts w:ascii="Century Gothic" w:hAnsi="Century Gothic" w:cstheme="minorHAnsi"/>
          <w:sz w:val="22"/>
          <w:szCs w:val="22"/>
        </w:rPr>
        <w:t xml:space="preserve"> and be </w:t>
      </w:r>
      <w:r w:rsidRPr="00D4679B">
        <w:rPr>
          <w:rFonts w:ascii="Century Gothic" w:hAnsi="Century Gothic" w:cstheme="minorHAnsi"/>
          <w:sz w:val="22"/>
          <w:szCs w:val="22"/>
        </w:rPr>
        <w:t xml:space="preserve">implemented and monitored by the </w:t>
      </w:r>
      <w:r w:rsidR="00D4679B" w:rsidRPr="00D4679B">
        <w:rPr>
          <w:rFonts w:ascii="Century Gothic" w:hAnsi="Century Gothic" w:cstheme="minorHAnsi"/>
          <w:sz w:val="22"/>
          <w:szCs w:val="22"/>
        </w:rPr>
        <w:t xml:space="preserve">Director of </w:t>
      </w:r>
      <w:r w:rsidR="003C1CEF">
        <w:rPr>
          <w:rFonts w:ascii="Century Gothic" w:hAnsi="Century Gothic" w:cstheme="minorHAnsi"/>
          <w:sz w:val="22"/>
          <w:szCs w:val="22"/>
        </w:rPr>
        <w:t xml:space="preserve">Student </w:t>
      </w:r>
      <w:r w:rsidR="00D4679B" w:rsidRPr="00D4679B">
        <w:rPr>
          <w:rFonts w:ascii="Century Gothic" w:hAnsi="Century Gothic" w:cstheme="minorHAnsi"/>
          <w:sz w:val="22"/>
          <w:szCs w:val="22"/>
        </w:rPr>
        <w:t>Support</w:t>
      </w:r>
      <w:r w:rsidRPr="00D4679B">
        <w:rPr>
          <w:rFonts w:ascii="Century Gothic" w:hAnsi="Century Gothic" w:cstheme="minorHAnsi"/>
          <w:sz w:val="22"/>
          <w:szCs w:val="22"/>
        </w:rPr>
        <w:t xml:space="preserve">, Additional Learning Support Co-Ordinator and the Vice-Principal. </w:t>
      </w:r>
    </w:p>
    <w:sectPr w:rsidR="00DC17B1" w:rsidRPr="00D4679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98AA" w14:textId="77777777" w:rsidR="00203FC1" w:rsidRDefault="00203FC1" w:rsidP="00DF20A3">
      <w:pPr>
        <w:spacing w:after="0" w:line="240" w:lineRule="auto"/>
      </w:pPr>
      <w:r>
        <w:separator/>
      </w:r>
    </w:p>
  </w:endnote>
  <w:endnote w:type="continuationSeparator" w:id="0">
    <w:p w14:paraId="3402D299" w14:textId="77777777" w:rsidR="00203FC1" w:rsidRDefault="00203FC1" w:rsidP="00DF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0828" w14:textId="04687F93" w:rsidR="00D4679B" w:rsidRDefault="00D4679B" w:rsidP="00D4679B">
    <w:pPr>
      <w:pStyle w:val="Footer"/>
    </w:pPr>
    <w:r>
      <w:t xml:space="preserve">Accessibility Plan </w:t>
    </w:r>
    <w:r w:rsidRPr="003E700A">
      <w:t>202</w:t>
    </w:r>
    <w:r w:rsidR="00B8569E" w:rsidRPr="003E700A">
      <w:t>3</w:t>
    </w:r>
    <w:r>
      <w:tab/>
    </w:r>
    <w:r>
      <w:tab/>
    </w:r>
    <w:sdt>
      <w:sdtPr>
        <w:id w:val="18240052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91E7A3C" w14:textId="77777777" w:rsidR="00D4679B" w:rsidRDefault="00D46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2B80" w14:textId="77777777" w:rsidR="00203FC1" w:rsidRDefault="00203FC1" w:rsidP="00DF20A3">
      <w:pPr>
        <w:spacing w:after="0" w:line="240" w:lineRule="auto"/>
      </w:pPr>
      <w:r>
        <w:separator/>
      </w:r>
    </w:p>
  </w:footnote>
  <w:footnote w:type="continuationSeparator" w:id="0">
    <w:p w14:paraId="7D2EC351" w14:textId="77777777" w:rsidR="00203FC1" w:rsidRDefault="00203FC1" w:rsidP="00DF2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248B"/>
    <w:multiLevelType w:val="hybridMultilevel"/>
    <w:tmpl w:val="95AA4052"/>
    <w:lvl w:ilvl="0" w:tplc="426E07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25B6D"/>
    <w:multiLevelType w:val="hybridMultilevel"/>
    <w:tmpl w:val="677EDB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03D60"/>
    <w:multiLevelType w:val="hybridMultilevel"/>
    <w:tmpl w:val="93A80C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621E4"/>
    <w:multiLevelType w:val="hybridMultilevel"/>
    <w:tmpl w:val="A4746F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2583B"/>
    <w:multiLevelType w:val="hybridMultilevel"/>
    <w:tmpl w:val="391C4F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6350276">
    <w:abstractNumId w:val="1"/>
  </w:num>
  <w:num w:numId="2" w16cid:durableId="254635728">
    <w:abstractNumId w:val="4"/>
  </w:num>
  <w:num w:numId="3" w16cid:durableId="150558317">
    <w:abstractNumId w:val="3"/>
  </w:num>
  <w:num w:numId="4" w16cid:durableId="1366296645">
    <w:abstractNumId w:val="2"/>
  </w:num>
  <w:num w:numId="5" w16cid:durableId="83545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BD"/>
    <w:rsid w:val="000C2419"/>
    <w:rsid w:val="0010613E"/>
    <w:rsid w:val="00203FC1"/>
    <w:rsid w:val="002C5E7C"/>
    <w:rsid w:val="003426E4"/>
    <w:rsid w:val="003C1CEF"/>
    <w:rsid w:val="003E700A"/>
    <w:rsid w:val="004453BD"/>
    <w:rsid w:val="004C5C39"/>
    <w:rsid w:val="00520F48"/>
    <w:rsid w:val="005868F9"/>
    <w:rsid w:val="006D4126"/>
    <w:rsid w:val="006E0286"/>
    <w:rsid w:val="00B15673"/>
    <w:rsid w:val="00B302C9"/>
    <w:rsid w:val="00B8569E"/>
    <w:rsid w:val="00CC0279"/>
    <w:rsid w:val="00CD7E32"/>
    <w:rsid w:val="00D4679B"/>
    <w:rsid w:val="00DC17B1"/>
    <w:rsid w:val="00DF2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C3B5C"/>
  <w15:chartTrackingRefBased/>
  <w15:docId w15:val="{F11C4525-59D5-4F8A-A93E-9E4398C8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279"/>
    <w:pPr>
      <w:ind w:left="720"/>
      <w:contextualSpacing/>
    </w:pPr>
  </w:style>
  <w:style w:type="paragraph" w:customStyle="1" w:styleId="Default">
    <w:name w:val="Default"/>
    <w:rsid w:val="00DF20A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F2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0A3"/>
  </w:style>
  <w:style w:type="paragraph" w:styleId="Footer">
    <w:name w:val="footer"/>
    <w:basedOn w:val="Normal"/>
    <w:link w:val="FooterChar"/>
    <w:uiPriority w:val="99"/>
    <w:unhideWhenUsed/>
    <w:rsid w:val="00DF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2957">
      <w:bodyDiv w:val="1"/>
      <w:marLeft w:val="0"/>
      <w:marRight w:val="0"/>
      <w:marTop w:val="0"/>
      <w:marBottom w:val="0"/>
      <w:divBdr>
        <w:top w:val="none" w:sz="0" w:space="0" w:color="auto"/>
        <w:left w:val="none" w:sz="0" w:space="0" w:color="auto"/>
        <w:bottom w:val="none" w:sz="0" w:space="0" w:color="auto"/>
        <w:right w:val="none" w:sz="0" w:space="0" w:color="auto"/>
      </w:divBdr>
    </w:div>
    <w:div w:id="602226212">
      <w:bodyDiv w:val="1"/>
      <w:marLeft w:val="0"/>
      <w:marRight w:val="0"/>
      <w:marTop w:val="0"/>
      <w:marBottom w:val="0"/>
      <w:divBdr>
        <w:top w:val="none" w:sz="0" w:space="0" w:color="auto"/>
        <w:left w:val="none" w:sz="0" w:space="0" w:color="auto"/>
        <w:bottom w:val="none" w:sz="0" w:space="0" w:color="auto"/>
        <w:right w:val="none" w:sz="0" w:space="0" w:color="auto"/>
      </w:divBdr>
    </w:div>
    <w:div w:id="892352982">
      <w:bodyDiv w:val="1"/>
      <w:marLeft w:val="0"/>
      <w:marRight w:val="0"/>
      <w:marTop w:val="0"/>
      <w:marBottom w:val="0"/>
      <w:divBdr>
        <w:top w:val="none" w:sz="0" w:space="0" w:color="auto"/>
        <w:left w:val="none" w:sz="0" w:space="0" w:color="auto"/>
        <w:bottom w:val="none" w:sz="0" w:space="0" w:color="auto"/>
        <w:right w:val="none" w:sz="0" w:space="0" w:color="auto"/>
      </w:divBdr>
    </w:div>
    <w:div w:id="11638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King</dc:creator>
  <cp:keywords/>
  <dc:description/>
  <cp:lastModifiedBy>Sam McDonnell</cp:lastModifiedBy>
  <cp:revision>2</cp:revision>
  <dcterms:created xsi:type="dcterms:W3CDTF">2023-10-11T09:15:00Z</dcterms:created>
  <dcterms:modified xsi:type="dcterms:W3CDTF">2023-10-11T09:15:00Z</dcterms:modified>
</cp:coreProperties>
</file>