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3933" w14:textId="1EC4A25A" w:rsidR="00A07907" w:rsidRDefault="007E3B42">
      <w:pPr>
        <w:ind w:left="776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anchor distT="0" distB="0" distL="114300" distR="114300" simplePos="0" relativeHeight="251660288" behindDoc="0" locked="0" layoutInCell="1" allowOverlap="1" wp14:anchorId="5FC0F610" wp14:editId="598E5ED2">
                <wp:simplePos x="0" y="0"/>
                <wp:positionH relativeFrom="column">
                  <wp:posOffset>3321050</wp:posOffset>
                </wp:positionH>
                <wp:positionV relativeFrom="paragraph">
                  <wp:posOffset>1905</wp:posOffset>
                </wp:positionV>
                <wp:extent cx="3362325" cy="981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362325" cy="981075"/>
                        </a:xfrm>
                        <a:prstGeom prst="rect">
                          <a:avLst/>
                        </a:prstGeom>
                        <a:solidFill>
                          <a:schemeClr val="lt1"/>
                        </a:solidFill>
                        <a:ln w="6350">
                          <a:solidFill>
                            <a:prstClr val="black"/>
                          </a:solidFill>
                        </a:ln>
                      </wps:spPr>
                      <wps:txbx>
                        <w:txbxContent>
                          <w:p w14:paraId="7790EC60" w14:textId="08FB6BBD" w:rsidR="00955CE4" w:rsidRDefault="00955CE4">
                            <w:r>
                              <w:t>Approved by:  Principal</w:t>
                            </w:r>
                          </w:p>
                          <w:p w14:paraId="3060D840" w14:textId="5C5D085A" w:rsidR="00955CE4" w:rsidRDefault="00955CE4">
                            <w:r>
                              <w:t>Person responsible:  Deputy Principal</w:t>
                            </w:r>
                            <w:r w:rsidR="003044FB">
                              <w:t>/Director of Exams</w:t>
                            </w:r>
                          </w:p>
                          <w:p w14:paraId="27672853" w14:textId="226B20CA" w:rsidR="00955CE4" w:rsidRDefault="00955CE4">
                            <w:r>
                              <w:t>Review Cycle:  Annually</w:t>
                            </w:r>
                          </w:p>
                          <w:p w14:paraId="06E4757F" w14:textId="6C30483B" w:rsidR="00955CE4" w:rsidRDefault="00955CE4">
                            <w:r>
                              <w:t xml:space="preserve">Last approved:  </w:t>
                            </w:r>
                            <w:r w:rsidR="009979A4">
                              <w:t>February 202</w:t>
                            </w:r>
                            <w:r w:rsidR="00B439DD">
                              <w:t>5</w:t>
                            </w:r>
                          </w:p>
                          <w:p w14:paraId="27A288B5" w14:textId="7DAD51CA" w:rsidR="00955CE4" w:rsidRDefault="00955CE4">
                            <w:r>
                              <w:t xml:space="preserve">Due for review:  </w:t>
                            </w:r>
                            <w:r w:rsidR="009979A4">
                              <w:t>February 202</w:t>
                            </w:r>
                            <w:r w:rsidR="00B439DD">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C0F610" id="_x0000_t202" coordsize="21600,21600" o:spt="202" path="m,l,21600r21600,l21600,xe">
                <v:stroke joinstyle="miter"/>
                <v:path gradientshapeok="t" o:connecttype="rect"/>
              </v:shapetype>
              <v:shape id="Text Box 3" o:spid="_x0000_s1026" type="#_x0000_t202" style="position:absolute;left:0;text-align:left;margin-left:261.5pt;margin-top:.15pt;width:264.75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zENwIAAHw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" fillcolor="white [3201]" strokeweight=".5pt">
                <v:textbox>
                  <w:txbxContent>
                    <w:p w14:paraId="7790EC60" w14:textId="08FB6BBD" w:rsidR="00955CE4" w:rsidRDefault="00955CE4">
                      <w:r>
                        <w:t>Approved by:  Principal</w:t>
                      </w:r>
                    </w:p>
                    <w:p w14:paraId="3060D840" w14:textId="5C5D085A" w:rsidR="00955CE4" w:rsidRDefault="00955CE4">
                      <w:r>
                        <w:t>Person responsible:  Deputy Principal</w:t>
                      </w:r>
                      <w:r w:rsidR="003044FB">
                        <w:t>/Director of Exams</w:t>
                      </w:r>
                    </w:p>
                    <w:p w14:paraId="27672853" w14:textId="226B20CA" w:rsidR="00955CE4" w:rsidRDefault="00955CE4">
                      <w:r>
                        <w:t>Review Cycle:  Annually</w:t>
                      </w:r>
                    </w:p>
                    <w:p w14:paraId="06E4757F" w14:textId="6C30483B" w:rsidR="00955CE4" w:rsidRDefault="00955CE4">
                      <w:r>
                        <w:t xml:space="preserve">Last approved:  </w:t>
                      </w:r>
                      <w:r w:rsidR="009979A4">
                        <w:t>February 202</w:t>
                      </w:r>
                      <w:r w:rsidR="00B439DD">
                        <w:t>5</w:t>
                      </w:r>
                    </w:p>
                    <w:p w14:paraId="27A288B5" w14:textId="7DAD51CA" w:rsidR="00955CE4" w:rsidRDefault="00955CE4">
                      <w:r>
                        <w:t xml:space="preserve">Due for review:  </w:t>
                      </w:r>
                      <w:r w:rsidR="009979A4">
                        <w:t>February 202</w:t>
                      </w:r>
                      <w:r w:rsidR="00B439DD">
                        <w:t>6</w:t>
                      </w:r>
                    </w:p>
                  </w:txbxContent>
                </v:textbox>
              </v:shape>
            </w:pict>
          </mc:Fallback>
        </mc:AlternateContent>
      </w:r>
      <w:r>
        <w:rPr>
          <w:rFonts w:ascii="Times New Roman" w:eastAsia="Times New Roman" w:hAnsi="Times New Roman" w:cs="Times New Roman"/>
          <w:noProof/>
          <w:sz w:val="20"/>
          <w:szCs w:val="20"/>
          <w:lang w:val="en-GB" w:eastAsia="en-GB"/>
        </w:rPr>
        <w:drawing>
          <wp:anchor distT="0" distB="0" distL="114300" distR="114300" simplePos="0" relativeHeight="251661312" behindDoc="1" locked="0" layoutInCell="1" allowOverlap="1" wp14:anchorId="3D5866B6" wp14:editId="186B9201">
            <wp:simplePos x="0" y="0"/>
            <wp:positionH relativeFrom="column">
              <wp:posOffset>187325</wp:posOffset>
            </wp:positionH>
            <wp:positionV relativeFrom="paragraph">
              <wp:posOffset>0</wp:posOffset>
            </wp:positionV>
            <wp:extent cx="1787525" cy="879475"/>
            <wp:effectExtent l="0" t="0" r="317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7525" cy="879475"/>
                    </a:xfrm>
                    <a:prstGeom prst="rect">
                      <a:avLst/>
                    </a:prstGeom>
                  </pic:spPr>
                </pic:pic>
              </a:graphicData>
            </a:graphic>
          </wp:anchor>
        </w:drawing>
      </w:r>
    </w:p>
    <w:p w14:paraId="701C2C8C" w14:textId="32F95318" w:rsidR="00A07907" w:rsidRDefault="00A07907" w:rsidP="00A07907"/>
    <w:p w14:paraId="489E1568" w14:textId="522227C1" w:rsidR="00511ADB" w:rsidRDefault="00511ADB">
      <w:pPr>
        <w:ind w:left="7764"/>
        <w:rPr>
          <w:rFonts w:ascii="Times New Roman" w:eastAsia="Times New Roman" w:hAnsi="Times New Roman" w:cs="Times New Roman"/>
          <w:sz w:val="20"/>
          <w:szCs w:val="20"/>
        </w:rPr>
      </w:pPr>
    </w:p>
    <w:p w14:paraId="32E23371" w14:textId="7DD1B36B" w:rsidR="00955CE4" w:rsidRDefault="00955CE4">
      <w:pPr>
        <w:spacing w:line="485" w:lineRule="exact"/>
        <w:ind w:left="112"/>
        <w:rPr>
          <w:rFonts w:ascii="Calibri"/>
          <w:b/>
          <w:sz w:val="44"/>
        </w:rPr>
      </w:pPr>
    </w:p>
    <w:p w14:paraId="5E486E26" w14:textId="33FDEB28" w:rsidR="00955CE4" w:rsidRDefault="00955CE4">
      <w:pPr>
        <w:spacing w:line="485" w:lineRule="exact"/>
        <w:ind w:left="112"/>
        <w:rPr>
          <w:rFonts w:ascii="Calibri"/>
          <w:b/>
          <w:sz w:val="44"/>
        </w:rPr>
      </w:pPr>
    </w:p>
    <w:p w14:paraId="462AAAFF" w14:textId="2598CEF4" w:rsidR="00955CE4" w:rsidRDefault="00955CE4">
      <w:pPr>
        <w:spacing w:line="485" w:lineRule="exact"/>
        <w:ind w:left="112"/>
        <w:rPr>
          <w:rFonts w:ascii="Calibri"/>
          <w:b/>
          <w:sz w:val="44"/>
        </w:rPr>
      </w:pPr>
    </w:p>
    <w:p w14:paraId="73A814BD" w14:textId="7D5A8F88" w:rsidR="00511ADB" w:rsidRDefault="00173109">
      <w:pPr>
        <w:spacing w:line="485" w:lineRule="exact"/>
        <w:ind w:left="112"/>
        <w:rPr>
          <w:rFonts w:ascii="Calibri" w:eastAsia="Calibri" w:hAnsi="Calibri" w:cs="Calibri"/>
          <w:sz w:val="44"/>
          <w:szCs w:val="44"/>
        </w:rPr>
      </w:pPr>
      <w:r>
        <w:rPr>
          <w:rFonts w:ascii="Calibri"/>
          <w:b/>
          <w:sz w:val="44"/>
        </w:rPr>
        <w:t>Fee</w:t>
      </w:r>
      <w:r>
        <w:rPr>
          <w:rFonts w:ascii="Calibri"/>
          <w:b/>
          <w:spacing w:val="-11"/>
          <w:sz w:val="44"/>
        </w:rPr>
        <w:t xml:space="preserve"> </w:t>
      </w:r>
      <w:r>
        <w:rPr>
          <w:rFonts w:ascii="Calibri"/>
          <w:b/>
          <w:sz w:val="44"/>
        </w:rPr>
        <w:t>Policy</w:t>
      </w:r>
    </w:p>
    <w:p w14:paraId="12308E53" w14:textId="34AB806C" w:rsidR="00511ADB" w:rsidRDefault="00173109">
      <w:pPr>
        <w:pStyle w:val="Heading1"/>
        <w:numPr>
          <w:ilvl w:val="0"/>
          <w:numId w:val="3"/>
        </w:numPr>
        <w:tabs>
          <w:tab w:val="left" w:pos="679"/>
        </w:tabs>
        <w:spacing w:before="265"/>
        <w:ind w:hanging="566"/>
        <w:rPr>
          <w:b w:val="0"/>
          <w:bCs w:val="0"/>
        </w:rPr>
      </w:pPr>
      <w:r>
        <w:t>SCOPE</w:t>
      </w:r>
    </w:p>
    <w:p w14:paraId="6BD0BCC6" w14:textId="7BA9DA40" w:rsidR="00511ADB" w:rsidRDefault="00511ADB">
      <w:pPr>
        <w:rPr>
          <w:rFonts w:ascii="Calibri" w:eastAsia="Calibri" w:hAnsi="Calibri" w:cs="Calibri"/>
          <w:b/>
          <w:bCs/>
        </w:rPr>
      </w:pPr>
    </w:p>
    <w:p w14:paraId="41E6E1BB" w14:textId="08BDC7DC" w:rsidR="00511ADB" w:rsidRDefault="00173109">
      <w:pPr>
        <w:pStyle w:val="ListParagraph"/>
        <w:numPr>
          <w:ilvl w:val="1"/>
          <w:numId w:val="3"/>
        </w:numPr>
        <w:tabs>
          <w:tab w:val="left" w:pos="679"/>
        </w:tabs>
        <w:ind w:right="347" w:hanging="566"/>
        <w:jc w:val="both"/>
        <w:rPr>
          <w:rFonts w:ascii="Calibri" w:eastAsia="Calibri" w:hAnsi="Calibri" w:cs="Calibri"/>
        </w:rPr>
      </w:pPr>
      <w:r>
        <w:rPr>
          <w:rFonts w:ascii="Calibri"/>
        </w:rPr>
        <w:t xml:space="preserve">This policy statement details how </w:t>
      </w:r>
      <w:r w:rsidR="00925E92">
        <w:rPr>
          <w:rFonts w:ascii="Calibri"/>
        </w:rPr>
        <w:t>Birkenhead</w:t>
      </w:r>
      <w:r>
        <w:rPr>
          <w:rFonts w:ascii="Calibri"/>
        </w:rPr>
        <w:t xml:space="preserve"> Sixth Form College will apply fees for courses funded by the Education</w:t>
      </w:r>
      <w:r w:rsidR="00925E92">
        <w:rPr>
          <w:rFonts w:ascii="Calibri"/>
        </w:rPr>
        <w:t xml:space="preserve"> &amp; Skills</w:t>
      </w:r>
      <w:r>
        <w:rPr>
          <w:rFonts w:ascii="Calibri"/>
        </w:rPr>
        <w:t xml:space="preserve"> Funding Agency (E</w:t>
      </w:r>
      <w:r w:rsidR="00925E92">
        <w:rPr>
          <w:rFonts w:ascii="Calibri"/>
        </w:rPr>
        <w:t>S</w:t>
      </w:r>
      <w:r>
        <w:rPr>
          <w:rFonts w:ascii="Calibri"/>
        </w:rPr>
        <w:t>FA)</w:t>
      </w:r>
      <w:r w:rsidR="00404CE2">
        <w:rPr>
          <w:rFonts w:ascii="Calibri"/>
        </w:rPr>
        <w:t>,</w:t>
      </w:r>
      <w:r>
        <w:rPr>
          <w:rFonts w:ascii="Calibri"/>
        </w:rPr>
        <w:t xml:space="preserve"> and </w:t>
      </w:r>
      <w:r w:rsidR="00925E92">
        <w:rPr>
          <w:rFonts w:ascii="Calibri"/>
        </w:rPr>
        <w:t>those</w:t>
      </w:r>
      <w:r>
        <w:rPr>
          <w:rFonts w:ascii="Calibri"/>
        </w:rPr>
        <w:t xml:space="preserve"> courses that receive no grant</w:t>
      </w:r>
      <w:r>
        <w:rPr>
          <w:rFonts w:ascii="Calibri"/>
          <w:spacing w:val="-6"/>
        </w:rPr>
        <w:t xml:space="preserve"> </w:t>
      </w:r>
      <w:r>
        <w:rPr>
          <w:rFonts w:ascii="Calibri"/>
        </w:rPr>
        <w:t>funding.</w:t>
      </w:r>
    </w:p>
    <w:p w14:paraId="516E88B1" w14:textId="77777777" w:rsidR="00511ADB" w:rsidRDefault="00511ADB">
      <w:pPr>
        <w:rPr>
          <w:rFonts w:ascii="Calibri" w:eastAsia="Calibri" w:hAnsi="Calibri" w:cs="Calibri"/>
        </w:rPr>
      </w:pPr>
    </w:p>
    <w:p w14:paraId="187ECC43" w14:textId="77777777" w:rsidR="00511ADB" w:rsidRDefault="00173109">
      <w:pPr>
        <w:pStyle w:val="ListParagraph"/>
        <w:numPr>
          <w:ilvl w:val="1"/>
          <w:numId w:val="3"/>
        </w:numPr>
        <w:tabs>
          <w:tab w:val="left" w:pos="679"/>
        </w:tabs>
        <w:ind w:right="343" w:hanging="566"/>
        <w:jc w:val="both"/>
        <w:rPr>
          <w:rFonts w:ascii="Calibri" w:eastAsia="Calibri" w:hAnsi="Calibri" w:cs="Calibri"/>
        </w:rPr>
      </w:pPr>
      <w:r>
        <w:rPr>
          <w:rFonts w:ascii="Calibri"/>
        </w:rPr>
        <w:t xml:space="preserve">In exceptional circumstances approval may be sought from the </w:t>
      </w:r>
      <w:r w:rsidRPr="00985D1A">
        <w:rPr>
          <w:rFonts w:ascii="Calibri"/>
        </w:rPr>
        <w:t>Principal</w:t>
      </w:r>
      <w:r>
        <w:rPr>
          <w:rFonts w:ascii="Calibri"/>
        </w:rPr>
        <w:t xml:space="preserve"> to set fees outside the guidance of this policy prior to commencement of  the course, or to waive or amend the requirements for individual learner</w:t>
      </w:r>
      <w:r>
        <w:rPr>
          <w:rFonts w:ascii="Calibri"/>
          <w:spacing w:val="-21"/>
        </w:rPr>
        <w:t xml:space="preserve"> </w:t>
      </w:r>
      <w:r>
        <w:rPr>
          <w:rFonts w:ascii="Calibri"/>
        </w:rPr>
        <w:t>circumstances.</w:t>
      </w:r>
    </w:p>
    <w:p w14:paraId="536EF7A3" w14:textId="77777777" w:rsidR="00511ADB" w:rsidRDefault="00511ADB">
      <w:pPr>
        <w:rPr>
          <w:rFonts w:ascii="Calibri" w:eastAsia="Calibri" w:hAnsi="Calibri" w:cs="Calibri"/>
        </w:rPr>
      </w:pPr>
    </w:p>
    <w:p w14:paraId="631F0520" w14:textId="77777777" w:rsidR="00511ADB" w:rsidRDefault="00173109">
      <w:pPr>
        <w:pStyle w:val="Heading1"/>
        <w:numPr>
          <w:ilvl w:val="0"/>
          <w:numId w:val="3"/>
        </w:numPr>
        <w:tabs>
          <w:tab w:val="left" w:pos="679"/>
        </w:tabs>
        <w:ind w:hanging="566"/>
        <w:rPr>
          <w:b w:val="0"/>
          <w:bCs w:val="0"/>
        </w:rPr>
      </w:pPr>
      <w:r>
        <w:t>DISCLAIMER</w:t>
      </w:r>
    </w:p>
    <w:p w14:paraId="38147F75" w14:textId="77777777" w:rsidR="00511ADB" w:rsidRDefault="00511ADB">
      <w:pPr>
        <w:spacing w:before="1"/>
        <w:rPr>
          <w:rFonts w:ascii="Calibri" w:eastAsia="Calibri" w:hAnsi="Calibri" w:cs="Calibri"/>
          <w:b/>
          <w:bCs/>
        </w:rPr>
      </w:pPr>
    </w:p>
    <w:p w14:paraId="056A7563" w14:textId="77777777" w:rsidR="00511ADB" w:rsidRDefault="00173109">
      <w:pPr>
        <w:pStyle w:val="ListParagraph"/>
        <w:numPr>
          <w:ilvl w:val="1"/>
          <w:numId w:val="3"/>
        </w:numPr>
        <w:tabs>
          <w:tab w:val="left" w:pos="679"/>
        </w:tabs>
        <w:ind w:right="346" w:hanging="566"/>
        <w:jc w:val="both"/>
        <w:rPr>
          <w:rFonts w:ascii="Calibri" w:eastAsia="Calibri" w:hAnsi="Calibri" w:cs="Calibri"/>
        </w:rPr>
      </w:pPr>
      <w:r>
        <w:rPr>
          <w:rFonts w:ascii="Calibri"/>
        </w:rPr>
        <w:t>The College reserves the right to change or amend, at any time, any of the course details including content, dates, times, venues, fees payable, concessions available, terms or conditions. The College also reserves the right to close or not to start any published</w:t>
      </w:r>
      <w:r>
        <w:rPr>
          <w:rFonts w:ascii="Calibri"/>
          <w:spacing w:val="-16"/>
        </w:rPr>
        <w:t xml:space="preserve"> </w:t>
      </w:r>
      <w:r>
        <w:rPr>
          <w:rFonts w:ascii="Calibri"/>
        </w:rPr>
        <w:t>course.</w:t>
      </w:r>
    </w:p>
    <w:p w14:paraId="60260E2F" w14:textId="77777777" w:rsidR="00511ADB" w:rsidRPr="00985D1A" w:rsidRDefault="00511ADB" w:rsidP="00985D1A">
      <w:pPr>
        <w:pStyle w:val="Heading1"/>
        <w:tabs>
          <w:tab w:val="left" w:pos="679"/>
        </w:tabs>
        <w:ind w:left="0" w:firstLine="0"/>
        <w:rPr>
          <w:b w:val="0"/>
          <w:bCs w:val="0"/>
        </w:rPr>
      </w:pPr>
    </w:p>
    <w:p w14:paraId="2EFB1C42" w14:textId="77777777" w:rsidR="00511ADB" w:rsidRDefault="00511ADB">
      <w:pPr>
        <w:spacing w:before="10"/>
        <w:rPr>
          <w:rFonts w:ascii="Calibri" w:eastAsia="Calibri" w:hAnsi="Calibri" w:cs="Calibri"/>
          <w:sz w:val="21"/>
          <w:szCs w:val="21"/>
        </w:rPr>
      </w:pPr>
    </w:p>
    <w:p w14:paraId="7277DB20" w14:textId="77777777" w:rsidR="00511ADB" w:rsidRDefault="00173109">
      <w:pPr>
        <w:pStyle w:val="Heading1"/>
        <w:numPr>
          <w:ilvl w:val="0"/>
          <w:numId w:val="3"/>
        </w:numPr>
        <w:tabs>
          <w:tab w:val="left" w:pos="679"/>
        </w:tabs>
        <w:ind w:hanging="566"/>
        <w:rPr>
          <w:b w:val="0"/>
          <w:bCs w:val="0"/>
        </w:rPr>
      </w:pPr>
      <w:r>
        <w:t>E</w:t>
      </w:r>
      <w:r w:rsidR="00925E92">
        <w:t>S</w:t>
      </w:r>
      <w:r>
        <w:t>FA FEE</w:t>
      </w:r>
      <w:r>
        <w:rPr>
          <w:spacing w:val="-6"/>
        </w:rPr>
        <w:t xml:space="preserve"> </w:t>
      </w:r>
      <w:r>
        <w:t>REMISSION</w:t>
      </w:r>
    </w:p>
    <w:p w14:paraId="7B1E61F1" w14:textId="77777777" w:rsidR="00511ADB" w:rsidRDefault="00511ADB">
      <w:pPr>
        <w:rPr>
          <w:rFonts w:ascii="Calibri" w:eastAsia="Calibri" w:hAnsi="Calibri" w:cs="Calibri"/>
          <w:b/>
          <w:bCs/>
        </w:rPr>
      </w:pPr>
    </w:p>
    <w:p w14:paraId="03CB76C2" w14:textId="77777777" w:rsidR="00517C23" w:rsidRPr="00517C23" w:rsidRDefault="00C9375C" w:rsidP="00924F8C">
      <w:pPr>
        <w:pStyle w:val="ListParagraph"/>
        <w:numPr>
          <w:ilvl w:val="1"/>
          <w:numId w:val="3"/>
        </w:numPr>
        <w:tabs>
          <w:tab w:val="left" w:pos="679"/>
        </w:tabs>
        <w:ind w:right="349" w:hanging="566"/>
        <w:rPr>
          <w:rFonts w:ascii="Calibri" w:eastAsia="Calibri" w:hAnsi="Calibri" w:cs="Calibri"/>
        </w:rPr>
      </w:pPr>
      <w:r>
        <w:rPr>
          <w:rFonts w:ascii="Calibri"/>
        </w:rPr>
        <w:t>ESFA</w:t>
      </w:r>
      <w:r w:rsidR="00924F8C">
        <w:rPr>
          <w:rFonts w:ascii="Calibri"/>
        </w:rPr>
        <w:t xml:space="preserve"> document ‘Funding guidance for 202</w:t>
      </w:r>
      <w:r w:rsidR="00517C23">
        <w:rPr>
          <w:rFonts w:ascii="Calibri"/>
        </w:rPr>
        <w:t>4</w:t>
      </w:r>
      <w:r w:rsidR="00924F8C">
        <w:rPr>
          <w:rFonts w:ascii="Calibri"/>
        </w:rPr>
        <w:t xml:space="preserve"> – 202</w:t>
      </w:r>
      <w:r w:rsidR="00517C23">
        <w:rPr>
          <w:rFonts w:ascii="Calibri"/>
        </w:rPr>
        <w:t>5</w:t>
      </w:r>
      <w:r w:rsidR="00924F8C">
        <w:rPr>
          <w:rFonts w:ascii="Calibri"/>
        </w:rPr>
        <w:t xml:space="preserve">’ </w:t>
      </w:r>
      <w:r w:rsidR="00924F8C" w:rsidRPr="00924F8C">
        <w:rPr>
          <w:rFonts w:ascii="Calibri"/>
        </w:rPr>
        <w:t xml:space="preserve"> </w:t>
      </w:r>
    </w:p>
    <w:p w14:paraId="57A05C8D" w14:textId="11AFE7CE" w:rsidR="00511ADB" w:rsidRPr="00924F8C" w:rsidRDefault="008858AA" w:rsidP="00517C23">
      <w:pPr>
        <w:pStyle w:val="ListParagraph"/>
        <w:tabs>
          <w:tab w:val="left" w:pos="679"/>
        </w:tabs>
        <w:ind w:left="678" w:right="349"/>
        <w:rPr>
          <w:rFonts w:ascii="Calibri" w:eastAsia="Calibri" w:hAnsi="Calibri" w:cs="Calibri"/>
        </w:rPr>
      </w:pPr>
      <w:hyperlink r:id="rId7" w:anchor="Section5" w:history="1">
        <w:r w:rsidR="00517C23" w:rsidRPr="00517C23">
          <w:rPr>
            <w:color w:val="0000FF"/>
            <w:u w:val="single"/>
          </w:rPr>
          <w:t>Advice: funding regulations for post-16 provision 2024 to 2025 - GOV.UK</w:t>
        </w:r>
      </w:hyperlink>
      <w:r w:rsidR="00517C23">
        <w:t xml:space="preserve"> </w:t>
      </w:r>
      <w:r w:rsidR="00C9375C" w:rsidRPr="00924F8C">
        <w:rPr>
          <w:rFonts w:ascii="Calibri"/>
        </w:rPr>
        <w:t>sets out the</w:t>
      </w:r>
      <w:r w:rsidR="006C5DB4" w:rsidRPr="00924F8C">
        <w:rPr>
          <w:rFonts w:ascii="Calibri"/>
        </w:rPr>
        <w:t xml:space="preserve"> current</w:t>
      </w:r>
      <w:r w:rsidR="00C9375C" w:rsidRPr="00924F8C">
        <w:rPr>
          <w:rFonts w:ascii="Calibri"/>
        </w:rPr>
        <w:t xml:space="preserve"> funding regulations for 16-19 year old learners, and those aged 19-24 with an EHC Plan.</w:t>
      </w:r>
      <w:r w:rsidR="006C5DB4" w:rsidRPr="00924F8C">
        <w:rPr>
          <w:rFonts w:ascii="Calibri"/>
        </w:rPr>
        <w:t xml:space="preserve"> These </w:t>
      </w:r>
      <w:r w:rsidR="009426D4" w:rsidRPr="00924F8C">
        <w:rPr>
          <w:rFonts w:ascii="Calibri"/>
        </w:rPr>
        <w:t>documents</w:t>
      </w:r>
      <w:r w:rsidR="006C5DB4" w:rsidRPr="00924F8C">
        <w:rPr>
          <w:rFonts w:ascii="Calibri"/>
        </w:rPr>
        <w:t>, and any updates for the following academic years,</w:t>
      </w:r>
      <w:r w:rsidR="009426D4" w:rsidRPr="00924F8C">
        <w:rPr>
          <w:rFonts w:ascii="Calibri"/>
        </w:rPr>
        <w:t xml:space="preserve"> are referred </w:t>
      </w:r>
      <w:r w:rsidR="006C5DB4" w:rsidRPr="00924F8C">
        <w:rPr>
          <w:rFonts w:ascii="Calibri"/>
        </w:rPr>
        <w:t xml:space="preserve">to </w:t>
      </w:r>
      <w:r w:rsidR="009426D4" w:rsidRPr="00924F8C">
        <w:rPr>
          <w:rFonts w:ascii="Calibri"/>
        </w:rPr>
        <w:t>as the Funding Rules Document.</w:t>
      </w:r>
    </w:p>
    <w:p w14:paraId="3E0B6CC2" w14:textId="77777777" w:rsidR="00511ADB" w:rsidRDefault="00511ADB">
      <w:pPr>
        <w:spacing w:before="1"/>
        <w:rPr>
          <w:rFonts w:ascii="Calibri" w:eastAsia="Calibri" w:hAnsi="Calibri" w:cs="Calibri"/>
        </w:rPr>
      </w:pPr>
    </w:p>
    <w:p w14:paraId="575818A8" w14:textId="77777777" w:rsidR="00511ADB" w:rsidRDefault="00173109">
      <w:pPr>
        <w:pStyle w:val="Heading1"/>
        <w:numPr>
          <w:ilvl w:val="0"/>
          <w:numId w:val="3"/>
        </w:numPr>
        <w:tabs>
          <w:tab w:val="left" w:pos="679"/>
        </w:tabs>
        <w:ind w:hanging="566"/>
        <w:rPr>
          <w:b w:val="0"/>
          <w:bCs w:val="0"/>
        </w:rPr>
      </w:pPr>
      <w:r>
        <w:t>COURSE FEE</w:t>
      </w:r>
      <w:r>
        <w:rPr>
          <w:spacing w:val="-10"/>
        </w:rPr>
        <w:t xml:space="preserve"> </w:t>
      </w:r>
      <w:r>
        <w:t>ELIGIBILITY</w:t>
      </w:r>
    </w:p>
    <w:p w14:paraId="69B6B820" w14:textId="77777777" w:rsidR="00511ADB" w:rsidRDefault="00511ADB">
      <w:pPr>
        <w:spacing w:before="1"/>
        <w:rPr>
          <w:rFonts w:ascii="Calibri" w:eastAsia="Calibri" w:hAnsi="Calibri" w:cs="Calibri"/>
          <w:b/>
          <w:bCs/>
          <w:sz w:val="20"/>
          <w:szCs w:val="20"/>
        </w:rPr>
      </w:pPr>
    </w:p>
    <w:p w14:paraId="21C28E53" w14:textId="1B5B5ABC" w:rsidR="00511ADB" w:rsidRDefault="00173109">
      <w:pPr>
        <w:pStyle w:val="ListParagraph"/>
        <w:numPr>
          <w:ilvl w:val="1"/>
          <w:numId w:val="3"/>
        </w:numPr>
        <w:tabs>
          <w:tab w:val="left" w:pos="679"/>
        </w:tabs>
        <w:ind w:right="347" w:hanging="566"/>
        <w:jc w:val="both"/>
        <w:rPr>
          <w:rFonts w:ascii="Calibri" w:eastAsia="Calibri" w:hAnsi="Calibri" w:cs="Calibri"/>
        </w:rPr>
      </w:pPr>
      <w:r>
        <w:rPr>
          <w:rFonts w:ascii="Calibri" w:eastAsia="Calibri" w:hAnsi="Calibri" w:cs="Calibri"/>
          <w:b/>
          <w:bCs/>
        </w:rPr>
        <w:t xml:space="preserve">16 –19 Students: </w:t>
      </w:r>
      <w:r>
        <w:rPr>
          <w:rFonts w:ascii="Calibri" w:eastAsia="Calibri" w:hAnsi="Calibri" w:cs="Calibri"/>
        </w:rPr>
        <w:t>All students who are aged 16, 17 or 18 on the 31</w:t>
      </w:r>
      <w:r>
        <w:rPr>
          <w:rFonts w:ascii="Calibri" w:eastAsia="Calibri" w:hAnsi="Calibri" w:cs="Calibri"/>
          <w:position w:val="10"/>
          <w:sz w:val="14"/>
          <w:szCs w:val="14"/>
        </w:rPr>
        <w:t xml:space="preserve">st </w:t>
      </w:r>
      <w:r>
        <w:rPr>
          <w:rFonts w:ascii="Calibri" w:eastAsia="Calibri" w:hAnsi="Calibri" w:cs="Calibri"/>
        </w:rPr>
        <w:t xml:space="preserve">August in the year of the start of their programme of study and eligible for Education </w:t>
      </w:r>
      <w:r w:rsidR="00C9375C">
        <w:rPr>
          <w:rFonts w:ascii="Calibri" w:eastAsia="Calibri" w:hAnsi="Calibri" w:cs="Calibri"/>
        </w:rPr>
        <w:t xml:space="preserve">&amp; Skills </w:t>
      </w:r>
      <w:r>
        <w:rPr>
          <w:rFonts w:ascii="Calibri" w:eastAsia="Calibri" w:hAnsi="Calibri" w:cs="Calibri"/>
        </w:rPr>
        <w:t>Funding Agency (E</w:t>
      </w:r>
      <w:r w:rsidR="00C9375C">
        <w:rPr>
          <w:rFonts w:ascii="Calibri" w:eastAsia="Calibri" w:hAnsi="Calibri" w:cs="Calibri"/>
        </w:rPr>
        <w:t>S</w:t>
      </w:r>
      <w:r>
        <w:rPr>
          <w:rFonts w:ascii="Calibri" w:eastAsia="Calibri" w:hAnsi="Calibri" w:cs="Calibri"/>
        </w:rPr>
        <w:t xml:space="preserve">FA) funding (as defined in the Funding </w:t>
      </w:r>
      <w:r w:rsidR="006C5DB4">
        <w:rPr>
          <w:rFonts w:ascii="Calibri" w:eastAsia="Calibri" w:hAnsi="Calibri" w:cs="Calibri"/>
        </w:rPr>
        <w:t>Rules</w:t>
      </w:r>
      <w:r>
        <w:rPr>
          <w:rFonts w:ascii="Calibri" w:eastAsia="Calibri" w:hAnsi="Calibri" w:cs="Calibri"/>
        </w:rPr>
        <w:t xml:space="preserve"> Document) will pay no</w:t>
      </w:r>
      <w:r w:rsidR="00E71EFC">
        <w:rPr>
          <w:rFonts w:ascii="Calibri" w:eastAsia="Calibri" w:hAnsi="Calibri" w:cs="Calibri"/>
        </w:rPr>
        <w:t>t</w:t>
      </w:r>
      <w:r>
        <w:rPr>
          <w:rFonts w:ascii="Calibri" w:eastAsia="Calibri" w:hAnsi="Calibri" w:cs="Calibri"/>
        </w:rPr>
        <w:t xml:space="preserve"> tuition fees for E</w:t>
      </w:r>
      <w:r w:rsidR="00C9375C">
        <w:rPr>
          <w:rFonts w:ascii="Calibri" w:eastAsia="Calibri" w:hAnsi="Calibri" w:cs="Calibri"/>
        </w:rPr>
        <w:t>S</w:t>
      </w:r>
      <w:r>
        <w:rPr>
          <w:rFonts w:ascii="Calibri" w:eastAsia="Calibri" w:hAnsi="Calibri" w:cs="Calibri"/>
        </w:rPr>
        <w:t>FA funded full</w:t>
      </w:r>
      <w:r w:rsidR="00924F8C">
        <w:rPr>
          <w:rFonts w:ascii="Calibri" w:eastAsia="Calibri" w:hAnsi="Calibri" w:cs="Calibri"/>
        </w:rPr>
        <w:t xml:space="preserve">-time </w:t>
      </w:r>
      <w:r>
        <w:rPr>
          <w:rFonts w:ascii="Calibri" w:eastAsia="Calibri" w:hAnsi="Calibri" w:cs="Calibri"/>
        </w:rPr>
        <w:t>courses.</w:t>
      </w:r>
      <w:r w:rsidR="00404CE2">
        <w:rPr>
          <w:rFonts w:ascii="Calibri" w:eastAsia="Calibri" w:hAnsi="Calibri" w:cs="Calibri"/>
        </w:rPr>
        <w:t xml:space="preserve"> This also applies to those students aged 19-24 with an Education Health Care Plan.</w:t>
      </w:r>
    </w:p>
    <w:p w14:paraId="3FDAD2CE" w14:textId="77777777" w:rsidR="00985D1A" w:rsidRDefault="00985D1A" w:rsidP="00985D1A">
      <w:pPr>
        <w:pStyle w:val="ListParagraph"/>
        <w:tabs>
          <w:tab w:val="left" w:pos="679"/>
        </w:tabs>
        <w:ind w:left="678" w:right="347"/>
        <w:rPr>
          <w:rFonts w:ascii="Calibri" w:eastAsia="Calibri" w:hAnsi="Calibri" w:cs="Calibri"/>
        </w:rPr>
      </w:pPr>
    </w:p>
    <w:p w14:paraId="48D5FBB5" w14:textId="77777777" w:rsidR="00511ADB" w:rsidRDefault="00173109">
      <w:pPr>
        <w:pStyle w:val="ListParagraph"/>
        <w:numPr>
          <w:ilvl w:val="1"/>
          <w:numId w:val="3"/>
        </w:numPr>
        <w:tabs>
          <w:tab w:val="left" w:pos="679"/>
        </w:tabs>
        <w:spacing w:before="38"/>
        <w:ind w:right="106" w:hanging="566"/>
        <w:jc w:val="both"/>
        <w:rPr>
          <w:rFonts w:ascii="Calibri" w:eastAsia="Calibri" w:hAnsi="Calibri" w:cs="Calibri"/>
        </w:rPr>
      </w:pPr>
      <w:r>
        <w:rPr>
          <w:rFonts w:ascii="Calibri"/>
          <w:b/>
        </w:rPr>
        <w:t xml:space="preserve">16-19 Students Not Eligible for Funding: </w:t>
      </w:r>
      <w:r w:rsidR="00746715">
        <w:rPr>
          <w:rFonts w:ascii="Calibri"/>
        </w:rPr>
        <w:t xml:space="preserve">The College only admits overseas students if they are eligible </w:t>
      </w:r>
      <w:r>
        <w:rPr>
          <w:rFonts w:ascii="Calibri"/>
        </w:rPr>
        <w:t>for E</w:t>
      </w:r>
      <w:r w:rsidR="00C9375C">
        <w:rPr>
          <w:rFonts w:ascii="Calibri"/>
        </w:rPr>
        <w:t>S</w:t>
      </w:r>
      <w:r>
        <w:rPr>
          <w:rFonts w:ascii="Calibri"/>
        </w:rPr>
        <w:t>FA  f</w:t>
      </w:r>
      <w:r w:rsidR="00746715">
        <w:rPr>
          <w:rFonts w:ascii="Calibri"/>
        </w:rPr>
        <w:t>unding.</w:t>
      </w:r>
    </w:p>
    <w:p w14:paraId="5426248C" w14:textId="77777777" w:rsidR="00511ADB" w:rsidRDefault="00511ADB">
      <w:pPr>
        <w:spacing w:before="9"/>
        <w:rPr>
          <w:rFonts w:ascii="Calibri" w:eastAsia="Calibri" w:hAnsi="Calibri" w:cs="Calibri"/>
          <w:sz w:val="21"/>
          <w:szCs w:val="21"/>
        </w:rPr>
      </w:pPr>
    </w:p>
    <w:p w14:paraId="5654E7E0" w14:textId="2D30A399" w:rsidR="00511ADB" w:rsidRPr="00C9375C" w:rsidRDefault="00985D1A">
      <w:pPr>
        <w:pStyle w:val="ListParagraph"/>
        <w:numPr>
          <w:ilvl w:val="1"/>
          <w:numId w:val="3"/>
        </w:numPr>
        <w:tabs>
          <w:tab w:val="left" w:pos="679"/>
        </w:tabs>
        <w:spacing w:line="266" w:lineRule="exact"/>
        <w:ind w:right="106" w:hanging="566"/>
        <w:jc w:val="both"/>
        <w:rPr>
          <w:rFonts w:ascii="Calibri" w:eastAsia="Calibri" w:hAnsi="Calibri" w:cs="Calibri"/>
        </w:rPr>
      </w:pPr>
      <w:r>
        <w:rPr>
          <w:rFonts w:ascii="Calibri" w:hAnsi="Calibri"/>
          <w:b/>
        </w:rPr>
        <w:t xml:space="preserve">Art </w:t>
      </w:r>
      <w:r w:rsidR="00173109" w:rsidRPr="00C9375C">
        <w:rPr>
          <w:rFonts w:ascii="Calibri" w:hAnsi="Calibri"/>
          <w:b/>
        </w:rPr>
        <w:t xml:space="preserve">Foundation Course: </w:t>
      </w:r>
      <w:r w:rsidR="00173109" w:rsidRPr="00C9375C">
        <w:rPr>
          <w:rFonts w:ascii="Calibri" w:hAnsi="Calibri"/>
        </w:rPr>
        <w:t xml:space="preserve">Students who are not fully funded (as determined </w:t>
      </w:r>
      <w:r w:rsidR="006C5DB4">
        <w:rPr>
          <w:rFonts w:ascii="Calibri" w:hAnsi="Calibri"/>
        </w:rPr>
        <w:t>from the Funding Rules document</w:t>
      </w:r>
      <w:r w:rsidR="00173109" w:rsidRPr="00C9375C">
        <w:rPr>
          <w:rFonts w:ascii="Calibri" w:hAnsi="Calibri"/>
        </w:rPr>
        <w:t xml:space="preserve">) are required to pay a fee of </w:t>
      </w:r>
      <w:r>
        <w:rPr>
          <w:rFonts w:ascii="Calibri" w:hAnsi="Calibri"/>
        </w:rPr>
        <w:t>£4</w:t>
      </w:r>
      <w:r w:rsidR="008858AA">
        <w:rPr>
          <w:rFonts w:ascii="Calibri" w:hAnsi="Calibri"/>
        </w:rPr>
        <w:t>750 as of 2026/27</w:t>
      </w:r>
      <w:r w:rsidR="00C9375C">
        <w:rPr>
          <w:rFonts w:ascii="Calibri" w:hAnsi="Calibri"/>
        </w:rPr>
        <w:t>.</w:t>
      </w:r>
      <w:r w:rsidR="00173109" w:rsidRPr="00C9375C">
        <w:rPr>
          <w:rFonts w:ascii="Calibri" w:hAnsi="Calibri"/>
        </w:rPr>
        <w:t xml:space="preserve"> </w:t>
      </w:r>
      <w:r w:rsidR="00C9375C">
        <w:rPr>
          <w:rFonts w:ascii="Calibri" w:hAnsi="Calibri"/>
        </w:rPr>
        <w:t xml:space="preserve">An </w:t>
      </w:r>
      <w:r w:rsidR="00C9375C" w:rsidRPr="00C9375C">
        <w:rPr>
          <w:rFonts w:ascii="Calibri" w:hAnsi="Calibri"/>
        </w:rPr>
        <w:t>Advanced Learner Loan</w:t>
      </w:r>
      <w:r w:rsidR="00C9375C">
        <w:rPr>
          <w:rFonts w:ascii="Calibri" w:hAnsi="Calibri"/>
        </w:rPr>
        <w:t xml:space="preserve"> may be available.</w:t>
      </w:r>
    </w:p>
    <w:p w14:paraId="5649F007" w14:textId="77777777" w:rsidR="00985D1A" w:rsidRDefault="00985D1A">
      <w:pPr>
        <w:spacing w:before="9"/>
        <w:rPr>
          <w:rFonts w:ascii="Calibri" w:eastAsia="Calibri" w:hAnsi="Calibri" w:cs="Calibri"/>
          <w:sz w:val="21"/>
          <w:szCs w:val="21"/>
        </w:rPr>
      </w:pPr>
    </w:p>
    <w:p w14:paraId="65054538" w14:textId="77777777" w:rsidR="00511ADB" w:rsidRDefault="00511ADB">
      <w:pPr>
        <w:spacing w:before="10"/>
        <w:rPr>
          <w:rFonts w:ascii="Calibri" w:eastAsia="Calibri" w:hAnsi="Calibri" w:cs="Calibri"/>
          <w:sz w:val="21"/>
          <w:szCs w:val="21"/>
        </w:rPr>
      </w:pPr>
    </w:p>
    <w:p w14:paraId="163D72DA" w14:textId="68FEF29E" w:rsidR="00511ADB" w:rsidRDefault="00173109">
      <w:pPr>
        <w:pStyle w:val="Heading1"/>
        <w:numPr>
          <w:ilvl w:val="0"/>
          <w:numId w:val="3"/>
        </w:numPr>
        <w:tabs>
          <w:tab w:val="left" w:pos="679"/>
        </w:tabs>
        <w:ind w:hanging="566"/>
        <w:rPr>
          <w:b w:val="0"/>
          <w:bCs w:val="0"/>
        </w:rPr>
      </w:pPr>
      <w:r>
        <w:t>PAYMENT</w:t>
      </w:r>
      <w:r>
        <w:rPr>
          <w:spacing w:val="-3"/>
        </w:rPr>
        <w:t xml:space="preserve"> </w:t>
      </w:r>
      <w:r>
        <w:t>TERMS</w:t>
      </w:r>
      <w:r w:rsidR="00924F8C">
        <w:t xml:space="preserve"> FOR ART FOUNDATION COURSE</w:t>
      </w:r>
    </w:p>
    <w:p w14:paraId="4E6BD230" w14:textId="77777777" w:rsidR="00511ADB" w:rsidRDefault="00511ADB">
      <w:pPr>
        <w:rPr>
          <w:rFonts w:ascii="Calibri" w:eastAsia="Calibri" w:hAnsi="Calibri" w:cs="Calibri"/>
          <w:b/>
          <w:bCs/>
        </w:rPr>
      </w:pPr>
    </w:p>
    <w:p w14:paraId="196B4FBC" w14:textId="77777777" w:rsidR="00511ADB" w:rsidRDefault="00173109">
      <w:pPr>
        <w:pStyle w:val="ListParagraph"/>
        <w:numPr>
          <w:ilvl w:val="1"/>
          <w:numId w:val="3"/>
        </w:numPr>
        <w:tabs>
          <w:tab w:val="left" w:pos="679"/>
        </w:tabs>
        <w:ind w:hanging="566"/>
        <w:rPr>
          <w:rFonts w:ascii="Calibri" w:eastAsia="Calibri" w:hAnsi="Calibri" w:cs="Calibri"/>
        </w:rPr>
      </w:pPr>
      <w:r>
        <w:rPr>
          <w:rFonts w:ascii="Calibri"/>
        </w:rPr>
        <w:t>All fees are normally payable at enrolment prior to the start of the</w:t>
      </w:r>
      <w:r>
        <w:rPr>
          <w:rFonts w:ascii="Calibri"/>
          <w:spacing w:val="-22"/>
        </w:rPr>
        <w:t xml:space="preserve"> </w:t>
      </w:r>
      <w:r>
        <w:rPr>
          <w:rFonts w:ascii="Calibri"/>
        </w:rPr>
        <w:t>course.</w:t>
      </w:r>
    </w:p>
    <w:p w14:paraId="44DEA009" w14:textId="77777777" w:rsidR="00511ADB" w:rsidRDefault="00511ADB">
      <w:pPr>
        <w:rPr>
          <w:rFonts w:ascii="Calibri" w:eastAsia="Calibri" w:hAnsi="Calibri" w:cs="Calibri"/>
        </w:rPr>
      </w:pPr>
    </w:p>
    <w:p w14:paraId="2BAE50B6" w14:textId="052D8F25" w:rsidR="00511ADB" w:rsidRDefault="005911CF">
      <w:pPr>
        <w:pStyle w:val="ListParagraph"/>
        <w:numPr>
          <w:ilvl w:val="1"/>
          <w:numId w:val="3"/>
        </w:numPr>
        <w:tabs>
          <w:tab w:val="left" w:pos="679"/>
        </w:tabs>
        <w:ind w:right="104" w:hanging="566"/>
        <w:jc w:val="both"/>
        <w:rPr>
          <w:rFonts w:ascii="Calibri" w:eastAsia="Calibri" w:hAnsi="Calibri" w:cs="Calibri"/>
        </w:rPr>
      </w:pPr>
      <w:r>
        <w:rPr>
          <w:rFonts w:ascii="Calibri"/>
        </w:rPr>
        <w:t xml:space="preserve">Qualifying Adult learners </w:t>
      </w:r>
      <w:r w:rsidR="00924F8C">
        <w:rPr>
          <w:rFonts w:ascii="Calibri"/>
        </w:rPr>
        <w:t xml:space="preserve">(age 19+) </w:t>
      </w:r>
      <w:r w:rsidR="00173109">
        <w:rPr>
          <w:rFonts w:ascii="Calibri"/>
        </w:rPr>
        <w:t>will be able to apply for Advanced Learning Loans (ALL) for approved courses from the Student Loans</w:t>
      </w:r>
      <w:r w:rsidR="00173109">
        <w:rPr>
          <w:rFonts w:ascii="Calibri"/>
          <w:spacing w:val="-11"/>
        </w:rPr>
        <w:t xml:space="preserve"> </w:t>
      </w:r>
      <w:r w:rsidR="00173109">
        <w:rPr>
          <w:rFonts w:ascii="Calibri"/>
        </w:rPr>
        <w:t>Company.</w:t>
      </w:r>
    </w:p>
    <w:p w14:paraId="595B2EFB" w14:textId="77777777" w:rsidR="00511ADB" w:rsidRDefault="00511ADB">
      <w:pPr>
        <w:spacing w:before="9"/>
        <w:rPr>
          <w:rFonts w:ascii="Calibri" w:eastAsia="Calibri" w:hAnsi="Calibri" w:cs="Calibri"/>
          <w:sz w:val="21"/>
          <w:szCs w:val="21"/>
        </w:rPr>
      </w:pPr>
    </w:p>
    <w:p w14:paraId="1A263D5C" w14:textId="77777777" w:rsidR="00511ADB" w:rsidRDefault="00437855">
      <w:pPr>
        <w:pStyle w:val="ListParagraph"/>
        <w:numPr>
          <w:ilvl w:val="1"/>
          <w:numId w:val="3"/>
        </w:numPr>
        <w:tabs>
          <w:tab w:val="left" w:pos="679"/>
        </w:tabs>
        <w:spacing w:line="266" w:lineRule="exact"/>
        <w:ind w:right="108" w:hanging="566"/>
        <w:jc w:val="both"/>
        <w:rPr>
          <w:rFonts w:ascii="Calibri" w:eastAsia="Calibri" w:hAnsi="Calibri" w:cs="Calibri"/>
        </w:rPr>
      </w:pPr>
      <w:r>
        <w:rPr>
          <w:rFonts w:ascii="Calibri"/>
        </w:rPr>
        <w:t>Advanced Learning</w:t>
      </w:r>
      <w:r w:rsidR="00173109">
        <w:rPr>
          <w:rFonts w:ascii="Calibri"/>
        </w:rPr>
        <w:t xml:space="preserve"> Loans will be paid directly to the College by the Student Loans Company; liability will be </w:t>
      </w:r>
      <w:r w:rsidR="00173109">
        <w:rPr>
          <w:rFonts w:ascii="Calibri"/>
        </w:rPr>
        <w:lastRenderedPageBreak/>
        <w:t>incurred after the student has attended their course for 2 weeks and on a monthly basis</w:t>
      </w:r>
      <w:r w:rsidR="00173109">
        <w:rPr>
          <w:rFonts w:ascii="Calibri"/>
          <w:spacing w:val="-24"/>
        </w:rPr>
        <w:t xml:space="preserve"> </w:t>
      </w:r>
      <w:r w:rsidR="00173109">
        <w:rPr>
          <w:rFonts w:ascii="Calibri"/>
        </w:rPr>
        <w:t>thereafter.</w:t>
      </w:r>
    </w:p>
    <w:p w14:paraId="480CB4A9" w14:textId="77777777" w:rsidR="00511ADB" w:rsidRDefault="00511ADB">
      <w:pPr>
        <w:spacing w:before="6"/>
        <w:rPr>
          <w:rFonts w:ascii="Calibri" w:eastAsia="Calibri" w:hAnsi="Calibri" w:cs="Calibri"/>
        </w:rPr>
      </w:pPr>
    </w:p>
    <w:p w14:paraId="2A7B80C0" w14:textId="77777777" w:rsidR="00511ADB" w:rsidRDefault="00173109">
      <w:pPr>
        <w:pStyle w:val="ListParagraph"/>
        <w:numPr>
          <w:ilvl w:val="1"/>
          <w:numId w:val="3"/>
        </w:numPr>
        <w:tabs>
          <w:tab w:val="left" w:pos="679"/>
        </w:tabs>
        <w:ind w:right="110" w:hanging="566"/>
        <w:jc w:val="both"/>
        <w:rPr>
          <w:rFonts w:ascii="Calibri" w:eastAsia="Calibri" w:hAnsi="Calibri" w:cs="Calibri"/>
        </w:rPr>
      </w:pPr>
      <w:r>
        <w:rPr>
          <w:rFonts w:ascii="Calibri"/>
        </w:rPr>
        <w:t>If the learner decides to apply for a loan, providers must supply information through a Learning and  Funding application letter to assist the learner in making the loans application. The Learning and Funding information letter will include the</w:t>
      </w:r>
      <w:r>
        <w:rPr>
          <w:rFonts w:ascii="Calibri"/>
          <w:spacing w:val="-11"/>
        </w:rPr>
        <w:t xml:space="preserve"> </w:t>
      </w:r>
      <w:r>
        <w:rPr>
          <w:rFonts w:ascii="Calibri"/>
        </w:rPr>
        <w:t>following:</w:t>
      </w:r>
    </w:p>
    <w:p w14:paraId="5F0718EB" w14:textId="77777777" w:rsidR="00511ADB" w:rsidRDefault="00511ADB">
      <w:pPr>
        <w:rPr>
          <w:rFonts w:ascii="Calibri" w:eastAsia="Calibri" w:hAnsi="Calibri" w:cs="Calibri"/>
        </w:rPr>
      </w:pPr>
    </w:p>
    <w:p w14:paraId="2E53E10A" w14:textId="77777777" w:rsidR="00511ADB" w:rsidRPr="006C5DB4" w:rsidRDefault="00173109">
      <w:pPr>
        <w:pStyle w:val="ListParagraph"/>
        <w:numPr>
          <w:ilvl w:val="2"/>
          <w:numId w:val="3"/>
        </w:numPr>
        <w:tabs>
          <w:tab w:val="left" w:pos="1246"/>
        </w:tabs>
        <w:rPr>
          <w:rFonts w:ascii="Calibri" w:eastAsia="Calibri" w:hAnsi="Calibri" w:cs="Calibri"/>
        </w:rPr>
      </w:pPr>
      <w:r>
        <w:rPr>
          <w:rFonts w:ascii="Calibri"/>
        </w:rPr>
        <w:t>UK Provider Reference Number</w:t>
      </w:r>
      <w:r>
        <w:rPr>
          <w:rFonts w:ascii="Calibri"/>
          <w:spacing w:val="-13"/>
        </w:rPr>
        <w:t xml:space="preserve"> </w:t>
      </w:r>
      <w:r>
        <w:rPr>
          <w:rFonts w:ascii="Calibri"/>
        </w:rPr>
        <w:t>(UKPRN)</w:t>
      </w:r>
    </w:p>
    <w:p w14:paraId="62ED0529" w14:textId="77777777" w:rsidR="006C5DB4" w:rsidRPr="006C5DB4" w:rsidRDefault="006C5DB4" w:rsidP="006C5DB4">
      <w:pPr>
        <w:pStyle w:val="ListParagraph"/>
        <w:numPr>
          <w:ilvl w:val="2"/>
          <w:numId w:val="3"/>
        </w:numPr>
        <w:tabs>
          <w:tab w:val="left" w:pos="1246"/>
        </w:tabs>
        <w:spacing w:line="267" w:lineRule="exact"/>
        <w:rPr>
          <w:rFonts w:ascii="Calibri" w:eastAsia="Calibri" w:hAnsi="Calibri" w:cs="Calibri"/>
        </w:rPr>
      </w:pPr>
      <w:r>
        <w:rPr>
          <w:rFonts w:ascii="Calibri"/>
        </w:rPr>
        <w:t>Provider Name and delivery location</w:t>
      </w:r>
    </w:p>
    <w:p w14:paraId="39EBEF81" w14:textId="77777777" w:rsidR="00511ADB" w:rsidRDefault="00173109">
      <w:pPr>
        <w:pStyle w:val="ListParagraph"/>
        <w:numPr>
          <w:ilvl w:val="2"/>
          <w:numId w:val="3"/>
        </w:numPr>
        <w:tabs>
          <w:tab w:val="left" w:pos="1246"/>
        </w:tabs>
        <w:rPr>
          <w:rFonts w:ascii="Calibri" w:eastAsia="Calibri" w:hAnsi="Calibri" w:cs="Calibri"/>
        </w:rPr>
      </w:pPr>
      <w:r>
        <w:rPr>
          <w:rFonts w:ascii="Calibri"/>
        </w:rPr>
        <w:t>Learning aim reference</w:t>
      </w:r>
      <w:r>
        <w:rPr>
          <w:rFonts w:ascii="Calibri"/>
          <w:spacing w:val="-6"/>
        </w:rPr>
        <w:t xml:space="preserve"> </w:t>
      </w:r>
      <w:r>
        <w:rPr>
          <w:rFonts w:ascii="Calibri"/>
        </w:rPr>
        <w:t>number</w:t>
      </w:r>
    </w:p>
    <w:p w14:paraId="2B4FFA23" w14:textId="77777777" w:rsidR="00511ADB" w:rsidRDefault="00173109">
      <w:pPr>
        <w:pStyle w:val="ListParagraph"/>
        <w:numPr>
          <w:ilvl w:val="2"/>
          <w:numId w:val="3"/>
        </w:numPr>
        <w:tabs>
          <w:tab w:val="left" w:pos="1246"/>
        </w:tabs>
        <w:rPr>
          <w:rFonts w:ascii="Calibri" w:eastAsia="Calibri" w:hAnsi="Calibri" w:cs="Calibri"/>
        </w:rPr>
      </w:pPr>
      <w:r>
        <w:rPr>
          <w:rFonts w:ascii="Calibri"/>
        </w:rPr>
        <w:t>Learning aim</w:t>
      </w:r>
      <w:r>
        <w:rPr>
          <w:rFonts w:ascii="Calibri"/>
          <w:spacing w:val="-4"/>
        </w:rPr>
        <w:t xml:space="preserve"> </w:t>
      </w:r>
      <w:r>
        <w:rPr>
          <w:rFonts w:ascii="Calibri"/>
        </w:rPr>
        <w:t>title</w:t>
      </w:r>
    </w:p>
    <w:p w14:paraId="363BD520" w14:textId="77777777" w:rsidR="00511ADB" w:rsidRDefault="00173109">
      <w:pPr>
        <w:pStyle w:val="ListParagraph"/>
        <w:numPr>
          <w:ilvl w:val="2"/>
          <w:numId w:val="3"/>
        </w:numPr>
        <w:tabs>
          <w:tab w:val="left" w:pos="1246"/>
        </w:tabs>
        <w:spacing w:line="267" w:lineRule="exact"/>
        <w:rPr>
          <w:rFonts w:ascii="Calibri" w:eastAsia="Calibri" w:hAnsi="Calibri" w:cs="Calibri"/>
        </w:rPr>
      </w:pPr>
      <w:r>
        <w:rPr>
          <w:rFonts w:ascii="Calibri"/>
        </w:rPr>
        <w:t>Learning start /</w:t>
      </w:r>
      <w:r w:rsidR="006C5DB4">
        <w:rPr>
          <w:rFonts w:ascii="Calibri"/>
        </w:rPr>
        <w:t xml:space="preserve"> planned </w:t>
      </w:r>
      <w:r>
        <w:rPr>
          <w:rFonts w:ascii="Calibri"/>
        </w:rPr>
        <w:t>end</w:t>
      </w:r>
      <w:r>
        <w:rPr>
          <w:rFonts w:ascii="Calibri"/>
          <w:spacing w:val="-11"/>
        </w:rPr>
        <w:t xml:space="preserve"> </w:t>
      </w:r>
      <w:r>
        <w:rPr>
          <w:rFonts w:ascii="Calibri"/>
        </w:rPr>
        <w:t>date</w:t>
      </w:r>
    </w:p>
    <w:p w14:paraId="306C003F" w14:textId="77777777" w:rsidR="00511ADB" w:rsidRDefault="00173109">
      <w:pPr>
        <w:pStyle w:val="ListParagraph"/>
        <w:numPr>
          <w:ilvl w:val="2"/>
          <w:numId w:val="3"/>
        </w:numPr>
        <w:tabs>
          <w:tab w:val="left" w:pos="1246"/>
        </w:tabs>
        <w:rPr>
          <w:rFonts w:ascii="Calibri" w:eastAsia="Calibri" w:hAnsi="Calibri" w:cs="Calibri"/>
        </w:rPr>
      </w:pPr>
      <w:r>
        <w:rPr>
          <w:rFonts w:ascii="Calibri"/>
        </w:rPr>
        <w:t>Fee charged to the</w:t>
      </w:r>
      <w:r>
        <w:rPr>
          <w:rFonts w:ascii="Calibri"/>
          <w:spacing w:val="-6"/>
        </w:rPr>
        <w:t xml:space="preserve"> </w:t>
      </w:r>
      <w:r>
        <w:rPr>
          <w:rFonts w:ascii="Calibri"/>
        </w:rPr>
        <w:t>learner</w:t>
      </w:r>
    </w:p>
    <w:p w14:paraId="3A523FA3" w14:textId="77777777" w:rsidR="00511ADB" w:rsidRPr="006C5DB4" w:rsidRDefault="00173109" w:rsidP="001148A6">
      <w:pPr>
        <w:pStyle w:val="ListParagraph"/>
        <w:numPr>
          <w:ilvl w:val="2"/>
          <w:numId w:val="3"/>
        </w:numPr>
        <w:tabs>
          <w:tab w:val="left" w:pos="1246"/>
        </w:tabs>
        <w:ind w:right="112"/>
        <w:rPr>
          <w:rFonts w:ascii="Calibri" w:eastAsia="Calibri" w:hAnsi="Calibri" w:cs="Calibri"/>
        </w:rPr>
      </w:pPr>
      <w:r w:rsidRPr="006C5DB4">
        <w:rPr>
          <w:rFonts w:ascii="Calibri"/>
        </w:rPr>
        <w:t>Maximum amount of loan available for the learning aim</w:t>
      </w:r>
    </w:p>
    <w:p w14:paraId="00602663" w14:textId="77777777" w:rsidR="006C5DB4" w:rsidRPr="006C5DB4" w:rsidRDefault="006C5DB4" w:rsidP="006C5DB4">
      <w:pPr>
        <w:pStyle w:val="ListParagraph"/>
        <w:tabs>
          <w:tab w:val="left" w:pos="1246"/>
        </w:tabs>
        <w:ind w:left="1245" w:right="112"/>
        <w:rPr>
          <w:rFonts w:ascii="Calibri" w:eastAsia="Calibri" w:hAnsi="Calibri" w:cs="Calibri"/>
        </w:rPr>
      </w:pPr>
    </w:p>
    <w:p w14:paraId="03AD5319" w14:textId="77777777" w:rsidR="00511ADB" w:rsidRDefault="00173109">
      <w:pPr>
        <w:pStyle w:val="ListParagraph"/>
        <w:numPr>
          <w:ilvl w:val="1"/>
          <w:numId w:val="3"/>
        </w:numPr>
        <w:tabs>
          <w:tab w:val="left" w:pos="679"/>
        </w:tabs>
        <w:ind w:right="110" w:hanging="566"/>
        <w:jc w:val="both"/>
        <w:rPr>
          <w:rFonts w:ascii="Calibri" w:eastAsia="Calibri" w:hAnsi="Calibri" w:cs="Calibri"/>
        </w:rPr>
      </w:pPr>
      <w:r>
        <w:rPr>
          <w:rFonts w:ascii="Calibri"/>
        </w:rPr>
        <w:t>If a student is loan funded, they must sign an agreement at the time of their enrolment to confirm that if they withdraw from their course of study for any reason after the initial two weeks liability period, they will be liable to pay the balance of the fees for the academic year that is no longer covered by their student loan.</w:t>
      </w:r>
    </w:p>
    <w:p w14:paraId="2B59A33A" w14:textId="77777777" w:rsidR="00511ADB" w:rsidRDefault="00511ADB" w:rsidP="00985D1A">
      <w:pPr>
        <w:pStyle w:val="BodyText"/>
        <w:ind w:left="0" w:right="68" w:firstLine="0"/>
      </w:pPr>
    </w:p>
    <w:sectPr w:rsidR="00511ADB" w:rsidSect="007E3B42">
      <w:pgSz w:w="11910" w:h="16840"/>
      <w:pgMar w:top="993" w:right="740" w:bottom="567"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62C"/>
    <w:multiLevelType w:val="multilevel"/>
    <w:tmpl w:val="DB8054C8"/>
    <w:lvl w:ilvl="0">
      <w:start w:val="8"/>
      <w:numFmt w:val="decimal"/>
      <w:lvlText w:val="%1"/>
      <w:lvlJc w:val="left"/>
      <w:pPr>
        <w:ind w:left="678" w:hanging="567"/>
        <w:jc w:val="left"/>
      </w:pPr>
      <w:rPr>
        <w:rFonts w:hint="default"/>
      </w:rPr>
    </w:lvl>
    <w:lvl w:ilvl="1">
      <w:start w:val="1"/>
      <w:numFmt w:val="decimal"/>
      <w:lvlText w:val="%1.%2"/>
      <w:lvlJc w:val="left"/>
      <w:pPr>
        <w:ind w:left="678" w:hanging="567"/>
        <w:jc w:val="left"/>
      </w:pPr>
      <w:rPr>
        <w:rFonts w:ascii="Calibri" w:eastAsia="Calibri" w:hAnsi="Calibri" w:hint="default"/>
        <w:b/>
        <w:bCs/>
        <w:spacing w:val="-2"/>
        <w:w w:val="100"/>
        <w:sz w:val="22"/>
        <w:szCs w:val="22"/>
      </w:rPr>
    </w:lvl>
    <w:lvl w:ilvl="2">
      <w:start w:val="1"/>
      <w:numFmt w:val="bullet"/>
      <w:lvlText w:val=""/>
      <w:lvlJc w:val="left"/>
      <w:pPr>
        <w:ind w:left="1245" w:hanging="567"/>
      </w:pPr>
      <w:rPr>
        <w:rFonts w:ascii="Wingdings" w:eastAsia="Wingdings" w:hAnsi="Wingdings" w:hint="default"/>
        <w:w w:val="100"/>
        <w:sz w:val="22"/>
        <w:szCs w:val="22"/>
      </w:rPr>
    </w:lvl>
    <w:lvl w:ilvl="3">
      <w:start w:val="1"/>
      <w:numFmt w:val="bullet"/>
      <w:lvlText w:val="•"/>
      <w:lvlJc w:val="left"/>
      <w:pPr>
        <w:ind w:left="3281" w:hanging="567"/>
      </w:pPr>
      <w:rPr>
        <w:rFonts w:hint="default"/>
      </w:rPr>
    </w:lvl>
    <w:lvl w:ilvl="4">
      <w:start w:val="1"/>
      <w:numFmt w:val="bullet"/>
      <w:lvlText w:val="•"/>
      <w:lvlJc w:val="left"/>
      <w:pPr>
        <w:ind w:left="4302" w:hanging="567"/>
      </w:pPr>
      <w:rPr>
        <w:rFonts w:hint="default"/>
      </w:rPr>
    </w:lvl>
    <w:lvl w:ilvl="5">
      <w:start w:val="1"/>
      <w:numFmt w:val="bullet"/>
      <w:lvlText w:val="•"/>
      <w:lvlJc w:val="left"/>
      <w:pPr>
        <w:ind w:left="5322" w:hanging="567"/>
      </w:pPr>
      <w:rPr>
        <w:rFonts w:hint="default"/>
      </w:rPr>
    </w:lvl>
    <w:lvl w:ilvl="6">
      <w:start w:val="1"/>
      <w:numFmt w:val="bullet"/>
      <w:lvlText w:val="•"/>
      <w:lvlJc w:val="left"/>
      <w:pPr>
        <w:ind w:left="6343" w:hanging="567"/>
      </w:pPr>
      <w:rPr>
        <w:rFonts w:hint="default"/>
      </w:rPr>
    </w:lvl>
    <w:lvl w:ilvl="7">
      <w:start w:val="1"/>
      <w:numFmt w:val="bullet"/>
      <w:lvlText w:val="•"/>
      <w:lvlJc w:val="left"/>
      <w:pPr>
        <w:ind w:left="7364" w:hanging="567"/>
      </w:pPr>
      <w:rPr>
        <w:rFonts w:hint="default"/>
      </w:rPr>
    </w:lvl>
    <w:lvl w:ilvl="8">
      <w:start w:val="1"/>
      <w:numFmt w:val="bullet"/>
      <w:lvlText w:val="•"/>
      <w:lvlJc w:val="left"/>
      <w:pPr>
        <w:ind w:left="8384" w:hanging="567"/>
      </w:pPr>
      <w:rPr>
        <w:rFonts w:hint="default"/>
      </w:rPr>
    </w:lvl>
  </w:abstractNum>
  <w:abstractNum w:abstractNumId="1" w15:restartNumberingAfterBreak="0">
    <w:nsid w:val="317166DE"/>
    <w:multiLevelType w:val="multilevel"/>
    <w:tmpl w:val="FD148A98"/>
    <w:lvl w:ilvl="0">
      <w:start w:val="5"/>
      <w:numFmt w:val="decimal"/>
      <w:lvlText w:val="%1"/>
      <w:lvlJc w:val="left"/>
      <w:pPr>
        <w:ind w:left="678" w:hanging="567"/>
        <w:jc w:val="left"/>
      </w:pPr>
      <w:rPr>
        <w:rFonts w:hint="default"/>
      </w:rPr>
    </w:lvl>
    <w:lvl w:ilvl="1">
      <w:start w:val="71"/>
      <w:numFmt w:val="decimal"/>
      <w:lvlText w:val="%1.%2"/>
      <w:lvlJc w:val="left"/>
      <w:pPr>
        <w:ind w:left="678" w:hanging="567"/>
        <w:jc w:val="left"/>
      </w:pPr>
      <w:rPr>
        <w:rFonts w:ascii="Calibri" w:eastAsia="Calibri" w:hAnsi="Calibri" w:hint="default"/>
        <w:spacing w:val="-1"/>
        <w:w w:val="100"/>
        <w:sz w:val="22"/>
        <w:szCs w:val="22"/>
      </w:rPr>
    </w:lvl>
    <w:lvl w:ilvl="2">
      <w:start w:val="1"/>
      <w:numFmt w:val="lowerLetter"/>
      <w:lvlText w:val="%3)"/>
      <w:lvlJc w:val="left"/>
      <w:pPr>
        <w:ind w:left="1038" w:hanging="360"/>
        <w:jc w:val="left"/>
      </w:pPr>
      <w:rPr>
        <w:rFonts w:ascii="Calibri" w:eastAsia="Calibri" w:hAnsi="Calibri" w:hint="default"/>
        <w:spacing w:val="-1"/>
        <w:w w:val="100"/>
        <w:sz w:val="22"/>
        <w:szCs w:val="22"/>
      </w:rPr>
    </w:lvl>
    <w:lvl w:ilvl="3">
      <w:start w:val="1"/>
      <w:numFmt w:val="bullet"/>
      <w:lvlText w:val="•"/>
      <w:lvlJc w:val="left"/>
      <w:pPr>
        <w:ind w:left="3125" w:hanging="360"/>
      </w:pPr>
      <w:rPr>
        <w:rFonts w:hint="default"/>
      </w:rPr>
    </w:lvl>
    <w:lvl w:ilvl="4">
      <w:start w:val="1"/>
      <w:numFmt w:val="bullet"/>
      <w:lvlText w:val="•"/>
      <w:lvlJc w:val="left"/>
      <w:pPr>
        <w:ind w:left="4168" w:hanging="360"/>
      </w:pPr>
      <w:rPr>
        <w:rFonts w:hint="default"/>
      </w:rPr>
    </w:lvl>
    <w:lvl w:ilvl="5">
      <w:start w:val="1"/>
      <w:numFmt w:val="bullet"/>
      <w:lvlText w:val="•"/>
      <w:lvlJc w:val="left"/>
      <w:pPr>
        <w:ind w:left="5211" w:hanging="360"/>
      </w:pPr>
      <w:rPr>
        <w:rFonts w:hint="default"/>
      </w:rPr>
    </w:lvl>
    <w:lvl w:ilvl="6">
      <w:start w:val="1"/>
      <w:numFmt w:val="bullet"/>
      <w:lvlText w:val="•"/>
      <w:lvlJc w:val="left"/>
      <w:pPr>
        <w:ind w:left="6254" w:hanging="360"/>
      </w:pPr>
      <w:rPr>
        <w:rFonts w:hint="default"/>
      </w:rPr>
    </w:lvl>
    <w:lvl w:ilvl="7">
      <w:start w:val="1"/>
      <w:numFmt w:val="bullet"/>
      <w:lvlText w:val="•"/>
      <w:lvlJc w:val="left"/>
      <w:pPr>
        <w:ind w:left="7297" w:hanging="360"/>
      </w:pPr>
      <w:rPr>
        <w:rFonts w:hint="default"/>
      </w:rPr>
    </w:lvl>
    <w:lvl w:ilvl="8">
      <w:start w:val="1"/>
      <w:numFmt w:val="bullet"/>
      <w:lvlText w:val="•"/>
      <w:lvlJc w:val="left"/>
      <w:pPr>
        <w:ind w:left="8340" w:hanging="360"/>
      </w:pPr>
      <w:rPr>
        <w:rFonts w:hint="default"/>
      </w:rPr>
    </w:lvl>
  </w:abstractNum>
  <w:abstractNum w:abstractNumId="2" w15:restartNumberingAfterBreak="0">
    <w:nsid w:val="519E6A98"/>
    <w:multiLevelType w:val="multilevel"/>
    <w:tmpl w:val="5B868D40"/>
    <w:lvl w:ilvl="0">
      <w:start w:val="1"/>
      <w:numFmt w:val="decimal"/>
      <w:lvlText w:val="%1."/>
      <w:lvlJc w:val="left"/>
      <w:pPr>
        <w:ind w:left="678" w:hanging="567"/>
        <w:jc w:val="left"/>
      </w:pPr>
      <w:rPr>
        <w:rFonts w:ascii="Calibri" w:eastAsia="Calibri" w:hAnsi="Calibri" w:hint="default"/>
        <w:b/>
        <w:bCs/>
        <w:w w:val="100"/>
        <w:sz w:val="22"/>
        <w:szCs w:val="22"/>
      </w:rPr>
    </w:lvl>
    <w:lvl w:ilvl="1">
      <w:start w:val="1"/>
      <w:numFmt w:val="decimal"/>
      <w:lvlText w:val="%1.%2"/>
      <w:lvlJc w:val="left"/>
      <w:pPr>
        <w:ind w:left="678" w:hanging="567"/>
        <w:jc w:val="left"/>
      </w:pPr>
      <w:rPr>
        <w:rFonts w:ascii="Calibri" w:eastAsia="Calibri" w:hAnsi="Calibri" w:hint="default"/>
        <w:spacing w:val="-1"/>
        <w:w w:val="100"/>
        <w:sz w:val="22"/>
        <w:szCs w:val="22"/>
      </w:rPr>
    </w:lvl>
    <w:lvl w:ilvl="2">
      <w:start w:val="1"/>
      <w:numFmt w:val="bullet"/>
      <w:lvlText w:val=""/>
      <w:lvlJc w:val="left"/>
      <w:pPr>
        <w:ind w:left="1245" w:hanging="567"/>
      </w:pPr>
      <w:rPr>
        <w:rFonts w:ascii="Wingdings" w:eastAsia="Wingdings" w:hAnsi="Wingdings" w:hint="default"/>
        <w:w w:val="100"/>
        <w:sz w:val="22"/>
        <w:szCs w:val="22"/>
      </w:rPr>
    </w:lvl>
    <w:lvl w:ilvl="3">
      <w:start w:val="1"/>
      <w:numFmt w:val="bullet"/>
      <w:lvlText w:val="•"/>
      <w:lvlJc w:val="left"/>
      <w:pPr>
        <w:ind w:left="3281" w:hanging="567"/>
      </w:pPr>
      <w:rPr>
        <w:rFonts w:hint="default"/>
      </w:rPr>
    </w:lvl>
    <w:lvl w:ilvl="4">
      <w:start w:val="1"/>
      <w:numFmt w:val="bullet"/>
      <w:lvlText w:val="•"/>
      <w:lvlJc w:val="left"/>
      <w:pPr>
        <w:ind w:left="4302" w:hanging="567"/>
      </w:pPr>
      <w:rPr>
        <w:rFonts w:hint="default"/>
      </w:rPr>
    </w:lvl>
    <w:lvl w:ilvl="5">
      <w:start w:val="1"/>
      <w:numFmt w:val="bullet"/>
      <w:lvlText w:val="•"/>
      <w:lvlJc w:val="left"/>
      <w:pPr>
        <w:ind w:left="5322" w:hanging="567"/>
      </w:pPr>
      <w:rPr>
        <w:rFonts w:hint="default"/>
      </w:rPr>
    </w:lvl>
    <w:lvl w:ilvl="6">
      <w:start w:val="1"/>
      <w:numFmt w:val="bullet"/>
      <w:lvlText w:val="•"/>
      <w:lvlJc w:val="left"/>
      <w:pPr>
        <w:ind w:left="6343" w:hanging="567"/>
      </w:pPr>
      <w:rPr>
        <w:rFonts w:hint="default"/>
      </w:rPr>
    </w:lvl>
    <w:lvl w:ilvl="7">
      <w:start w:val="1"/>
      <w:numFmt w:val="bullet"/>
      <w:lvlText w:val="•"/>
      <w:lvlJc w:val="left"/>
      <w:pPr>
        <w:ind w:left="7364" w:hanging="567"/>
      </w:pPr>
      <w:rPr>
        <w:rFonts w:hint="default"/>
      </w:rPr>
    </w:lvl>
    <w:lvl w:ilvl="8">
      <w:start w:val="1"/>
      <w:numFmt w:val="bullet"/>
      <w:lvlText w:val="•"/>
      <w:lvlJc w:val="left"/>
      <w:pPr>
        <w:ind w:left="8384" w:hanging="567"/>
      </w:pPr>
      <w:rPr>
        <w:rFonts w:hint="default"/>
      </w:rPr>
    </w:lvl>
  </w:abstractNum>
  <w:num w:numId="1" w16cid:durableId="1285698559">
    <w:abstractNumId w:val="0"/>
  </w:num>
  <w:num w:numId="2" w16cid:durableId="1935170058">
    <w:abstractNumId w:val="1"/>
  </w:num>
  <w:num w:numId="3" w16cid:durableId="1149206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DB"/>
    <w:rsid w:val="0000565C"/>
    <w:rsid w:val="00101972"/>
    <w:rsid w:val="0013309A"/>
    <w:rsid w:val="00160A06"/>
    <w:rsid w:val="00173109"/>
    <w:rsid w:val="003044FB"/>
    <w:rsid w:val="00353B3B"/>
    <w:rsid w:val="00384741"/>
    <w:rsid w:val="003926EE"/>
    <w:rsid w:val="00404CE2"/>
    <w:rsid w:val="004316B8"/>
    <w:rsid w:val="00437855"/>
    <w:rsid w:val="00460D00"/>
    <w:rsid w:val="00511ADB"/>
    <w:rsid w:val="00517C23"/>
    <w:rsid w:val="005911CF"/>
    <w:rsid w:val="005A21FA"/>
    <w:rsid w:val="005F5F2A"/>
    <w:rsid w:val="006148ED"/>
    <w:rsid w:val="00663B91"/>
    <w:rsid w:val="006C5DB4"/>
    <w:rsid w:val="00746715"/>
    <w:rsid w:val="007B6A5D"/>
    <w:rsid w:val="007E3B42"/>
    <w:rsid w:val="00852FC1"/>
    <w:rsid w:val="008858AA"/>
    <w:rsid w:val="00923AFB"/>
    <w:rsid w:val="00924F8C"/>
    <w:rsid w:val="00925E92"/>
    <w:rsid w:val="009426D4"/>
    <w:rsid w:val="00955CE4"/>
    <w:rsid w:val="00985D1A"/>
    <w:rsid w:val="009861E4"/>
    <w:rsid w:val="009979A4"/>
    <w:rsid w:val="00A07907"/>
    <w:rsid w:val="00B439DD"/>
    <w:rsid w:val="00B85DC0"/>
    <w:rsid w:val="00C321C5"/>
    <w:rsid w:val="00C9375C"/>
    <w:rsid w:val="00E02A53"/>
    <w:rsid w:val="00E21796"/>
    <w:rsid w:val="00E71EFC"/>
    <w:rsid w:val="00F831FF"/>
    <w:rsid w:val="00F8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341D"/>
  <w15:docId w15:val="{B3A2AC52-101B-41CD-B322-051A2B04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678" w:hanging="566"/>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8" w:hanging="56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47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741"/>
    <w:rPr>
      <w:rFonts w:ascii="Segoe UI" w:hAnsi="Segoe UI" w:cs="Segoe UI"/>
      <w:sz w:val="18"/>
      <w:szCs w:val="18"/>
    </w:rPr>
  </w:style>
  <w:style w:type="table" w:styleId="TableGrid">
    <w:name w:val="Table Grid"/>
    <w:basedOn w:val="TableNormal"/>
    <w:uiPriority w:val="39"/>
    <w:rsid w:val="00A07907"/>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F8C"/>
    <w:rPr>
      <w:color w:val="0000FF" w:themeColor="hyperlink"/>
      <w:u w:val="single"/>
    </w:rPr>
  </w:style>
  <w:style w:type="character" w:styleId="UnresolvedMention">
    <w:name w:val="Unresolved Mention"/>
    <w:basedOn w:val="DefaultParagraphFont"/>
    <w:uiPriority w:val="99"/>
    <w:semiHidden/>
    <w:unhideWhenUsed/>
    <w:rsid w:val="00924F8C"/>
    <w:rPr>
      <w:color w:val="605E5C"/>
      <w:shd w:val="clear" w:color="auto" w:fill="E1DFDD"/>
    </w:rPr>
  </w:style>
  <w:style w:type="character" w:styleId="FollowedHyperlink">
    <w:name w:val="FollowedHyperlink"/>
    <w:basedOn w:val="DefaultParagraphFont"/>
    <w:uiPriority w:val="99"/>
    <w:semiHidden/>
    <w:unhideWhenUsed/>
    <w:rsid w:val="00B43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6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advice-funding-regulations-for-post-16-provision/advice-funding-regulations-for-post-16-provision-2024-to-20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44C7E-291B-4837-B90D-1A31ED7C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Talbot</dc:creator>
  <cp:lastModifiedBy>Jane Green</cp:lastModifiedBy>
  <cp:revision>5</cp:revision>
  <cp:lastPrinted>2019-03-15T17:21:00Z</cp:lastPrinted>
  <dcterms:created xsi:type="dcterms:W3CDTF">2025-01-23T14:55:00Z</dcterms:created>
  <dcterms:modified xsi:type="dcterms:W3CDTF">2025-03-11T09:22:00Z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2015-03-04T00:00:00Z</vt:filetime>
  </property>
  <property fmtid="{D5CDD505-2E9C-101B-9397-08002B2CF9AE}" pid="3" name="Creator">
    <vt:lpwstr>Microsoft® Word 2010</vt:lpwstr>
  </property>
  <property fmtid="{D5CDD505-2E9C-101B-9397-08002B2CF9AE}" pid="4" name="LastSaved">
    <vt:filetime>2018-05-23T00:00:00Z</vt:filetime>
  </property>
</Properties>
</file>