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03" w:rsidRDefault="00556A03" w:rsidP="00556A03">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659264" behindDoc="0" locked="0" layoutInCell="1" allowOverlap="1" wp14:anchorId="67A23F7E" wp14:editId="566AAC06">
            <wp:simplePos x="0" y="0"/>
            <wp:positionH relativeFrom="margin">
              <wp:posOffset>2333626</wp:posOffset>
            </wp:positionH>
            <wp:positionV relativeFrom="paragraph">
              <wp:posOffset>-762000</wp:posOffset>
            </wp:positionV>
            <wp:extent cx="999960" cy="1048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LOGO_SQUARE(4).png"/>
                    <pic:cNvPicPr/>
                  </pic:nvPicPr>
                  <pic:blipFill rotWithShape="1">
                    <a:blip r:embed="rId7">
                      <a:extLst>
                        <a:ext uri="{28A0092B-C50C-407E-A947-70E740481C1C}">
                          <a14:useLocalDpi xmlns:a14="http://schemas.microsoft.com/office/drawing/2010/main" val="0"/>
                        </a:ext>
                      </a:extLst>
                    </a:blip>
                    <a:srcRect r="69051" b="3135"/>
                    <a:stretch/>
                  </pic:blipFill>
                  <pic:spPr bwMode="auto">
                    <a:xfrm>
                      <a:off x="0" y="0"/>
                      <a:ext cx="1003135" cy="10517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A03" w:rsidRDefault="00556A03" w:rsidP="00556A03">
      <w:pPr>
        <w:jc w:val="center"/>
        <w:rPr>
          <w:rFonts w:asciiTheme="minorHAnsi" w:hAnsiTheme="minorHAnsi" w:cstheme="minorHAnsi"/>
          <w:b/>
          <w:u w:val="single"/>
        </w:rPr>
      </w:pPr>
    </w:p>
    <w:p w:rsidR="00556A03" w:rsidRPr="0034034F" w:rsidRDefault="00556A03" w:rsidP="00556A03">
      <w:pPr>
        <w:jc w:val="center"/>
        <w:rPr>
          <w:rFonts w:asciiTheme="minorHAnsi" w:hAnsiTheme="minorHAnsi" w:cstheme="minorHAnsi"/>
          <w:b/>
          <w:sz w:val="22"/>
        </w:rPr>
      </w:pPr>
      <w:r w:rsidRPr="0034034F">
        <w:rPr>
          <w:rFonts w:asciiTheme="minorHAnsi" w:hAnsiTheme="minorHAnsi" w:cstheme="minorHAnsi"/>
          <w:b/>
          <w:sz w:val="22"/>
        </w:rPr>
        <w:t>Bishop Challoner Catholic College</w:t>
      </w:r>
    </w:p>
    <w:p w:rsidR="00556A03" w:rsidRPr="0034034F" w:rsidRDefault="00556A03" w:rsidP="00556A03">
      <w:pPr>
        <w:jc w:val="center"/>
        <w:rPr>
          <w:rFonts w:asciiTheme="minorHAnsi" w:hAnsiTheme="minorHAnsi" w:cstheme="minorHAnsi"/>
          <w:b/>
          <w:sz w:val="22"/>
        </w:rPr>
      </w:pPr>
      <w:r w:rsidRPr="0034034F">
        <w:rPr>
          <w:rFonts w:asciiTheme="minorHAnsi" w:hAnsiTheme="minorHAnsi" w:cstheme="minorHAnsi"/>
          <w:b/>
          <w:sz w:val="22"/>
        </w:rPr>
        <w:t>RELIGIOUS EDUCATION</w:t>
      </w:r>
      <w:r w:rsidRPr="0034034F">
        <w:rPr>
          <w:rFonts w:asciiTheme="minorHAnsi" w:hAnsiTheme="minorHAnsi" w:cstheme="minorHAnsi"/>
          <w:b/>
          <w:sz w:val="22"/>
        </w:rPr>
        <w:br/>
        <w:t xml:space="preserve">A-Level Study Guide </w:t>
      </w:r>
    </w:p>
    <w:p w:rsidR="00556A03" w:rsidRDefault="00556A03" w:rsidP="00556A03">
      <w:pPr>
        <w:jc w:val="center"/>
        <w:rPr>
          <w:rFonts w:asciiTheme="minorHAnsi" w:hAnsiTheme="minorHAnsi" w:cstheme="minorHAnsi"/>
          <w:i/>
          <w:sz w:val="18"/>
        </w:rPr>
      </w:pPr>
    </w:p>
    <w:tbl>
      <w:tblPr>
        <w:tblStyle w:val="TableGrid"/>
        <w:tblW w:w="0" w:type="auto"/>
        <w:tblLook w:val="04A0" w:firstRow="1" w:lastRow="0" w:firstColumn="1" w:lastColumn="0" w:noHBand="0" w:noVBand="1"/>
      </w:tblPr>
      <w:tblGrid>
        <w:gridCol w:w="1850"/>
        <w:gridCol w:w="2540"/>
        <w:gridCol w:w="4626"/>
      </w:tblGrid>
      <w:tr w:rsidR="00CC03AD" w:rsidRPr="0093786E" w:rsidTr="00AC0E6F">
        <w:trPr>
          <w:trHeight w:val="473"/>
        </w:trPr>
        <w:tc>
          <w:tcPr>
            <w:tcW w:w="1850" w:type="dxa"/>
          </w:tcPr>
          <w:p w:rsidR="00CC03AD" w:rsidRPr="0093786E" w:rsidRDefault="00CC03AD" w:rsidP="007A66FE">
            <w:pPr>
              <w:rPr>
                <w:rFonts w:asciiTheme="minorHAnsi" w:hAnsiTheme="minorHAnsi" w:cstheme="minorHAnsi"/>
                <w:b/>
                <w:sz w:val="22"/>
              </w:rPr>
            </w:pPr>
            <w:r>
              <w:rPr>
                <w:rFonts w:asciiTheme="minorHAnsi" w:hAnsiTheme="minorHAnsi" w:cstheme="minorHAnsi"/>
                <w:b/>
                <w:sz w:val="22"/>
              </w:rPr>
              <w:t>COMPONENT 2</w:t>
            </w:r>
          </w:p>
        </w:tc>
        <w:tc>
          <w:tcPr>
            <w:tcW w:w="7166" w:type="dxa"/>
            <w:gridSpan w:val="2"/>
          </w:tcPr>
          <w:p w:rsidR="00CC03AD" w:rsidRPr="0093786E" w:rsidRDefault="00CC03AD" w:rsidP="00CC03AD">
            <w:pPr>
              <w:rPr>
                <w:rFonts w:asciiTheme="minorHAnsi" w:hAnsiTheme="minorHAnsi" w:cstheme="minorHAnsi"/>
                <w:sz w:val="22"/>
              </w:rPr>
            </w:pPr>
            <w:r w:rsidRPr="0093786E">
              <w:rPr>
                <w:rFonts w:asciiTheme="minorHAnsi" w:hAnsiTheme="minorHAnsi" w:cstheme="minorHAnsi"/>
                <w:sz w:val="22"/>
              </w:rPr>
              <w:t xml:space="preserve">INTRODUCTION TO </w:t>
            </w:r>
            <w:r>
              <w:rPr>
                <w:rFonts w:asciiTheme="minorHAnsi" w:hAnsiTheme="minorHAnsi" w:cstheme="minorHAnsi"/>
                <w:sz w:val="22"/>
              </w:rPr>
              <w:t>PHILOSOPHY OF RELIGION</w:t>
            </w:r>
          </w:p>
        </w:tc>
      </w:tr>
      <w:tr w:rsidR="00556A03" w:rsidRPr="0093786E" w:rsidTr="00556A03">
        <w:trPr>
          <w:trHeight w:val="453"/>
        </w:trPr>
        <w:tc>
          <w:tcPr>
            <w:tcW w:w="9016" w:type="dxa"/>
            <w:gridSpan w:val="3"/>
          </w:tcPr>
          <w:p w:rsidR="00556A03" w:rsidRPr="00556A03" w:rsidRDefault="00556A03" w:rsidP="00556A03">
            <w:pPr>
              <w:rPr>
                <w:rFonts w:asciiTheme="minorHAnsi" w:hAnsiTheme="minorHAnsi" w:cstheme="minorHAnsi"/>
                <w:sz w:val="20"/>
              </w:rPr>
            </w:pPr>
            <w:r w:rsidRPr="004321F1">
              <w:rPr>
                <w:rFonts w:asciiTheme="minorHAnsi" w:hAnsiTheme="minorHAnsi" w:cstheme="minorHAnsi"/>
                <w:sz w:val="20"/>
              </w:rPr>
              <w:t>This unit provides learners with the opportunity to undertake an in-depth and broad study of four fundamental religious themes</w:t>
            </w:r>
            <w:r w:rsidR="00BB1D6D">
              <w:rPr>
                <w:rFonts w:asciiTheme="minorHAnsi" w:hAnsiTheme="minorHAnsi" w:cstheme="minorHAnsi"/>
                <w:sz w:val="20"/>
              </w:rPr>
              <w:t>, over two years</w:t>
            </w:r>
            <w:r w:rsidRPr="004321F1">
              <w:rPr>
                <w:rFonts w:asciiTheme="minorHAnsi" w:hAnsiTheme="minorHAnsi" w:cstheme="minorHAnsi"/>
                <w:sz w:val="20"/>
              </w:rPr>
              <w:t xml:space="preserve">: </w:t>
            </w:r>
          </w:p>
        </w:tc>
      </w:tr>
      <w:tr w:rsidR="00CC03AD" w:rsidRPr="0093786E" w:rsidTr="00556A03">
        <w:trPr>
          <w:trHeight w:val="815"/>
        </w:trPr>
        <w:tc>
          <w:tcPr>
            <w:tcW w:w="4390" w:type="dxa"/>
            <w:gridSpan w:val="2"/>
          </w:tcPr>
          <w:p w:rsidR="00CC03AD" w:rsidRPr="0093786E" w:rsidRDefault="00CC03AD" w:rsidP="00CC03AD">
            <w:pPr>
              <w:pStyle w:val="ListParagraph"/>
              <w:numPr>
                <w:ilvl w:val="0"/>
                <w:numId w:val="5"/>
              </w:numPr>
              <w:rPr>
                <w:rFonts w:cstheme="minorHAnsi"/>
                <w:szCs w:val="24"/>
              </w:rPr>
            </w:pPr>
            <w:r w:rsidRPr="0093786E">
              <w:rPr>
                <w:rFonts w:cstheme="minorHAnsi"/>
                <w:szCs w:val="24"/>
              </w:rPr>
              <w:t>arguments for the existence of God</w:t>
            </w:r>
          </w:p>
          <w:p w:rsidR="00CC03AD" w:rsidRPr="0093786E" w:rsidRDefault="00CC03AD" w:rsidP="00CC03AD">
            <w:pPr>
              <w:pStyle w:val="ListParagraph"/>
              <w:numPr>
                <w:ilvl w:val="0"/>
                <w:numId w:val="5"/>
              </w:numPr>
              <w:rPr>
                <w:rFonts w:cstheme="minorHAnsi"/>
                <w:szCs w:val="24"/>
              </w:rPr>
            </w:pPr>
            <w:r w:rsidRPr="0093786E">
              <w:rPr>
                <w:rFonts w:cstheme="minorHAnsi"/>
                <w:szCs w:val="24"/>
              </w:rPr>
              <w:t>challenges to religious belief</w:t>
            </w:r>
          </w:p>
        </w:tc>
        <w:tc>
          <w:tcPr>
            <w:tcW w:w="4626" w:type="dxa"/>
          </w:tcPr>
          <w:p w:rsidR="00CC03AD" w:rsidRPr="0093786E" w:rsidRDefault="00CC03AD" w:rsidP="00CC03AD">
            <w:pPr>
              <w:pStyle w:val="ListParagraph"/>
              <w:numPr>
                <w:ilvl w:val="0"/>
                <w:numId w:val="5"/>
              </w:numPr>
              <w:rPr>
                <w:rFonts w:cstheme="minorHAnsi"/>
                <w:szCs w:val="24"/>
              </w:rPr>
            </w:pPr>
            <w:r w:rsidRPr="0093786E">
              <w:rPr>
                <w:rFonts w:cstheme="minorHAnsi"/>
                <w:szCs w:val="24"/>
              </w:rPr>
              <w:t>religious experience</w:t>
            </w:r>
          </w:p>
          <w:p w:rsidR="00CC03AD" w:rsidRPr="0093786E" w:rsidRDefault="00CC03AD" w:rsidP="00CC03AD">
            <w:pPr>
              <w:pStyle w:val="ListParagraph"/>
              <w:numPr>
                <w:ilvl w:val="0"/>
                <w:numId w:val="5"/>
              </w:numPr>
              <w:rPr>
                <w:rFonts w:cstheme="minorHAnsi"/>
                <w:szCs w:val="24"/>
              </w:rPr>
            </w:pPr>
            <w:r w:rsidRPr="0093786E">
              <w:rPr>
                <w:rFonts w:cstheme="minorHAnsi"/>
                <w:szCs w:val="24"/>
              </w:rPr>
              <w:t>religious language.</w:t>
            </w:r>
          </w:p>
        </w:tc>
      </w:tr>
    </w:tbl>
    <w:p w:rsidR="00556A03" w:rsidRDefault="00556A03" w:rsidP="00556A03">
      <w:pPr>
        <w:rPr>
          <w:rFonts w:asciiTheme="minorHAnsi" w:hAnsiTheme="minorHAnsi" w:cstheme="minorHAnsi"/>
          <w:b/>
        </w:rPr>
      </w:pPr>
    </w:p>
    <w:p w:rsidR="00BB1D6D" w:rsidRPr="00CC03AD" w:rsidRDefault="00BB1D6D" w:rsidP="00BB1D6D">
      <w:pPr>
        <w:jc w:val="center"/>
        <w:rPr>
          <w:rFonts w:asciiTheme="minorHAnsi" w:hAnsiTheme="minorHAnsi" w:cstheme="minorHAnsi"/>
          <w:b/>
        </w:rPr>
      </w:pPr>
      <w:r w:rsidRPr="00CC03AD">
        <w:rPr>
          <w:b/>
        </w:rPr>
        <w:t>AUTUMN</w:t>
      </w:r>
    </w:p>
    <w:p w:rsidR="00BB1D6D" w:rsidRPr="005B2B3B" w:rsidRDefault="00BB1D6D" w:rsidP="00556A03">
      <w:pPr>
        <w:rPr>
          <w:rFonts w:asciiTheme="minorHAnsi" w:hAnsiTheme="minorHAnsi" w:cstheme="minorHAnsi"/>
          <w:b/>
        </w:rPr>
      </w:pPr>
    </w:p>
    <w:p w:rsidR="00556A03" w:rsidRPr="005B2B3B" w:rsidRDefault="00556A03" w:rsidP="00556A03">
      <w:pPr>
        <w:rPr>
          <w:rFonts w:asciiTheme="minorHAnsi" w:hAnsiTheme="minorHAnsi" w:cstheme="minorHAnsi"/>
          <w:b/>
        </w:rPr>
      </w:pPr>
      <w:r w:rsidRPr="005B2B3B">
        <w:rPr>
          <w:rFonts w:asciiTheme="minorHAnsi" w:hAnsiTheme="minorHAnsi" w:cstheme="minorHAnsi"/>
          <w:b/>
        </w:rPr>
        <w:t>Which topics will you be studying?</w:t>
      </w:r>
    </w:p>
    <w:tbl>
      <w:tblPr>
        <w:tblStyle w:val="TableGrid"/>
        <w:tblW w:w="0" w:type="auto"/>
        <w:tblLook w:val="04A0" w:firstRow="1" w:lastRow="0" w:firstColumn="1" w:lastColumn="0" w:noHBand="0" w:noVBand="1"/>
      </w:tblPr>
      <w:tblGrid>
        <w:gridCol w:w="3154"/>
        <w:gridCol w:w="5862"/>
      </w:tblGrid>
      <w:tr w:rsidR="00556A03" w:rsidRPr="005B2B3B" w:rsidTr="00526C84">
        <w:tc>
          <w:tcPr>
            <w:tcW w:w="9016" w:type="dxa"/>
            <w:gridSpan w:val="2"/>
            <w:shd w:val="clear" w:color="auto" w:fill="FFFF00"/>
          </w:tcPr>
          <w:p w:rsidR="00556A03" w:rsidRPr="005B2B3B" w:rsidRDefault="00E47C7A" w:rsidP="00E47C7A">
            <w:pPr>
              <w:rPr>
                <w:rFonts w:asciiTheme="minorHAnsi" w:hAnsiTheme="minorHAnsi" w:cstheme="minorHAnsi"/>
                <w:b/>
              </w:rPr>
            </w:pPr>
            <w:r>
              <w:rPr>
                <w:rFonts w:asciiTheme="minorHAnsi" w:hAnsiTheme="minorHAnsi" w:cstheme="minorHAnsi"/>
                <w:b/>
              </w:rPr>
              <w:t>Theme 1</w:t>
            </w:r>
            <w:r w:rsidR="00370E16">
              <w:rPr>
                <w:rFonts w:asciiTheme="minorHAnsi" w:hAnsiTheme="minorHAnsi" w:cstheme="minorHAnsi"/>
                <w:b/>
              </w:rPr>
              <w:t>a-c</w:t>
            </w:r>
            <w:r>
              <w:rPr>
                <w:rFonts w:asciiTheme="minorHAnsi" w:hAnsiTheme="minorHAnsi" w:cstheme="minorHAnsi"/>
                <w:b/>
              </w:rPr>
              <w:t>: Arguments for the existence of God- Inductive</w:t>
            </w:r>
          </w:p>
        </w:tc>
      </w:tr>
      <w:tr w:rsidR="00E47C7A" w:rsidRPr="005B2B3B" w:rsidTr="005C41E4">
        <w:tc>
          <w:tcPr>
            <w:tcW w:w="3154" w:type="dxa"/>
            <w:shd w:val="clear" w:color="auto" w:fill="D0CECE" w:themeFill="background2" w:themeFillShade="E6"/>
          </w:tcPr>
          <w:p w:rsidR="00556A03" w:rsidRDefault="00556A03" w:rsidP="007A66FE">
            <w:pPr>
              <w:rPr>
                <w:rFonts w:asciiTheme="minorHAnsi" w:hAnsiTheme="minorHAnsi" w:cstheme="minorHAnsi"/>
                <w:b/>
              </w:rPr>
            </w:pPr>
            <w:r>
              <w:rPr>
                <w:rFonts w:asciiTheme="minorHAnsi" w:hAnsiTheme="minorHAnsi" w:cstheme="minorHAnsi"/>
                <w:b/>
              </w:rPr>
              <w:t xml:space="preserve">AO1: </w:t>
            </w:r>
          </w:p>
        </w:tc>
        <w:tc>
          <w:tcPr>
            <w:tcW w:w="5862" w:type="dxa"/>
            <w:shd w:val="clear" w:color="auto" w:fill="auto"/>
          </w:tcPr>
          <w:p w:rsidR="00556A03" w:rsidRPr="005B2B3B" w:rsidRDefault="00556A03" w:rsidP="007A66FE">
            <w:pPr>
              <w:rPr>
                <w:rFonts w:asciiTheme="minorHAnsi" w:hAnsiTheme="minorHAnsi" w:cstheme="minorHAnsi"/>
                <w:b/>
              </w:rPr>
            </w:pPr>
            <w:r>
              <w:rPr>
                <w:rFonts w:asciiTheme="minorHAnsi" w:hAnsiTheme="minorHAnsi" w:cstheme="minorHAnsi"/>
                <w:b/>
              </w:rPr>
              <w:t>AO2:</w:t>
            </w:r>
          </w:p>
        </w:tc>
      </w:tr>
      <w:tr w:rsidR="00E47C7A" w:rsidRPr="005B2B3B" w:rsidTr="00526C84">
        <w:trPr>
          <w:trHeight w:val="2950"/>
        </w:trPr>
        <w:tc>
          <w:tcPr>
            <w:tcW w:w="3154" w:type="dxa"/>
          </w:tcPr>
          <w:p w:rsidR="00556A03" w:rsidRPr="005B2B3B" w:rsidRDefault="00556A03" w:rsidP="007A66FE">
            <w:pPr>
              <w:rPr>
                <w:rFonts w:asciiTheme="minorHAnsi" w:hAnsiTheme="minorHAnsi" w:cstheme="minorHAnsi"/>
                <w:b/>
              </w:rPr>
            </w:pPr>
          </w:p>
          <w:p w:rsidR="00556A03" w:rsidRDefault="00E47C7A" w:rsidP="00556A03">
            <w:pPr>
              <w:pStyle w:val="ListParagraph"/>
              <w:numPr>
                <w:ilvl w:val="0"/>
                <w:numId w:val="2"/>
              </w:numPr>
              <w:rPr>
                <w:rFonts w:cstheme="minorHAnsi"/>
                <w:b/>
              </w:rPr>
            </w:pPr>
            <w:r>
              <w:rPr>
                <w:rFonts w:cstheme="minorHAnsi"/>
                <w:b/>
              </w:rPr>
              <w:t>Inductive Arguments- Cosmological (Kalam &amp; Aquinas)</w:t>
            </w:r>
          </w:p>
          <w:p w:rsidR="00E47C7A" w:rsidRDefault="00E47C7A" w:rsidP="00E47C7A">
            <w:pPr>
              <w:pStyle w:val="ListParagraph"/>
              <w:numPr>
                <w:ilvl w:val="0"/>
                <w:numId w:val="2"/>
              </w:numPr>
              <w:rPr>
                <w:rFonts w:cstheme="minorHAnsi"/>
                <w:b/>
              </w:rPr>
            </w:pPr>
            <w:r>
              <w:rPr>
                <w:rFonts w:cstheme="minorHAnsi"/>
                <w:b/>
              </w:rPr>
              <w:t>Inductive Arguments- Teleological.(Aquinas, Paley &amp; Tennant)</w:t>
            </w:r>
          </w:p>
          <w:p w:rsidR="00E47C7A" w:rsidRPr="00E47C7A" w:rsidRDefault="00E47C7A" w:rsidP="00A54C36">
            <w:pPr>
              <w:pStyle w:val="ListParagraph"/>
              <w:numPr>
                <w:ilvl w:val="0"/>
                <w:numId w:val="2"/>
              </w:numPr>
              <w:rPr>
                <w:rFonts w:cstheme="minorHAnsi"/>
                <w:b/>
              </w:rPr>
            </w:pPr>
            <w:r>
              <w:rPr>
                <w:rFonts w:cstheme="minorHAnsi"/>
                <w:b/>
              </w:rPr>
              <w:t>Challenges to inductive arguments (Hume).</w:t>
            </w:r>
          </w:p>
        </w:tc>
        <w:tc>
          <w:tcPr>
            <w:tcW w:w="5862" w:type="dxa"/>
          </w:tcPr>
          <w:p w:rsidR="00556A03" w:rsidRPr="005B2B3B" w:rsidRDefault="00556A03" w:rsidP="007A66FE">
            <w:pPr>
              <w:rPr>
                <w:rFonts w:asciiTheme="minorHAnsi" w:hAnsiTheme="minorHAnsi" w:cstheme="minorHAnsi"/>
                <w:b/>
              </w:rPr>
            </w:pPr>
          </w:p>
          <w:p w:rsid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ArialMT" w:hAnsi="ArialMT" w:cs="ArialMT"/>
                <w:sz w:val="20"/>
                <w:szCs w:val="20"/>
              </w:rPr>
              <w:t>Whether inductive arguments for God’s existence are persuasive.</w:t>
            </w:r>
          </w:p>
          <w:p w:rsidR="00E47C7A" w:rsidRP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Arial" w:hAnsi="Arial" w:cs="Arial"/>
                <w:sz w:val="20"/>
                <w:szCs w:val="20"/>
              </w:rPr>
              <w:t>The extent to which the Kalam cosmological argument is convincing.</w:t>
            </w:r>
          </w:p>
          <w:p w:rsid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ArialMT" w:hAnsi="ArialMT" w:cs="ArialMT"/>
                <w:sz w:val="20"/>
                <w:szCs w:val="20"/>
              </w:rPr>
              <w:t>The effectiveness of the cosmological/teleological argument for God’s existence.</w:t>
            </w:r>
          </w:p>
          <w:p w:rsidR="00E47C7A" w:rsidRP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SymbolMT" w:hAnsi="SymbolMT" w:cs="SymbolMT"/>
                <w:sz w:val="20"/>
                <w:szCs w:val="20"/>
              </w:rPr>
              <w:t xml:space="preserve"> </w:t>
            </w:r>
            <w:r w:rsidRPr="00E47C7A">
              <w:rPr>
                <w:rFonts w:ascii="ArialMT" w:hAnsi="ArialMT" w:cs="ArialMT"/>
                <w:sz w:val="20"/>
                <w:szCs w:val="20"/>
              </w:rPr>
              <w:t>Whether cosmological/teleological arguments for God’s existence are persuasive in the 21</w:t>
            </w:r>
            <w:r w:rsidRPr="00E47C7A">
              <w:rPr>
                <w:rFonts w:ascii="Arial" w:hAnsi="Arial" w:cs="Arial"/>
                <w:sz w:val="13"/>
                <w:szCs w:val="13"/>
                <w:vertAlign w:val="superscript"/>
              </w:rPr>
              <w:t>st</w:t>
            </w:r>
            <w:r w:rsidRPr="00E47C7A">
              <w:rPr>
                <w:rFonts w:ascii="Arial" w:hAnsi="Arial" w:cs="Arial"/>
                <w:sz w:val="13"/>
                <w:szCs w:val="13"/>
              </w:rPr>
              <w:t xml:space="preserve"> </w:t>
            </w:r>
            <w:r w:rsidRPr="00E47C7A">
              <w:rPr>
                <w:rFonts w:ascii="Arial" w:hAnsi="Arial" w:cs="Arial"/>
                <w:sz w:val="20"/>
                <w:szCs w:val="20"/>
              </w:rPr>
              <w:t>Century.</w:t>
            </w:r>
          </w:p>
          <w:p w:rsidR="00E47C7A" w:rsidRP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Arial" w:hAnsi="Arial" w:cs="Arial"/>
                <w:sz w:val="20"/>
                <w:szCs w:val="20"/>
              </w:rPr>
              <w:t xml:space="preserve">The effectiveness of the challenges to </w:t>
            </w:r>
            <w:r w:rsidRPr="00E47C7A">
              <w:rPr>
                <w:rFonts w:ascii="ArialMT" w:hAnsi="ArialMT" w:cs="ArialMT"/>
                <w:sz w:val="20"/>
                <w:szCs w:val="20"/>
              </w:rPr>
              <w:t xml:space="preserve">the cosmological/teleological argument for God’s </w:t>
            </w:r>
            <w:r w:rsidRPr="00E47C7A">
              <w:rPr>
                <w:rFonts w:ascii="Arial" w:hAnsi="Arial" w:cs="Arial"/>
                <w:sz w:val="20"/>
                <w:szCs w:val="20"/>
              </w:rPr>
              <w:t>existence.</w:t>
            </w:r>
          </w:p>
          <w:p w:rsidR="00556A03" w:rsidRPr="00E47C7A" w:rsidRDefault="00E47C7A" w:rsidP="00E47C7A">
            <w:pPr>
              <w:pStyle w:val="ListParagraph"/>
              <w:numPr>
                <w:ilvl w:val="0"/>
                <w:numId w:val="2"/>
              </w:numPr>
              <w:autoSpaceDE w:val="0"/>
              <w:autoSpaceDN w:val="0"/>
              <w:adjustRightInd w:val="0"/>
              <w:rPr>
                <w:rFonts w:ascii="ArialMT" w:hAnsi="ArialMT" w:cs="ArialMT"/>
                <w:sz w:val="20"/>
                <w:szCs w:val="20"/>
              </w:rPr>
            </w:pPr>
            <w:r w:rsidRPr="00E47C7A">
              <w:rPr>
                <w:rFonts w:ascii="SymbolMT" w:hAnsi="SymbolMT" w:cs="SymbolMT"/>
                <w:sz w:val="20"/>
                <w:szCs w:val="20"/>
              </w:rPr>
              <w:t xml:space="preserve"> </w:t>
            </w:r>
            <w:r w:rsidRPr="00E47C7A">
              <w:rPr>
                <w:rFonts w:ascii="Arial" w:hAnsi="Arial" w:cs="Arial"/>
                <w:sz w:val="20"/>
                <w:szCs w:val="20"/>
              </w:rPr>
              <w:t xml:space="preserve">Whether scientific explanations are more persuasive than philosophical explanations for the </w:t>
            </w:r>
            <w:r w:rsidRPr="00E47C7A">
              <w:rPr>
                <w:rFonts w:ascii="ArialMT" w:hAnsi="ArialMT" w:cs="ArialMT"/>
                <w:sz w:val="20"/>
                <w:szCs w:val="20"/>
              </w:rPr>
              <w:t>universe’s existence.</w:t>
            </w:r>
          </w:p>
        </w:tc>
      </w:tr>
      <w:tr w:rsidR="00526C84" w:rsidRPr="005B2B3B" w:rsidTr="007A66FE">
        <w:tc>
          <w:tcPr>
            <w:tcW w:w="9016" w:type="dxa"/>
            <w:gridSpan w:val="2"/>
            <w:shd w:val="clear" w:color="auto" w:fill="FFFF00"/>
          </w:tcPr>
          <w:p w:rsidR="00526C84" w:rsidRPr="005B2B3B" w:rsidRDefault="00526C84" w:rsidP="00526C84">
            <w:pPr>
              <w:rPr>
                <w:rFonts w:asciiTheme="minorHAnsi" w:hAnsiTheme="minorHAnsi" w:cstheme="minorHAnsi"/>
                <w:b/>
              </w:rPr>
            </w:pPr>
            <w:r>
              <w:rPr>
                <w:rFonts w:asciiTheme="minorHAnsi" w:hAnsiTheme="minorHAnsi" w:cstheme="minorHAnsi"/>
                <w:b/>
              </w:rPr>
              <w:t>Theme 1</w:t>
            </w:r>
            <w:r w:rsidR="00370E16">
              <w:rPr>
                <w:rFonts w:asciiTheme="minorHAnsi" w:hAnsiTheme="minorHAnsi" w:cstheme="minorHAnsi"/>
                <w:b/>
              </w:rPr>
              <w:t>d-f</w:t>
            </w:r>
            <w:r>
              <w:rPr>
                <w:rFonts w:asciiTheme="minorHAnsi" w:hAnsiTheme="minorHAnsi" w:cstheme="minorHAnsi"/>
                <w:b/>
              </w:rPr>
              <w:t>: Arguments for the existence of God- Deductive</w:t>
            </w:r>
          </w:p>
        </w:tc>
      </w:tr>
      <w:tr w:rsidR="00526C84" w:rsidRPr="005B2B3B" w:rsidTr="005C41E4">
        <w:tc>
          <w:tcPr>
            <w:tcW w:w="3154" w:type="dxa"/>
            <w:shd w:val="clear" w:color="auto" w:fill="D0CECE" w:themeFill="background2" w:themeFillShade="E6"/>
          </w:tcPr>
          <w:p w:rsidR="00526C84" w:rsidRDefault="00526C84" w:rsidP="007A66FE">
            <w:pPr>
              <w:rPr>
                <w:rFonts w:asciiTheme="minorHAnsi" w:hAnsiTheme="minorHAnsi" w:cstheme="minorHAnsi"/>
                <w:b/>
              </w:rPr>
            </w:pPr>
            <w:r>
              <w:rPr>
                <w:rFonts w:asciiTheme="minorHAnsi" w:hAnsiTheme="minorHAnsi" w:cstheme="minorHAnsi"/>
                <w:b/>
              </w:rPr>
              <w:t xml:space="preserve">AO1: </w:t>
            </w:r>
          </w:p>
        </w:tc>
        <w:tc>
          <w:tcPr>
            <w:tcW w:w="5862" w:type="dxa"/>
            <w:shd w:val="clear" w:color="auto" w:fill="FFFFFF" w:themeFill="background1"/>
          </w:tcPr>
          <w:p w:rsidR="00526C84" w:rsidRPr="005B2B3B" w:rsidRDefault="00526C84" w:rsidP="007A66FE">
            <w:pPr>
              <w:rPr>
                <w:rFonts w:asciiTheme="minorHAnsi" w:hAnsiTheme="minorHAnsi" w:cstheme="minorHAnsi"/>
                <w:b/>
              </w:rPr>
            </w:pPr>
            <w:r>
              <w:rPr>
                <w:rFonts w:asciiTheme="minorHAnsi" w:hAnsiTheme="minorHAnsi" w:cstheme="minorHAnsi"/>
                <w:b/>
              </w:rPr>
              <w:t>AO2:</w:t>
            </w:r>
          </w:p>
        </w:tc>
      </w:tr>
      <w:tr w:rsidR="00526C84" w:rsidRPr="005B2B3B" w:rsidTr="00526C84">
        <w:trPr>
          <w:trHeight w:val="983"/>
        </w:trPr>
        <w:tc>
          <w:tcPr>
            <w:tcW w:w="3154" w:type="dxa"/>
          </w:tcPr>
          <w:p w:rsidR="00526C84" w:rsidRDefault="00526C84" w:rsidP="00526C84">
            <w:pPr>
              <w:pStyle w:val="ListParagraph"/>
              <w:numPr>
                <w:ilvl w:val="0"/>
                <w:numId w:val="6"/>
              </w:numPr>
              <w:rPr>
                <w:rFonts w:cstheme="minorHAnsi"/>
                <w:b/>
              </w:rPr>
            </w:pPr>
            <w:r>
              <w:rPr>
                <w:rFonts w:cstheme="minorHAnsi"/>
                <w:b/>
              </w:rPr>
              <w:t xml:space="preserve">Deductive Arguments [Origins of </w:t>
            </w:r>
            <w:r w:rsidR="00A54C36">
              <w:rPr>
                <w:rFonts w:cstheme="minorHAnsi"/>
                <w:b/>
              </w:rPr>
              <w:t>the Ontological Argument]</w:t>
            </w:r>
            <w:r w:rsidR="00A54C36">
              <w:rPr>
                <w:rFonts w:cstheme="minorHAnsi"/>
                <w:b/>
              </w:rPr>
              <w:br/>
              <w:t>(Ansel</w:t>
            </w:r>
            <w:r>
              <w:rPr>
                <w:rFonts w:cstheme="minorHAnsi"/>
                <w:b/>
              </w:rPr>
              <w:t>m)</w:t>
            </w:r>
          </w:p>
          <w:p w:rsidR="00526C84" w:rsidRDefault="00526C84" w:rsidP="00526C84">
            <w:pPr>
              <w:pStyle w:val="ListParagraph"/>
              <w:numPr>
                <w:ilvl w:val="0"/>
                <w:numId w:val="6"/>
              </w:numPr>
              <w:rPr>
                <w:rFonts w:cstheme="minorHAnsi"/>
                <w:b/>
              </w:rPr>
            </w:pPr>
            <w:r>
              <w:rPr>
                <w:rFonts w:cstheme="minorHAnsi"/>
                <w:b/>
              </w:rPr>
              <w:t>Deductive Argument [Development of the Ontological Argument] (Descartes &amp; Malcolm)</w:t>
            </w:r>
          </w:p>
          <w:p w:rsidR="00526C84" w:rsidRPr="00526C84" w:rsidRDefault="00526C84" w:rsidP="00526C84">
            <w:pPr>
              <w:pStyle w:val="ListParagraph"/>
              <w:numPr>
                <w:ilvl w:val="0"/>
                <w:numId w:val="6"/>
              </w:numPr>
              <w:rPr>
                <w:rFonts w:cstheme="minorHAnsi"/>
                <w:b/>
              </w:rPr>
            </w:pPr>
            <w:r>
              <w:rPr>
                <w:rFonts w:cstheme="minorHAnsi"/>
                <w:b/>
              </w:rPr>
              <w:t>Challenges to deductive arguments (Gaunilo)</w:t>
            </w:r>
          </w:p>
        </w:tc>
        <w:tc>
          <w:tcPr>
            <w:tcW w:w="5862" w:type="dxa"/>
          </w:tcPr>
          <w:p w:rsid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ArialMT" w:hAnsi="ArialMT" w:cs="ArialMT"/>
                <w:sz w:val="20"/>
                <w:szCs w:val="20"/>
              </w:rPr>
              <w:t>The extent to which ‘a priori’ arguments for God’s existence are persuasive.</w:t>
            </w:r>
          </w:p>
          <w:p w:rsidR="00526C84" w:rsidRP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SymbolMT" w:hAnsi="SymbolMT" w:cs="SymbolMT"/>
                <w:sz w:val="20"/>
                <w:szCs w:val="20"/>
              </w:rPr>
              <w:t xml:space="preserve"> </w:t>
            </w:r>
            <w:r w:rsidRPr="00526C84">
              <w:rPr>
                <w:rFonts w:ascii="Arial" w:hAnsi="Arial" w:cs="Arial"/>
                <w:sz w:val="20"/>
                <w:szCs w:val="20"/>
              </w:rPr>
              <w:t>The extent to which different religious views on the nature of God impact on arguments for</w:t>
            </w:r>
            <w:r>
              <w:rPr>
                <w:rFonts w:ascii="Arial" w:hAnsi="Arial" w:cs="Arial"/>
                <w:sz w:val="20"/>
                <w:szCs w:val="20"/>
              </w:rPr>
              <w:t xml:space="preserve"> </w:t>
            </w:r>
            <w:r w:rsidRPr="00526C84">
              <w:rPr>
                <w:rFonts w:ascii="Arial" w:hAnsi="Arial" w:cs="Arial"/>
                <w:sz w:val="20"/>
                <w:szCs w:val="20"/>
              </w:rPr>
              <w:t>the existence of God.</w:t>
            </w:r>
          </w:p>
          <w:p w:rsid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SymbolMT" w:hAnsi="SymbolMT" w:cs="SymbolMT"/>
                <w:sz w:val="20"/>
                <w:szCs w:val="20"/>
              </w:rPr>
              <w:t xml:space="preserve"> </w:t>
            </w:r>
            <w:r w:rsidRPr="00526C84">
              <w:rPr>
                <w:rFonts w:ascii="ArialMT" w:hAnsi="ArialMT" w:cs="ArialMT"/>
                <w:sz w:val="20"/>
                <w:szCs w:val="20"/>
              </w:rPr>
              <w:t>The effectiveness of the ontological argument for God’s existence.</w:t>
            </w:r>
          </w:p>
          <w:p w:rsid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SymbolMT" w:hAnsi="SymbolMT" w:cs="SymbolMT"/>
                <w:sz w:val="20"/>
                <w:szCs w:val="20"/>
              </w:rPr>
              <w:t xml:space="preserve"> </w:t>
            </w:r>
            <w:r w:rsidRPr="00526C84">
              <w:rPr>
                <w:rFonts w:ascii="Arial" w:hAnsi="Arial" w:cs="Arial"/>
                <w:sz w:val="20"/>
                <w:szCs w:val="20"/>
              </w:rPr>
              <w:t>Whether the ontological argument is more persuasive than the cosmological/teleological</w:t>
            </w:r>
            <w:r>
              <w:rPr>
                <w:rFonts w:ascii="Arial" w:hAnsi="Arial" w:cs="Arial"/>
                <w:sz w:val="20"/>
                <w:szCs w:val="20"/>
              </w:rPr>
              <w:t xml:space="preserve"> </w:t>
            </w:r>
            <w:r w:rsidRPr="00526C84">
              <w:rPr>
                <w:rFonts w:ascii="ArialMT" w:hAnsi="ArialMT" w:cs="ArialMT"/>
                <w:sz w:val="20"/>
                <w:szCs w:val="20"/>
              </w:rPr>
              <w:t>arguments for God’s existence.</w:t>
            </w:r>
          </w:p>
          <w:p w:rsid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SymbolMT" w:hAnsi="SymbolMT" w:cs="SymbolMT"/>
                <w:sz w:val="20"/>
                <w:szCs w:val="20"/>
              </w:rPr>
              <w:t xml:space="preserve"> </w:t>
            </w:r>
            <w:r w:rsidRPr="00526C84">
              <w:rPr>
                <w:rFonts w:ascii="ArialMT" w:hAnsi="ArialMT" w:cs="ArialMT"/>
                <w:sz w:val="20"/>
                <w:szCs w:val="20"/>
              </w:rPr>
              <w:t>The effectiveness of the challenges to the ontological argument for God’s existence.</w:t>
            </w:r>
          </w:p>
          <w:p w:rsidR="00526C84" w:rsidRPr="00526C84" w:rsidRDefault="00526C84" w:rsidP="00526C84">
            <w:pPr>
              <w:pStyle w:val="ListParagraph"/>
              <w:numPr>
                <w:ilvl w:val="0"/>
                <w:numId w:val="6"/>
              </w:numPr>
              <w:autoSpaceDE w:val="0"/>
              <w:autoSpaceDN w:val="0"/>
              <w:adjustRightInd w:val="0"/>
              <w:rPr>
                <w:rFonts w:ascii="ArialMT" w:hAnsi="ArialMT" w:cs="ArialMT"/>
                <w:sz w:val="20"/>
                <w:szCs w:val="20"/>
              </w:rPr>
            </w:pPr>
            <w:r w:rsidRPr="00526C84">
              <w:rPr>
                <w:rFonts w:ascii="Arial" w:hAnsi="Arial" w:cs="Arial"/>
                <w:sz w:val="20"/>
                <w:szCs w:val="20"/>
              </w:rPr>
              <w:t>The extent to which objections to the ontological argument are persuasive.</w:t>
            </w:r>
          </w:p>
        </w:tc>
      </w:tr>
    </w:tbl>
    <w:p w:rsidR="00526C84" w:rsidRDefault="00526C84" w:rsidP="00556A03">
      <w:pPr>
        <w:rPr>
          <w:rFonts w:asciiTheme="minorHAnsi" w:hAnsiTheme="minorHAnsi" w:cstheme="minorHAnsi"/>
          <w:b/>
        </w:rPr>
      </w:pPr>
    </w:p>
    <w:p w:rsidR="00BB1D6D" w:rsidRPr="00115C41" w:rsidRDefault="00BB1D6D" w:rsidP="00BB1D6D">
      <w:pPr>
        <w:rPr>
          <w:b/>
        </w:rPr>
      </w:pPr>
      <w:r w:rsidRPr="00115C41">
        <w:rPr>
          <w:b/>
        </w:rPr>
        <w:lastRenderedPageBreak/>
        <w:t>Purpose of independent study</w:t>
      </w:r>
      <w:r>
        <w:rPr>
          <w:b/>
        </w:rPr>
        <w:t>:</w:t>
      </w:r>
      <w:r w:rsidRPr="00115C41">
        <w:rPr>
          <w:b/>
        </w:rPr>
        <w:t xml:space="preserve"> </w:t>
      </w:r>
    </w:p>
    <w:p w:rsidR="00BB1D6D" w:rsidRDefault="00BB1D6D" w:rsidP="00BB1D6D">
      <w:pPr>
        <w:pStyle w:val="ListParagraph"/>
        <w:numPr>
          <w:ilvl w:val="0"/>
          <w:numId w:val="7"/>
        </w:numPr>
      </w:pPr>
      <w:r w:rsidRPr="00115C41">
        <w:t>Familiarity with assessment objectives/ command terminology an</w:t>
      </w:r>
      <w:r>
        <w:t>d how to evidence each of these</w:t>
      </w:r>
      <w:r>
        <w:t xml:space="preserve">. </w:t>
      </w:r>
    </w:p>
    <w:p w:rsidR="00BB1D6D" w:rsidRDefault="00BB1D6D" w:rsidP="00BB1D6D">
      <w:pPr>
        <w:pStyle w:val="ListParagraph"/>
        <w:numPr>
          <w:ilvl w:val="0"/>
          <w:numId w:val="7"/>
        </w:numPr>
      </w:pPr>
      <w:r w:rsidRPr="00115C41">
        <w:t>Reviewing content thoroughly and regularly, highlighting areas of development</w:t>
      </w:r>
      <w:r>
        <w:t>.</w:t>
      </w:r>
    </w:p>
    <w:p w:rsidR="00BB1D6D" w:rsidRDefault="00BB1D6D" w:rsidP="00BB1D6D">
      <w:pPr>
        <w:pStyle w:val="ListParagraph"/>
        <w:numPr>
          <w:ilvl w:val="0"/>
          <w:numId w:val="7"/>
        </w:numPr>
      </w:pPr>
      <w:r w:rsidRPr="00115C41">
        <w:t xml:space="preserve">Regularly practising </w:t>
      </w:r>
      <w:r>
        <w:t xml:space="preserve">examination techniques modelled in lesson </w:t>
      </w:r>
      <w:r w:rsidRPr="00115C41">
        <w:t xml:space="preserve">and looking at feedback to </w:t>
      </w:r>
      <w:r>
        <w:t>see how you can further improve</w:t>
      </w:r>
      <w:r>
        <w:t>.</w:t>
      </w:r>
    </w:p>
    <w:p w:rsidR="00BB1D6D" w:rsidRDefault="00BB1D6D" w:rsidP="00BB1D6D">
      <w:pPr>
        <w:pStyle w:val="ListParagraph"/>
        <w:numPr>
          <w:ilvl w:val="0"/>
          <w:numId w:val="7"/>
        </w:numPr>
      </w:pPr>
      <w:r w:rsidRPr="00115C41">
        <w:t>Develop understanding of p</w:t>
      </w:r>
      <w:r>
        <w:t>hilosophical</w:t>
      </w:r>
      <w:r w:rsidRPr="00115C41">
        <w:t xml:space="preserve"> concepts, theories and research beyond the curriculum to </w:t>
      </w:r>
      <w:r>
        <w:t>expand on the impact they had/continue to have on society.</w:t>
      </w:r>
      <w:r w:rsidRPr="00115C41">
        <w:t xml:space="preserve">  </w:t>
      </w:r>
    </w:p>
    <w:p w:rsidR="00526C84" w:rsidRDefault="00526C84" w:rsidP="00556A03">
      <w:pPr>
        <w:rPr>
          <w:rFonts w:asciiTheme="minorHAnsi" w:hAnsiTheme="minorHAnsi" w:cstheme="minorHAnsi"/>
          <w:b/>
        </w:rPr>
      </w:pPr>
    </w:p>
    <w:p w:rsidR="00556A03" w:rsidRPr="005B2B3B" w:rsidRDefault="00556A03" w:rsidP="00556A03">
      <w:pPr>
        <w:rPr>
          <w:rFonts w:asciiTheme="minorHAnsi" w:hAnsiTheme="minorHAnsi" w:cstheme="minorHAnsi"/>
          <w:b/>
        </w:rPr>
      </w:pPr>
      <w:r w:rsidRPr="005B2B3B">
        <w:rPr>
          <w:rFonts w:asciiTheme="minorHAnsi" w:hAnsiTheme="minorHAnsi" w:cstheme="minorHAnsi"/>
          <w:b/>
        </w:rPr>
        <w:t>What useful revision activities should I be doing?</w:t>
      </w:r>
    </w:p>
    <w:p w:rsidR="00BB1D6D" w:rsidRDefault="00BB1D6D" w:rsidP="00BB1D6D">
      <w:pPr>
        <w:pStyle w:val="ListParagraph"/>
        <w:numPr>
          <w:ilvl w:val="0"/>
          <w:numId w:val="3"/>
        </w:numPr>
      </w:pPr>
      <w:r>
        <w:t>Filling in glossaries of key terms. (Copies distributed in lesson/ available on Teams)</w:t>
      </w:r>
    </w:p>
    <w:p w:rsidR="00BB1D6D" w:rsidRPr="004A32D5" w:rsidRDefault="00BB1D6D" w:rsidP="00BB1D6D">
      <w:pPr>
        <w:pStyle w:val="ListParagraph"/>
        <w:numPr>
          <w:ilvl w:val="0"/>
          <w:numId w:val="3"/>
        </w:numPr>
      </w:pPr>
      <w:r>
        <w:t xml:space="preserve">Filling in blank knowledge organisers to consolidate/ summarise information covered in lesson. </w:t>
      </w:r>
      <w:r w:rsidRPr="004A32D5">
        <w:t>(Copies distributed in lesson/ available on Teams)</w:t>
      </w:r>
    </w:p>
    <w:p w:rsidR="00556A03" w:rsidRPr="005B2B3B" w:rsidRDefault="00BB1D6D" w:rsidP="00556A03">
      <w:pPr>
        <w:pStyle w:val="ListParagraph"/>
        <w:numPr>
          <w:ilvl w:val="0"/>
          <w:numId w:val="3"/>
        </w:numPr>
        <w:rPr>
          <w:rFonts w:cstheme="minorHAnsi"/>
        </w:rPr>
      </w:pPr>
      <w:r>
        <w:rPr>
          <w:rFonts w:cstheme="minorHAnsi"/>
        </w:rPr>
        <w:t>At the END of EACH Lesson</w:t>
      </w:r>
      <w:r>
        <w:rPr>
          <w:rFonts w:cstheme="minorHAnsi"/>
        </w:rPr>
        <w:br/>
        <w:t xml:space="preserve">- </w:t>
      </w:r>
      <w:r w:rsidR="00556A03" w:rsidRPr="005B2B3B">
        <w:rPr>
          <w:rFonts w:cstheme="minorHAnsi"/>
        </w:rPr>
        <w:t xml:space="preserve">Summarise </w:t>
      </w:r>
      <w:r>
        <w:rPr>
          <w:rFonts w:cstheme="minorHAnsi"/>
        </w:rPr>
        <w:t>it! In your</w:t>
      </w:r>
      <w:r w:rsidR="00556A03" w:rsidRPr="005B2B3B">
        <w:rPr>
          <w:rFonts w:cstheme="minorHAnsi"/>
        </w:rPr>
        <w:t xml:space="preserve"> exercise book using </w:t>
      </w:r>
      <w:r w:rsidRPr="005B2B3B">
        <w:rPr>
          <w:rFonts w:cstheme="minorHAnsi"/>
        </w:rPr>
        <w:t>Corne</w:t>
      </w:r>
      <w:r>
        <w:rPr>
          <w:rFonts w:cstheme="minorHAnsi"/>
        </w:rPr>
        <w:t>l</w:t>
      </w:r>
      <w:r w:rsidRPr="005B2B3B">
        <w:rPr>
          <w:rFonts w:cstheme="minorHAnsi"/>
        </w:rPr>
        <w:t>l</w:t>
      </w:r>
      <w:r>
        <w:rPr>
          <w:rFonts w:cstheme="minorHAnsi"/>
        </w:rPr>
        <w:t>-</w:t>
      </w:r>
      <w:r w:rsidR="00556A03" w:rsidRPr="005B2B3B">
        <w:rPr>
          <w:rFonts w:cstheme="minorHAnsi"/>
        </w:rPr>
        <w:t xml:space="preserve"> notes or into a mind map</w:t>
      </w:r>
      <w:r>
        <w:rPr>
          <w:rFonts w:cstheme="minorHAnsi"/>
        </w:rPr>
        <w:t>/flash cards</w:t>
      </w:r>
      <w:r w:rsidR="00556A03" w:rsidRPr="005B2B3B">
        <w:rPr>
          <w:rFonts w:cstheme="minorHAnsi"/>
        </w:rPr>
        <w:t>.</w:t>
      </w:r>
    </w:p>
    <w:p w:rsidR="00BB1D6D" w:rsidRDefault="00BB1D6D" w:rsidP="00BB1D6D">
      <w:pPr>
        <w:pStyle w:val="ListParagraph"/>
        <w:numPr>
          <w:ilvl w:val="0"/>
          <w:numId w:val="3"/>
        </w:numPr>
      </w:pPr>
      <w:r>
        <w:t>Practising examination techniques that have been modelled in lessons by completing past examination questions from ‘exam packs’ provided. Don’t forget to hand these in to be marked. (All past papers are available on Teams)</w:t>
      </w:r>
    </w:p>
    <w:p w:rsidR="00BB1D6D" w:rsidRDefault="00BB1D6D" w:rsidP="00BB1D6D">
      <w:pPr>
        <w:pStyle w:val="ListParagraph"/>
        <w:numPr>
          <w:ilvl w:val="0"/>
          <w:numId w:val="3"/>
        </w:numPr>
      </w:pPr>
      <w:r>
        <w:t>Creating revision aids for s</w:t>
      </w:r>
      <w:r>
        <w:t>tudies/ theories using the A01/2</w:t>
      </w:r>
      <w:r>
        <w:t xml:space="preserve"> plan modelled in lessons</w:t>
      </w:r>
    </w:p>
    <w:p w:rsidR="00BB1D6D" w:rsidRDefault="00BB1D6D" w:rsidP="00BB1D6D">
      <w:pPr>
        <w:pStyle w:val="ListParagraph"/>
        <w:numPr>
          <w:ilvl w:val="0"/>
          <w:numId w:val="3"/>
        </w:numPr>
      </w:pPr>
      <w:r>
        <w:t>Hot seating – talking for 1 minute non-stop about a given topic</w:t>
      </w:r>
    </w:p>
    <w:p w:rsidR="00BB1D6D" w:rsidRDefault="00BB1D6D" w:rsidP="00BB1D6D">
      <w:pPr>
        <w:pStyle w:val="ListParagraph"/>
        <w:numPr>
          <w:ilvl w:val="0"/>
          <w:numId w:val="3"/>
        </w:numPr>
      </w:pPr>
      <w:r>
        <w:t>Creating a fact file on key Psychologists, such as Milgram, Bandura, Pavlov</w:t>
      </w:r>
    </w:p>
    <w:p w:rsidR="00BB1D6D" w:rsidRDefault="00BB1D6D" w:rsidP="00BB1D6D">
      <w:pPr>
        <w:pStyle w:val="ListParagraph"/>
        <w:numPr>
          <w:ilvl w:val="0"/>
          <w:numId w:val="3"/>
        </w:numPr>
      </w:pPr>
      <w:r>
        <w:t>Prepare for next lesson by reviewing content</w:t>
      </w:r>
    </w:p>
    <w:p w:rsidR="00556A03" w:rsidRPr="00BB1D6D" w:rsidRDefault="00BB1D6D" w:rsidP="00BB1D6D">
      <w:pPr>
        <w:pStyle w:val="ListParagraph"/>
        <w:numPr>
          <w:ilvl w:val="0"/>
          <w:numId w:val="3"/>
        </w:numPr>
      </w:pPr>
      <w:r>
        <w:t xml:space="preserve">Complete homework tasks </w:t>
      </w:r>
    </w:p>
    <w:p w:rsidR="00556A03" w:rsidRPr="005B2B3B" w:rsidRDefault="00556A03" w:rsidP="00556A03">
      <w:pPr>
        <w:pStyle w:val="ListParagraph"/>
        <w:numPr>
          <w:ilvl w:val="0"/>
          <w:numId w:val="3"/>
        </w:numPr>
        <w:rPr>
          <w:rFonts w:cstheme="minorHAnsi"/>
        </w:rPr>
      </w:pPr>
      <w:r w:rsidRPr="005B2B3B">
        <w:rPr>
          <w:rFonts w:cstheme="minorHAnsi"/>
        </w:rPr>
        <w:t>Test a partner using a knowledge organiser you have been given.</w:t>
      </w:r>
      <w:r w:rsidR="00BB1D6D">
        <w:rPr>
          <w:rFonts w:cstheme="minorHAnsi"/>
        </w:rPr>
        <w:t xml:space="preserve"> (available on Teams)</w:t>
      </w:r>
    </w:p>
    <w:p w:rsidR="00556A03" w:rsidRPr="005B2B3B" w:rsidRDefault="00556A03" w:rsidP="00556A03">
      <w:pPr>
        <w:pStyle w:val="ListParagraph"/>
        <w:numPr>
          <w:ilvl w:val="0"/>
          <w:numId w:val="3"/>
        </w:numPr>
        <w:rPr>
          <w:rFonts w:cstheme="minorHAnsi"/>
        </w:rPr>
      </w:pPr>
      <w:r w:rsidRPr="005B2B3B">
        <w:rPr>
          <w:rFonts w:cstheme="minorHAnsi"/>
        </w:rPr>
        <w:t>Talk about a concept for one minute without stopping.</w:t>
      </w:r>
    </w:p>
    <w:p w:rsidR="00556A03" w:rsidRPr="005B2B3B" w:rsidRDefault="00556A03" w:rsidP="00556A03">
      <w:pPr>
        <w:pStyle w:val="ListParagraph"/>
        <w:numPr>
          <w:ilvl w:val="0"/>
          <w:numId w:val="3"/>
        </w:numPr>
        <w:rPr>
          <w:rFonts w:cstheme="minorHAnsi"/>
        </w:rPr>
      </w:pPr>
      <w:r w:rsidRPr="005B2B3B">
        <w:rPr>
          <w:rFonts w:cstheme="minorHAnsi"/>
        </w:rPr>
        <w:t>Make a</w:t>
      </w:r>
      <w:r w:rsidR="00BB1D6D">
        <w:rPr>
          <w:rFonts w:cstheme="minorHAnsi"/>
        </w:rPr>
        <w:t xml:space="preserve"> dual-coded</w:t>
      </w:r>
      <w:r w:rsidRPr="005B2B3B">
        <w:rPr>
          <w:rFonts w:cstheme="minorHAnsi"/>
        </w:rPr>
        <w:t xml:space="preserve"> glossary of key terms for each unit of work.</w:t>
      </w:r>
      <w:r w:rsidR="00BB1D6D">
        <w:rPr>
          <w:rFonts w:cstheme="minorHAnsi"/>
        </w:rPr>
        <w:t xml:space="preserve"> ( It is when an image is used to match the word; then colour coordinate which words are often used together)</w:t>
      </w:r>
    </w:p>
    <w:p w:rsidR="00556A03" w:rsidRPr="005B2B3B" w:rsidRDefault="00556A03" w:rsidP="00556A03">
      <w:pPr>
        <w:pStyle w:val="ListParagraph"/>
        <w:numPr>
          <w:ilvl w:val="0"/>
          <w:numId w:val="3"/>
        </w:numPr>
        <w:rPr>
          <w:rFonts w:cstheme="minorHAnsi"/>
        </w:rPr>
      </w:pPr>
      <w:r w:rsidRPr="005B2B3B">
        <w:rPr>
          <w:rFonts w:cstheme="minorHAnsi"/>
        </w:rPr>
        <w:t>Write a quiz to test a partner on a key topic we have covered.</w:t>
      </w:r>
    </w:p>
    <w:p w:rsidR="00556A03" w:rsidRPr="005B2B3B" w:rsidRDefault="00556A03" w:rsidP="00556A03">
      <w:pPr>
        <w:pStyle w:val="ListParagraph"/>
        <w:numPr>
          <w:ilvl w:val="0"/>
          <w:numId w:val="3"/>
        </w:numPr>
        <w:rPr>
          <w:rFonts w:cstheme="minorHAnsi"/>
        </w:rPr>
      </w:pPr>
      <w:r w:rsidRPr="005B2B3B">
        <w:rPr>
          <w:rFonts w:cstheme="minorHAnsi"/>
        </w:rPr>
        <w:t>Make a case study poster</w:t>
      </w:r>
      <w:r w:rsidR="00BB1D6D">
        <w:rPr>
          <w:rFonts w:cstheme="minorHAnsi"/>
        </w:rPr>
        <w:t xml:space="preserve"> for a Philosopher/ Philosophical Line of Inquiry</w:t>
      </w:r>
      <w:r w:rsidR="00BB1D6D">
        <w:rPr>
          <w:rFonts w:cstheme="minorHAnsi"/>
        </w:rPr>
        <w:br/>
        <w:t>(e.g St Thomas Aquinas or for Teleological Arguments)</w:t>
      </w:r>
    </w:p>
    <w:p w:rsidR="00556A03" w:rsidRPr="005B2B3B" w:rsidRDefault="00556A03" w:rsidP="00556A03">
      <w:pPr>
        <w:spacing w:after="160" w:line="259" w:lineRule="auto"/>
        <w:rPr>
          <w:rFonts w:asciiTheme="minorHAnsi" w:hAnsiTheme="minorHAnsi" w:cstheme="minorHAnsi"/>
          <w:b/>
        </w:rPr>
      </w:pPr>
      <w:r>
        <w:rPr>
          <w:rFonts w:asciiTheme="minorHAnsi" w:hAnsiTheme="minorHAnsi" w:cstheme="minorHAnsi"/>
          <w:b/>
        </w:rPr>
        <w:t>U</w:t>
      </w:r>
      <w:r w:rsidRPr="005B2B3B">
        <w:rPr>
          <w:rFonts w:asciiTheme="minorHAnsi" w:hAnsiTheme="minorHAnsi" w:cstheme="minorHAnsi"/>
          <w:b/>
        </w:rPr>
        <w:t>seful Resources:</w:t>
      </w:r>
    </w:p>
    <w:p w:rsidR="00556A03" w:rsidRPr="00A54C36" w:rsidRDefault="00556A03" w:rsidP="00A54C36">
      <w:pPr>
        <w:pStyle w:val="ListParagraph"/>
        <w:numPr>
          <w:ilvl w:val="0"/>
          <w:numId w:val="1"/>
        </w:numPr>
        <w:rPr>
          <w:rFonts w:cstheme="minorHAnsi"/>
        </w:rPr>
      </w:pPr>
      <w:r>
        <w:rPr>
          <w:rFonts w:cstheme="minorHAnsi"/>
        </w:rPr>
        <w:t>Hodder EDUQAS</w:t>
      </w:r>
      <w:r w:rsidRPr="005B2B3B">
        <w:rPr>
          <w:rFonts w:cstheme="minorHAnsi"/>
        </w:rPr>
        <w:t xml:space="preserve"> Student Revision Guide</w:t>
      </w:r>
      <w:r w:rsidR="00A54C36">
        <w:rPr>
          <w:rFonts w:cstheme="minorHAnsi"/>
        </w:rPr>
        <w:t xml:space="preserve"> Year 1 – Philosophy of Religion</w:t>
      </w:r>
    </w:p>
    <w:p w:rsidR="00556A03" w:rsidRDefault="00737C68" w:rsidP="00556A03">
      <w:pPr>
        <w:pStyle w:val="ListParagraph"/>
        <w:numPr>
          <w:ilvl w:val="0"/>
          <w:numId w:val="1"/>
        </w:numPr>
        <w:rPr>
          <w:rFonts w:cstheme="minorHAnsi"/>
        </w:rPr>
      </w:pPr>
      <w:hyperlink r:id="rId8" w:history="1">
        <w:r w:rsidR="00556A03" w:rsidRPr="00243519">
          <w:rPr>
            <w:rStyle w:val="Hyperlink"/>
            <w:rFonts w:cstheme="minorHAnsi"/>
          </w:rPr>
          <w:t>www.pontefractcollege.com</w:t>
        </w:r>
      </w:hyperlink>
      <w:r w:rsidR="00556A03">
        <w:rPr>
          <w:rStyle w:val="Hyperlink"/>
          <w:rFonts w:cstheme="minorHAnsi"/>
        </w:rPr>
        <w:t xml:space="preserve">  </w:t>
      </w:r>
      <w:r w:rsidR="00556A03" w:rsidRPr="005B2B3B">
        <w:rPr>
          <w:rFonts w:cstheme="minorHAnsi"/>
        </w:rPr>
        <w:t xml:space="preserve"> – a useful revision website.</w:t>
      </w:r>
    </w:p>
    <w:p w:rsidR="00556A03" w:rsidRDefault="00A54C36" w:rsidP="00E47C7A">
      <w:pPr>
        <w:pStyle w:val="ListParagraph"/>
        <w:numPr>
          <w:ilvl w:val="0"/>
          <w:numId w:val="1"/>
        </w:numPr>
        <w:rPr>
          <w:rFonts w:cstheme="minorHAnsi"/>
        </w:rPr>
      </w:pPr>
      <w:r>
        <w:rPr>
          <w:rFonts w:cstheme="minorHAnsi"/>
          <w:b/>
        </w:rPr>
        <w:t>Introduction to Inductive Arguments</w:t>
      </w:r>
      <w:r w:rsidR="00BB1D6D">
        <w:rPr>
          <w:rFonts w:cstheme="minorHAnsi"/>
          <w:b/>
        </w:rPr>
        <w:br/>
      </w:r>
      <w:r w:rsidR="00BB1D6D">
        <w:rPr>
          <w:rFonts w:cstheme="minorHAnsi"/>
          <w:i/>
        </w:rPr>
        <w:t>Watch them, Make or ADD to your notes in a different colour. THEN write an outline of what the argument discusses (for each)</w:t>
      </w:r>
      <w:r>
        <w:rPr>
          <w:rFonts w:cstheme="minorHAnsi"/>
          <w:b/>
        </w:rPr>
        <w:br/>
      </w:r>
      <w:r w:rsidR="00E47C7A">
        <w:rPr>
          <w:rFonts w:cstheme="minorHAnsi"/>
          <w:b/>
        </w:rPr>
        <w:t xml:space="preserve">Cosmological Argument- Aquinas: </w:t>
      </w:r>
      <w:hyperlink r:id="rId9" w:history="1">
        <w:r w:rsidR="00E47C7A" w:rsidRPr="001A2906">
          <w:rPr>
            <w:rStyle w:val="Hyperlink"/>
            <w:rFonts w:cstheme="minorHAnsi"/>
          </w:rPr>
          <w:t>https://ncpreligiousstudies.files.wordpress.com/2018/09/1-cosmological-argument-1-a.pptx</w:t>
        </w:r>
      </w:hyperlink>
    </w:p>
    <w:p w:rsidR="00E47C7A" w:rsidRPr="00E47C7A" w:rsidRDefault="00E47C7A" w:rsidP="00E47C7A">
      <w:pPr>
        <w:pStyle w:val="ListParagraph"/>
        <w:numPr>
          <w:ilvl w:val="0"/>
          <w:numId w:val="1"/>
        </w:numPr>
        <w:rPr>
          <w:rFonts w:cstheme="minorHAnsi"/>
        </w:rPr>
      </w:pPr>
      <w:r>
        <w:rPr>
          <w:rFonts w:cstheme="minorHAnsi"/>
          <w:b/>
        </w:rPr>
        <w:t>Cosmological Argument-</w:t>
      </w:r>
      <w:r>
        <w:rPr>
          <w:rFonts w:cstheme="minorHAnsi"/>
        </w:rPr>
        <w:t xml:space="preserve"> </w:t>
      </w:r>
      <w:r>
        <w:rPr>
          <w:rFonts w:cstheme="minorHAnsi"/>
          <w:b/>
        </w:rPr>
        <w:t xml:space="preserve">Kalam: </w:t>
      </w:r>
      <w:hyperlink r:id="rId10" w:history="1">
        <w:r w:rsidRPr="001A2906">
          <w:rPr>
            <w:rStyle w:val="Hyperlink"/>
            <w:rFonts w:cstheme="minorHAnsi"/>
            <w:b/>
          </w:rPr>
          <w:t>https://ncpreligiousstudies.files.wordpress.com/2018/09/2-kalam-argument-1-a.pptx</w:t>
        </w:r>
      </w:hyperlink>
      <w:r>
        <w:rPr>
          <w:rFonts w:cstheme="minorHAnsi"/>
          <w:b/>
        </w:rPr>
        <w:t xml:space="preserve"> </w:t>
      </w:r>
    </w:p>
    <w:p w:rsidR="00E47C7A" w:rsidRDefault="00E47C7A" w:rsidP="008016E6">
      <w:pPr>
        <w:pStyle w:val="ListParagraph"/>
        <w:numPr>
          <w:ilvl w:val="0"/>
          <w:numId w:val="1"/>
        </w:numPr>
        <w:rPr>
          <w:rFonts w:cstheme="minorHAnsi"/>
        </w:rPr>
      </w:pPr>
      <w:r>
        <w:rPr>
          <w:rFonts w:cstheme="minorHAnsi"/>
          <w:b/>
        </w:rPr>
        <w:t>Inductive Arguments Booklet:</w:t>
      </w:r>
      <w:r>
        <w:rPr>
          <w:rFonts w:cstheme="minorHAnsi"/>
        </w:rPr>
        <w:t xml:space="preserve"> </w:t>
      </w:r>
      <w:hyperlink r:id="rId11" w:history="1">
        <w:r w:rsidR="008016E6" w:rsidRPr="001A2906">
          <w:rPr>
            <w:rStyle w:val="Hyperlink"/>
            <w:rFonts w:cstheme="minorHAnsi"/>
          </w:rPr>
          <w:t>https://ncpreligiousstudies.files.wordpress.com/2018/09/1-a-b-and-c-inductive-arguments-booklet.docx</w:t>
        </w:r>
      </w:hyperlink>
      <w:r w:rsidR="008016E6">
        <w:rPr>
          <w:rFonts w:cstheme="minorHAnsi"/>
        </w:rPr>
        <w:t xml:space="preserve"> </w:t>
      </w:r>
    </w:p>
    <w:p w:rsidR="00E47C7A" w:rsidRPr="00E47C7A" w:rsidRDefault="00E47C7A" w:rsidP="008016E6">
      <w:pPr>
        <w:pStyle w:val="ListParagraph"/>
        <w:numPr>
          <w:ilvl w:val="0"/>
          <w:numId w:val="1"/>
        </w:numPr>
        <w:rPr>
          <w:rFonts w:cstheme="minorHAnsi"/>
        </w:rPr>
      </w:pPr>
      <w:r>
        <w:rPr>
          <w:rFonts w:cstheme="minorHAnsi"/>
          <w:b/>
        </w:rPr>
        <w:t xml:space="preserve">Introduction to Teleological Arguments: </w:t>
      </w:r>
      <w:hyperlink r:id="rId12" w:history="1">
        <w:r w:rsidR="008016E6" w:rsidRPr="001A2906">
          <w:rPr>
            <w:rStyle w:val="Hyperlink"/>
            <w:rFonts w:cstheme="minorHAnsi"/>
            <w:b/>
          </w:rPr>
          <w:t>https://ncpreligiousstudies.files.wordpress.com/2016/06/1-intro-to-the-ta.pptx</w:t>
        </w:r>
      </w:hyperlink>
      <w:r w:rsidR="008016E6">
        <w:rPr>
          <w:rFonts w:cstheme="minorHAnsi"/>
          <w:b/>
        </w:rPr>
        <w:t xml:space="preserve"> </w:t>
      </w:r>
    </w:p>
    <w:p w:rsidR="00E47C7A" w:rsidRPr="00E47C7A" w:rsidRDefault="00E47C7A" w:rsidP="008016E6">
      <w:pPr>
        <w:pStyle w:val="ListParagraph"/>
        <w:numPr>
          <w:ilvl w:val="0"/>
          <w:numId w:val="1"/>
        </w:numPr>
        <w:rPr>
          <w:rFonts w:cstheme="minorHAnsi"/>
        </w:rPr>
      </w:pPr>
      <w:r>
        <w:rPr>
          <w:rFonts w:cstheme="minorHAnsi"/>
          <w:b/>
        </w:rPr>
        <w:lastRenderedPageBreak/>
        <w:t>Teleological Arguments- Aquinas:</w:t>
      </w:r>
      <w:r w:rsidR="008016E6">
        <w:rPr>
          <w:rFonts w:cstheme="minorHAnsi"/>
          <w:b/>
        </w:rPr>
        <w:t xml:space="preserve"> </w:t>
      </w:r>
      <w:hyperlink r:id="rId13" w:history="1">
        <w:r w:rsidR="008016E6" w:rsidRPr="001A2906">
          <w:rPr>
            <w:rStyle w:val="Hyperlink"/>
            <w:rFonts w:cstheme="minorHAnsi"/>
            <w:b/>
          </w:rPr>
          <w:t>https://ncpreligiousstudies.files.wordpress.com/2016/06/3-aquinas-and-the-ta.pptx</w:t>
        </w:r>
      </w:hyperlink>
      <w:r w:rsidR="008016E6">
        <w:rPr>
          <w:rFonts w:cstheme="minorHAnsi"/>
          <w:b/>
        </w:rPr>
        <w:t xml:space="preserve"> </w:t>
      </w:r>
    </w:p>
    <w:p w:rsidR="00E47C7A" w:rsidRPr="00E47C7A" w:rsidRDefault="00E47C7A" w:rsidP="00E47C7A">
      <w:pPr>
        <w:pStyle w:val="ListParagraph"/>
        <w:numPr>
          <w:ilvl w:val="0"/>
          <w:numId w:val="1"/>
        </w:numPr>
        <w:rPr>
          <w:rFonts w:cstheme="minorHAnsi"/>
        </w:rPr>
      </w:pPr>
      <w:r>
        <w:rPr>
          <w:rFonts w:cstheme="minorHAnsi"/>
          <w:b/>
        </w:rPr>
        <w:t xml:space="preserve">Teleological Arguments- Paley: </w:t>
      </w:r>
      <w:hyperlink r:id="rId14" w:history="1">
        <w:r w:rsidRPr="001A2906">
          <w:rPr>
            <w:rStyle w:val="Hyperlink"/>
            <w:rFonts w:cstheme="minorHAnsi"/>
            <w:b/>
          </w:rPr>
          <w:t>https://youtu.be/9NGj6Zk9Wj0</w:t>
        </w:r>
      </w:hyperlink>
      <w:r>
        <w:rPr>
          <w:rFonts w:cstheme="minorHAnsi"/>
          <w:b/>
        </w:rPr>
        <w:t xml:space="preserve"> </w:t>
      </w:r>
    </w:p>
    <w:p w:rsidR="00E47C7A" w:rsidRPr="00E47C7A" w:rsidRDefault="00E47C7A" w:rsidP="00E47C7A">
      <w:pPr>
        <w:pStyle w:val="ListParagraph"/>
        <w:numPr>
          <w:ilvl w:val="0"/>
          <w:numId w:val="1"/>
        </w:numPr>
        <w:rPr>
          <w:rFonts w:cstheme="minorHAnsi"/>
        </w:rPr>
      </w:pPr>
      <w:r>
        <w:rPr>
          <w:rFonts w:cstheme="minorHAnsi"/>
          <w:b/>
        </w:rPr>
        <w:t>Teleological Arguments- Anthropic Principle:</w:t>
      </w:r>
    </w:p>
    <w:p w:rsidR="00E47C7A" w:rsidRPr="00E47C7A" w:rsidRDefault="00E47C7A" w:rsidP="008016E6">
      <w:pPr>
        <w:pStyle w:val="ListParagraph"/>
        <w:numPr>
          <w:ilvl w:val="0"/>
          <w:numId w:val="1"/>
        </w:numPr>
        <w:rPr>
          <w:rFonts w:cstheme="minorHAnsi"/>
        </w:rPr>
      </w:pPr>
      <w:r>
        <w:rPr>
          <w:rFonts w:cstheme="minorHAnsi"/>
          <w:b/>
        </w:rPr>
        <w:t>Hume’s Criticisms:</w:t>
      </w:r>
      <w:r w:rsidR="008016E6">
        <w:rPr>
          <w:rFonts w:cstheme="minorHAnsi"/>
          <w:b/>
        </w:rPr>
        <w:t xml:space="preserve"> </w:t>
      </w:r>
      <w:hyperlink r:id="rId15" w:history="1">
        <w:r w:rsidR="008016E6" w:rsidRPr="001A2906">
          <w:rPr>
            <w:rStyle w:val="Hyperlink"/>
            <w:rFonts w:cstheme="minorHAnsi"/>
            <w:b/>
          </w:rPr>
          <w:t>https://ncpreligiousstudies.files.wordpress.com/2016/06/6-humes-criticism.pptx</w:t>
        </w:r>
      </w:hyperlink>
      <w:r w:rsidR="008016E6">
        <w:rPr>
          <w:rFonts w:cstheme="minorHAnsi"/>
          <w:b/>
        </w:rPr>
        <w:t xml:space="preserve"> </w:t>
      </w:r>
    </w:p>
    <w:p w:rsidR="00E47C7A" w:rsidRPr="00E47C7A" w:rsidRDefault="00E47C7A" w:rsidP="00E47C7A">
      <w:pPr>
        <w:pStyle w:val="ListParagraph"/>
        <w:numPr>
          <w:ilvl w:val="0"/>
          <w:numId w:val="1"/>
        </w:numPr>
        <w:rPr>
          <w:rFonts w:cstheme="minorHAnsi"/>
        </w:rPr>
      </w:pPr>
      <w:r>
        <w:rPr>
          <w:rFonts w:cstheme="minorHAnsi"/>
          <w:b/>
        </w:rPr>
        <w:t>Introduction to Ontological Argument</w:t>
      </w:r>
      <w:r w:rsidR="00A54C36">
        <w:rPr>
          <w:rFonts w:cstheme="minorHAnsi"/>
          <w:b/>
        </w:rPr>
        <w:t xml:space="preserve"> (</w:t>
      </w:r>
      <w:r w:rsidR="00A54C36">
        <w:rPr>
          <w:rFonts w:cstheme="minorHAnsi"/>
          <w:b/>
          <w:i/>
        </w:rPr>
        <w:t>Deductive)</w:t>
      </w:r>
      <w:r>
        <w:rPr>
          <w:rFonts w:cstheme="minorHAnsi"/>
          <w:b/>
        </w:rPr>
        <w:br/>
        <w:t xml:space="preserve">part 1: </w:t>
      </w:r>
      <w:hyperlink r:id="rId16" w:history="1">
        <w:r w:rsidRPr="001A2906">
          <w:rPr>
            <w:rStyle w:val="Hyperlink"/>
            <w:rFonts w:cstheme="minorHAnsi"/>
            <w:b/>
          </w:rPr>
          <w:t>https://youtu.be/jsNdL_ANjAA</w:t>
        </w:r>
      </w:hyperlink>
      <w:r>
        <w:rPr>
          <w:rFonts w:cstheme="minorHAnsi"/>
          <w:b/>
        </w:rPr>
        <w:br/>
        <w:t xml:space="preserve">part 2: </w:t>
      </w:r>
      <w:hyperlink r:id="rId17" w:history="1">
        <w:r w:rsidRPr="001A2906">
          <w:rPr>
            <w:rStyle w:val="Hyperlink"/>
            <w:rFonts w:cstheme="minorHAnsi"/>
            <w:b/>
          </w:rPr>
          <w:t>https://youtu.be/SIkVU0AcSMw</w:t>
        </w:r>
      </w:hyperlink>
      <w:r>
        <w:rPr>
          <w:rFonts w:cstheme="minorHAnsi"/>
          <w:b/>
        </w:rPr>
        <w:t xml:space="preserve"> </w:t>
      </w:r>
    </w:p>
    <w:p w:rsidR="00E47C7A" w:rsidRPr="00E47C7A" w:rsidRDefault="00E47C7A" w:rsidP="008016E6">
      <w:pPr>
        <w:pStyle w:val="ListParagraph"/>
        <w:numPr>
          <w:ilvl w:val="0"/>
          <w:numId w:val="1"/>
        </w:numPr>
        <w:rPr>
          <w:rFonts w:cstheme="minorHAnsi"/>
        </w:rPr>
      </w:pPr>
      <w:r>
        <w:rPr>
          <w:rFonts w:cstheme="minorHAnsi"/>
          <w:b/>
        </w:rPr>
        <w:t xml:space="preserve">Ontological Arguments- Anselm &amp; </w:t>
      </w:r>
      <w:r w:rsidR="00A54C36">
        <w:rPr>
          <w:rFonts w:cstheme="minorHAnsi"/>
          <w:b/>
        </w:rPr>
        <w:t>Gaunilo</w:t>
      </w:r>
      <w:r w:rsidR="008016E6">
        <w:rPr>
          <w:rFonts w:cstheme="minorHAnsi"/>
          <w:b/>
        </w:rPr>
        <w:t xml:space="preserve">: </w:t>
      </w:r>
      <w:hyperlink r:id="rId18" w:history="1">
        <w:r w:rsidR="008016E6" w:rsidRPr="001A2906">
          <w:rPr>
            <w:rStyle w:val="Hyperlink"/>
            <w:rFonts w:cstheme="minorHAnsi"/>
            <w:b/>
          </w:rPr>
          <w:t>https://ncpreligiousstudies.files.wordpress.com/2018/10/1-ontological-argument-anselm-and-gauniloa.pptx</w:t>
        </w:r>
      </w:hyperlink>
      <w:r w:rsidR="008016E6">
        <w:rPr>
          <w:rFonts w:cstheme="minorHAnsi"/>
          <w:b/>
        </w:rPr>
        <w:t xml:space="preserve"> </w:t>
      </w:r>
    </w:p>
    <w:p w:rsidR="00556A03" w:rsidRPr="008016E6" w:rsidRDefault="00E47C7A" w:rsidP="008016E6">
      <w:pPr>
        <w:pStyle w:val="ListParagraph"/>
        <w:numPr>
          <w:ilvl w:val="0"/>
          <w:numId w:val="1"/>
        </w:numPr>
        <w:rPr>
          <w:rFonts w:cstheme="minorHAnsi"/>
          <w:b/>
        </w:rPr>
      </w:pPr>
      <w:r w:rsidRPr="008016E6">
        <w:rPr>
          <w:rFonts w:cstheme="minorHAnsi"/>
          <w:b/>
        </w:rPr>
        <w:t xml:space="preserve">Ontological Argument- </w:t>
      </w:r>
      <w:r w:rsidR="00A54C36" w:rsidRPr="008016E6">
        <w:rPr>
          <w:rFonts w:cstheme="minorHAnsi"/>
          <w:b/>
        </w:rPr>
        <w:t>Descartes</w:t>
      </w:r>
      <w:r w:rsidR="00A54C36">
        <w:rPr>
          <w:rFonts w:cstheme="minorHAnsi"/>
          <w:b/>
        </w:rPr>
        <w:t>, Kant &amp; Malcolm</w:t>
      </w:r>
      <w:r w:rsidR="008016E6">
        <w:rPr>
          <w:rFonts w:cstheme="minorHAnsi"/>
        </w:rPr>
        <w:t xml:space="preserve">: </w:t>
      </w:r>
      <w:hyperlink r:id="rId19" w:history="1">
        <w:r w:rsidR="008016E6" w:rsidRPr="001A2906">
          <w:rPr>
            <w:rStyle w:val="Hyperlink"/>
            <w:rFonts w:cstheme="minorHAnsi"/>
          </w:rPr>
          <w:t>https://ncpreligiousstudies.files.wordpress.com/2018/10/2-ontological-argument-decartes-kant-and-plantinga.pptx</w:t>
        </w:r>
      </w:hyperlink>
      <w:r w:rsidR="008016E6">
        <w:rPr>
          <w:rFonts w:cstheme="minorHAnsi"/>
        </w:rPr>
        <w:t xml:space="preserve"> </w:t>
      </w:r>
    </w:p>
    <w:p w:rsidR="00556A03" w:rsidRPr="005B2B3B" w:rsidRDefault="00556A03" w:rsidP="00556A03">
      <w:pPr>
        <w:rPr>
          <w:rFonts w:asciiTheme="minorHAnsi" w:hAnsiTheme="minorHAnsi" w:cstheme="minorHAnsi"/>
          <w:b/>
        </w:rPr>
      </w:pPr>
      <w:bookmarkStart w:id="0" w:name="_GoBack"/>
      <w:bookmarkEnd w:id="0"/>
    </w:p>
    <w:p w:rsidR="00556A03" w:rsidRDefault="00556A03"/>
    <w:sectPr w:rsidR="00556A0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68" w:rsidRDefault="00737C68" w:rsidP="00556A03">
      <w:r>
        <w:separator/>
      </w:r>
    </w:p>
  </w:endnote>
  <w:endnote w:type="continuationSeparator" w:id="0">
    <w:p w:rsidR="00737C68" w:rsidRDefault="00737C68" w:rsidP="0055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4982"/>
      <w:docPartObj>
        <w:docPartGallery w:val="Page Numbers (Bottom of Page)"/>
        <w:docPartUnique/>
      </w:docPartObj>
    </w:sdtPr>
    <w:sdtEndPr>
      <w:rPr>
        <w:noProof/>
      </w:rPr>
    </w:sdtEndPr>
    <w:sdtContent>
      <w:p w:rsidR="00556A03" w:rsidRDefault="00556A03">
        <w:pPr>
          <w:pStyle w:val="Footer"/>
          <w:jc w:val="right"/>
        </w:pPr>
        <w:r>
          <w:fldChar w:fldCharType="begin"/>
        </w:r>
        <w:r>
          <w:instrText xml:space="preserve"> PAGE   \* MERGEFORMAT </w:instrText>
        </w:r>
        <w:r>
          <w:fldChar w:fldCharType="separate"/>
        </w:r>
        <w:r w:rsidR="00BB1D6D">
          <w:rPr>
            <w:noProof/>
          </w:rPr>
          <w:t>3</w:t>
        </w:r>
        <w:r>
          <w:rPr>
            <w:noProof/>
          </w:rPr>
          <w:fldChar w:fldCharType="end"/>
        </w:r>
      </w:p>
    </w:sdtContent>
  </w:sdt>
  <w:p w:rsidR="00556A03" w:rsidRDefault="0055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68" w:rsidRDefault="00737C68" w:rsidP="00556A03">
      <w:r>
        <w:separator/>
      </w:r>
    </w:p>
  </w:footnote>
  <w:footnote w:type="continuationSeparator" w:id="0">
    <w:p w:rsidR="00737C68" w:rsidRDefault="00737C68" w:rsidP="0055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EC5"/>
    <w:multiLevelType w:val="hybridMultilevel"/>
    <w:tmpl w:val="E26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64412"/>
    <w:multiLevelType w:val="hybridMultilevel"/>
    <w:tmpl w:val="36C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F37FB"/>
    <w:multiLevelType w:val="hybridMultilevel"/>
    <w:tmpl w:val="968E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63156"/>
    <w:multiLevelType w:val="hybridMultilevel"/>
    <w:tmpl w:val="B5F28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C1F81"/>
    <w:multiLevelType w:val="hybridMultilevel"/>
    <w:tmpl w:val="00086DB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E7DB5"/>
    <w:multiLevelType w:val="hybridMultilevel"/>
    <w:tmpl w:val="86D6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03"/>
    <w:rsid w:val="00174531"/>
    <w:rsid w:val="00370E16"/>
    <w:rsid w:val="004118C5"/>
    <w:rsid w:val="00526C84"/>
    <w:rsid w:val="00556A03"/>
    <w:rsid w:val="005C41E4"/>
    <w:rsid w:val="00737C68"/>
    <w:rsid w:val="008016E6"/>
    <w:rsid w:val="00A54C36"/>
    <w:rsid w:val="00BB1D6D"/>
    <w:rsid w:val="00CC03AD"/>
    <w:rsid w:val="00D2471B"/>
    <w:rsid w:val="00E4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07AE"/>
  <w15:chartTrackingRefBased/>
  <w15:docId w15:val="{2B564D74-B01F-4EB6-B6C2-5C1C4E43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0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5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A03"/>
    <w:rPr>
      <w:color w:val="0563C1" w:themeColor="hyperlink"/>
      <w:u w:val="single"/>
    </w:rPr>
  </w:style>
  <w:style w:type="paragraph" w:styleId="Header">
    <w:name w:val="header"/>
    <w:basedOn w:val="Normal"/>
    <w:link w:val="HeaderChar"/>
    <w:uiPriority w:val="99"/>
    <w:unhideWhenUsed/>
    <w:rsid w:val="00556A03"/>
    <w:pPr>
      <w:tabs>
        <w:tab w:val="center" w:pos="4513"/>
        <w:tab w:val="right" w:pos="9026"/>
      </w:tabs>
    </w:pPr>
  </w:style>
  <w:style w:type="character" w:customStyle="1" w:styleId="HeaderChar">
    <w:name w:val="Header Char"/>
    <w:basedOn w:val="DefaultParagraphFont"/>
    <w:link w:val="Header"/>
    <w:uiPriority w:val="99"/>
    <w:rsid w:val="00556A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6A03"/>
    <w:pPr>
      <w:tabs>
        <w:tab w:val="center" w:pos="4513"/>
        <w:tab w:val="right" w:pos="9026"/>
      </w:tabs>
    </w:pPr>
  </w:style>
  <w:style w:type="character" w:customStyle="1" w:styleId="FooterChar">
    <w:name w:val="Footer Char"/>
    <w:basedOn w:val="DefaultParagraphFont"/>
    <w:link w:val="Footer"/>
    <w:uiPriority w:val="99"/>
    <w:rsid w:val="00556A0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efractcollege.com" TargetMode="External"/><Relationship Id="rId13" Type="http://schemas.openxmlformats.org/officeDocument/2006/relationships/hyperlink" Target="https://ncpreligiousstudies.files.wordpress.com/2016/06/3-aquinas-and-the-ta.pptx" TargetMode="External"/><Relationship Id="rId18" Type="http://schemas.openxmlformats.org/officeDocument/2006/relationships/hyperlink" Target="https://ncpreligiousstudies.files.wordpress.com/2018/10/1-ontological-argument-anselm-and-gauniloa.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cpreligiousstudies.files.wordpress.com/2016/06/1-intro-to-the-ta.pptx" TargetMode="External"/><Relationship Id="rId17" Type="http://schemas.openxmlformats.org/officeDocument/2006/relationships/hyperlink" Target="https://youtu.be/SIkVU0AcSMw" TargetMode="External"/><Relationship Id="rId2" Type="http://schemas.openxmlformats.org/officeDocument/2006/relationships/styles" Target="styles.xml"/><Relationship Id="rId16" Type="http://schemas.openxmlformats.org/officeDocument/2006/relationships/hyperlink" Target="https://youtu.be/jsNdL_ANjA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preligiousstudies.files.wordpress.com/2018/09/1-a-b-and-c-inductive-arguments-booklet.docx" TargetMode="External"/><Relationship Id="rId5" Type="http://schemas.openxmlformats.org/officeDocument/2006/relationships/footnotes" Target="footnotes.xml"/><Relationship Id="rId15" Type="http://schemas.openxmlformats.org/officeDocument/2006/relationships/hyperlink" Target="https://ncpreligiousstudies.files.wordpress.com/2016/06/6-humes-criticism.pptx" TargetMode="External"/><Relationship Id="rId10" Type="http://schemas.openxmlformats.org/officeDocument/2006/relationships/hyperlink" Target="https://ncpreligiousstudies.files.wordpress.com/2018/09/2-kalam-argument-1-a.pptx" TargetMode="External"/><Relationship Id="rId19" Type="http://schemas.openxmlformats.org/officeDocument/2006/relationships/hyperlink" Target="https://ncpreligiousstudies.files.wordpress.com/2018/10/2-ontological-argument-decartes-kant-and-plantinga.pptx" TargetMode="External"/><Relationship Id="rId4" Type="http://schemas.openxmlformats.org/officeDocument/2006/relationships/webSettings" Target="webSettings.xml"/><Relationship Id="rId9" Type="http://schemas.openxmlformats.org/officeDocument/2006/relationships/hyperlink" Target="https://ncpreligiousstudies.files.wordpress.com/2018/09/1-cosmological-argument-1-a.pptx" TargetMode="External"/><Relationship Id="rId14" Type="http://schemas.openxmlformats.org/officeDocument/2006/relationships/hyperlink" Target="https://youtu.be/9NGj6Zk9Wj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KPratt</dc:creator>
  <cp:keywords/>
  <dc:description/>
  <cp:lastModifiedBy>KPratt</cp:lastModifiedBy>
  <cp:revision>2</cp:revision>
  <dcterms:created xsi:type="dcterms:W3CDTF">2022-09-22T16:53:00Z</dcterms:created>
  <dcterms:modified xsi:type="dcterms:W3CDTF">2022-09-22T16:53:00Z</dcterms:modified>
</cp:coreProperties>
</file>