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9"/>
        <w:gridCol w:w="482"/>
        <w:gridCol w:w="5674"/>
        <w:gridCol w:w="2856"/>
      </w:tblGrid>
      <w:tr w:rsidR="0069738C" w:rsidRPr="00954152" w:rsidTr="0069738C">
        <w:trPr>
          <w:cantSplit/>
        </w:trPr>
        <w:tc>
          <w:tcPr>
            <w:tcW w:w="508" w:type="pct"/>
            <w:gridSpan w:val="3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bookmarkStart w:id="0" w:name="HOverview" w:colFirst="0" w:colLast="2"/>
            <w:r w:rsidRPr="00954152">
              <w:rPr>
                <w:sz w:val="20"/>
              </w:rPr>
              <w:t xml:space="preserve">Unit </w:t>
            </w: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nil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r w:rsidRPr="00954152">
              <w:rPr>
                <w:sz w:val="20"/>
              </w:rPr>
              <w:t>Title</w:t>
            </w:r>
          </w:p>
        </w:tc>
        <w:tc>
          <w:tcPr>
            <w:tcW w:w="1504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bookmarkEnd w:id="0"/>
      <w:tr w:rsidR="00327696" w:rsidRPr="00954152" w:rsidTr="0069738C">
        <w:trPr>
          <w:cantSplit/>
          <w:trHeight w:val="321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r>
              <w:fldChar w:fldCharType="begin"/>
            </w:r>
            <w:r>
              <w:instrText xml:space="preserve"> HYPERLINK \l "Unit1" </w:instrText>
            </w:r>
            <w:r>
              <w:fldChar w:fldCharType="separate"/>
            </w:r>
            <w:r w:rsidRPr="00954152">
              <w:rPr>
                <w:rStyle w:val="Hyperlink"/>
                <w:color w:val="0F243E"/>
                <w:szCs w:val="20"/>
              </w:rPr>
              <w:t>1</w:t>
            </w:r>
            <w:r>
              <w:rPr>
                <w:rStyle w:val="Hyperlink"/>
                <w:color w:val="0F243E"/>
                <w:szCs w:val="20"/>
              </w:rPr>
              <w:fldChar w:fldCharType="end"/>
            </w:r>
            <w:bookmarkStart w:id="1" w:name="Contents"/>
            <w:bookmarkEnd w:id="1"/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a" w:history="1">
              <w:r w:rsidR="00327696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</w:rPr>
              <w:t>Integers and place value</w:t>
            </w:r>
          </w:p>
        </w:tc>
        <w:tc>
          <w:tcPr>
            <w:tcW w:w="150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4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tr w:rsidR="00327696" w:rsidRPr="00954152" w:rsidTr="0069738C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69738C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69738C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Unit1b" w:history="1">
              <w:r w:rsidR="00327696" w:rsidRPr="00954152">
                <w:rPr>
                  <w:rStyle w:val="Hyperlink"/>
                  <w:color w:val="0F243E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Decimals 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327696" w:rsidRPr="00954152" w:rsidTr="0069738C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69738C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69738C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Unit1c" w:history="1">
              <w:r w:rsidR="00327696" w:rsidRPr="00954152">
                <w:rPr>
                  <w:rStyle w:val="Hyperlink"/>
                  <w:color w:val="0F243E"/>
                  <w:szCs w:val="20"/>
                </w:rPr>
                <w:t>c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</w:rPr>
              <w:t>Indices, powers and roots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327696" w:rsidRPr="00954152" w:rsidTr="0069738C">
        <w:trPr>
          <w:cantSplit/>
          <w:trHeight w:val="321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69738C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69738C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Unit1d" w:history="1">
              <w:r w:rsidR="00327696" w:rsidRPr="00954152">
                <w:rPr>
                  <w:rStyle w:val="Hyperlink"/>
                  <w:color w:val="0F243E"/>
                  <w:szCs w:val="20"/>
                </w:rPr>
                <w:t>d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</w:rPr>
              <w:t>Factors, multiples and primes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bookmarkStart w:id="2" w:name="_GoBack"/>
      <w:tr w:rsidR="009B56A9" w:rsidRPr="00954152" w:rsidTr="00985A1F">
        <w:trPr>
          <w:cantSplit/>
          <w:trHeight w:val="321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9B56A9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r>
              <w:fldChar w:fldCharType="begin"/>
            </w:r>
            <w:r>
              <w:instrText xml:space="preserve"> HYPERLINK \l "Unit2" </w:instrText>
            </w:r>
            <w:r>
              <w:fldChar w:fldCharType="separate"/>
            </w:r>
            <w:r w:rsidR="009B56A9" w:rsidRPr="00954152">
              <w:rPr>
                <w:rStyle w:val="Hyperlink"/>
                <w:color w:val="0F243E"/>
                <w:szCs w:val="20"/>
              </w:rPr>
              <w:t>2</w:t>
            </w:r>
            <w:r>
              <w:rPr>
                <w:rStyle w:val="Hyperlink"/>
                <w:color w:val="0F243E"/>
                <w:szCs w:val="20"/>
              </w:rPr>
              <w:fldChar w:fldCharType="end"/>
            </w:r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222A35" w:themeColor="text2" w:themeShade="80"/>
              <w:left w:val="nil"/>
              <w:right w:val="single" w:sz="4" w:space="0" w:color="222A35" w:themeColor="text2" w:themeShade="80"/>
            </w:tcBorders>
            <w:shd w:val="clear" w:color="auto" w:fill="92D050"/>
          </w:tcPr>
          <w:p w:rsidR="009B56A9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2a" w:history="1">
              <w:r w:rsidR="009B56A9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  <w:p w:rsidR="009B56A9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2b" w:history="1">
              <w:r w:rsidR="009B56A9" w:rsidRPr="00954152">
                <w:rPr>
                  <w:rStyle w:val="Hyperlink"/>
                  <w:color w:val="0F243E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19077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Algebra: the basics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E60DFC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11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bookmarkEnd w:id="2"/>
      <w:tr w:rsidR="009B56A9" w:rsidRPr="00954152" w:rsidTr="00985A1F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9B56A9" w:rsidRPr="00FF47E9" w:rsidRDefault="009B56A9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9B56A9" w:rsidRPr="00FF47E9" w:rsidRDefault="009B56A9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19077A">
            <w:pPr>
              <w:spacing w:before="10" w:after="10"/>
              <w:rPr>
                <w:rFonts w:ascii="Verdana" w:hAnsi="Verdana"/>
                <w:color w:val="0F243E"/>
                <w:sz w:val="20"/>
                <w:szCs w:val="20"/>
              </w:rPr>
            </w:pPr>
            <w:r w:rsidRPr="00954152">
              <w:rPr>
                <w:rFonts w:ascii="Verdana" w:hAnsi="Verdana"/>
                <w:color w:val="0F243E"/>
                <w:sz w:val="20"/>
                <w:szCs w:val="20"/>
              </w:rPr>
              <w:t>Expressions and substitution into formulae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19077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327696" w:rsidRPr="00954152" w:rsidTr="00607D1A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3" w:history="1">
              <w:r w:rsidR="00327696" w:rsidRPr="00954152">
                <w:rPr>
                  <w:rStyle w:val="Hyperlink"/>
                  <w:color w:val="0F243E"/>
                  <w:szCs w:val="20"/>
                </w:rPr>
                <w:t>3</w:t>
              </w:r>
            </w:hyperlink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3a" w:history="1">
              <w:r w:rsidR="00327696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Tables</w:t>
            </w:r>
            <w:r>
              <w:rPr>
                <w:color w:val="0F243E"/>
                <w:szCs w:val="20"/>
              </w:rPr>
              <w:t>,</w:t>
            </w:r>
            <w:r w:rsidRPr="00954152">
              <w:rPr>
                <w:color w:val="0F243E"/>
                <w:szCs w:val="20"/>
              </w:rPr>
              <w:t xml:space="preserve"> </w:t>
            </w:r>
            <w:r>
              <w:rPr>
                <w:color w:val="0F243E"/>
                <w:szCs w:val="20"/>
              </w:rPr>
              <w:t>c</w:t>
            </w:r>
            <w:r w:rsidRPr="00954152">
              <w:rPr>
                <w:color w:val="0F243E"/>
                <w:szCs w:val="20"/>
              </w:rPr>
              <w:t>harts and graphs</w:t>
            </w:r>
          </w:p>
        </w:tc>
        <w:tc>
          <w:tcPr>
            <w:tcW w:w="150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18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tr w:rsidR="00327696" w:rsidRPr="00954152" w:rsidTr="00607D1A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FF47E9" w:rsidRDefault="00327696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FF47E9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3b" w:history="1">
              <w:r w:rsidR="00327696">
                <w:rPr>
                  <w:rStyle w:val="Hyperlink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Pie charts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327696" w:rsidRPr="00954152" w:rsidTr="00607D1A">
        <w:trPr>
          <w:cantSplit/>
          <w:trHeight w:val="284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327696" w:rsidRPr="00FF47E9" w:rsidRDefault="00327696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327696" w:rsidRPr="00FF47E9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3c" w:history="1">
              <w:r w:rsidR="00327696">
                <w:rPr>
                  <w:rStyle w:val="Hyperlink"/>
                </w:rPr>
                <w:t>c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Scatter graphs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327696" w:rsidRPr="00954152" w:rsidRDefault="00327696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9B56A9" w:rsidRPr="00954152" w:rsidTr="00FF62FC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4" w:history="1">
              <w:r w:rsidR="009B56A9" w:rsidRPr="00954152">
                <w:rPr>
                  <w:rStyle w:val="Hyperlink"/>
                  <w:color w:val="0F243E"/>
                  <w:szCs w:val="20"/>
                </w:rPr>
                <w:t>4</w:t>
              </w:r>
            </w:hyperlink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222A35" w:themeColor="text2" w:themeShade="80"/>
              <w:left w:val="nil"/>
              <w:right w:val="single" w:sz="4" w:space="0" w:color="222A35" w:themeColor="text2" w:themeShade="80"/>
            </w:tcBorders>
            <w:shd w:val="clear" w:color="auto" w:fill="92D050"/>
          </w:tcPr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4a" w:history="1">
              <w:r w:rsidR="009B56A9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4b" w:history="1">
              <w:r w:rsidR="009B56A9" w:rsidRPr="0002107A">
                <w:rPr>
                  <w:rStyle w:val="Hyperlink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Fractions, decimals and percentages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8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9B56A9" w:rsidRPr="00954152" w:rsidTr="00FF62FC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9B56A9" w:rsidRPr="00FF47E9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9B56A9" w:rsidRPr="00FF47E9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Percentages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bottom w:val="single" w:sz="4" w:space="0" w:color="auto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9B56A9" w:rsidRPr="00954152" w:rsidTr="0069738C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r>
              <w:t>5</w:t>
            </w:r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4a" w:history="1">
              <w:r w:rsidR="009B56A9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Equations </w:t>
            </w:r>
            <w:r>
              <w:rPr>
                <w:color w:val="0F243E"/>
                <w:szCs w:val="20"/>
              </w:rPr>
              <w:t>and inequalities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9B56A9" w:rsidRPr="00954152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15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9B56A9" w:rsidRPr="00954152" w:rsidTr="0069738C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9B56A9" w:rsidRPr="00FF47E9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9B56A9" w:rsidRPr="00FF47E9" w:rsidRDefault="00E60DFC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4b" w:history="1">
              <w:r w:rsidR="009B56A9" w:rsidRPr="0002107A">
                <w:rPr>
                  <w:rStyle w:val="Hyperlink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Sequences 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9B56A9" w:rsidRPr="00954152" w:rsidRDefault="009B56A9" w:rsidP="009B56A9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07D1A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r>
              <w:t>6</w:t>
            </w:r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4a" w:history="1">
              <w:r w:rsidR="006A6E6D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</w:rPr>
              <w:t>Properties of shapes, parallel lines and angle facts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22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nd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6A6E6D" w:rsidRPr="00954152" w:rsidTr="00607D1A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FF47E9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4b" w:history="1">
              <w:r w:rsidR="006A6E6D" w:rsidRPr="0002107A">
                <w:rPr>
                  <w:rStyle w:val="Hyperlink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4"/>
              </w:rPr>
              <w:t>Interior and exterior angles of polygons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07D1A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Statistics</w:t>
            </w:r>
            <w:r>
              <w:rPr>
                <w:color w:val="0F243E"/>
                <w:szCs w:val="20"/>
              </w:rPr>
              <w:t xml:space="preserve">, </w:t>
            </w:r>
            <w:r w:rsidRPr="00954152">
              <w:rPr>
                <w:color w:val="0F243E"/>
                <w:szCs w:val="20"/>
              </w:rPr>
              <w:t>sampling</w:t>
            </w:r>
            <w:r>
              <w:rPr>
                <w:color w:val="0F243E"/>
                <w:szCs w:val="20"/>
              </w:rPr>
              <w:t xml:space="preserve"> and the averages</w:t>
            </w:r>
          </w:p>
        </w:tc>
        <w:tc>
          <w:tcPr>
            <w:tcW w:w="1504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29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6A6E6D" w:rsidRPr="00954152" w:rsidTr="00607D1A">
        <w:trPr>
          <w:cantSplit/>
          <w:trHeight w:val="284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8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Perimeter</w:t>
            </w:r>
            <w:r>
              <w:rPr>
                <w:color w:val="0F243E"/>
                <w:szCs w:val="20"/>
              </w:rPr>
              <w:t xml:space="preserve">, </w:t>
            </w:r>
            <w:r w:rsidRPr="00954152">
              <w:rPr>
                <w:color w:val="0F243E"/>
                <w:szCs w:val="20"/>
              </w:rPr>
              <w:t>area</w:t>
            </w:r>
            <w:r>
              <w:rPr>
                <w:color w:val="0F243E"/>
                <w:szCs w:val="20"/>
              </w:rPr>
              <w:t xml:space="preserve"> and volume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5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6A6E6D" w:rsidRPr="0096068C" w:rsidRDefault="006A6E6D" w:rsidP="006A6E6D">
            <w:pPr>
              <w:pStyle w:val="U-text"/>
              <w:spacing w:before="10" w:after="10" w:line="276" w:lineRule="auto"/>
              <w:jc w:val="center"/>
            </w:pPr>
            <w:r>
              <w:t>9</w:t>
            </w:r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96068C" w:rsidRDefault="00E60DFC" w:rsidP="006A6E6D">
            <w:pPr>
              <w:pStyle w:val="U-text"/>
              <w:spacing w:before="10" w:after="10" w:line="276" w:lineRule="auto"/>
              <w:jc w:val="center"/>
              <w:rPr>
                <w:u w:val="single"/>
              </w:rPr>
            </w:pPr>
            <w:hyperlink w:anchor="Unit4a" w:history="1">
              <w:r w:rsidR="006A6E6D" w:rsidRPr="0096068C">
                <w:rPr>
                  <w:u w:val="single"/>
                </w:rPr>
                <w:t>a</w:t>
              </w:r>
            </w:hyperlink>
          </w:p>
          <w:p w:rsidR="006A6E6D" w:rsidRPr="0096068C" w:rsidRDefault="006A6E6D" w:rsidP="006A6E6D">
            <w:pPr>
              <w:pStyle w:val="U-text"/>
              <w:spacing w:before="10" w:after="10" w:line="276" w:lineRule="auto"/>
              <w:jc w:val="center"/>
              <w:rPr>
                <w:u w:val="single"/>
              </w:rPr>
            </w:pPr>
            <w:r w:rsidRPr="0096068C">
              <w:rPr>
                <w:u w:val="single"/>
              </w:rPr>
              <w:t>b</w:t>
            </w: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Real-life graphs</w:t>
            </w:r>
          </w:p>
        </w:tc>
        <w:tc>
          <w:tcPr>
            <w:tcW w:w="150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12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Straight-line graphs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07D1A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0" w:history="1">
              <w:r w:rsidR="006A6E6D" w:rsidRPr="00954152">
                <w:rPr>
                  <w:rStyle w:val="Hyperlink"/>
                  <w:color w:val="0F243E"/>
                  <w:szCs w:val="20"/>
                </w:rPr>
                <w:t>10</w:t>
              </w:r>
            </w:hyperlink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Transformations 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26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6A6E6D" w:rsidRPr="00954152" w:rsidTr="00E42D6F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1" w:history="1">
              <w:r w:rsidR="006A6E6D" w:rsidRPr="00954152">
                <w:rPr>
                  <w:rStyle w:val="Hyperlink"/>
                  <w:color w:val="0F243E"/>
                  <w:szCs w:val="20"/>
                </w:rPr>
                <w:t>11</w:t>
              </w:r>
            </w:hyperlink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222A35" w:themeColor="text2" w:themeShade="80"/>
              <w:left w:val="nil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1a" w:history="1">
              <w:r w:rsidR="006A6E6D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1b" w:history="1">
              <w:r w:rsidR="006A6E6D" w:rsidRPr="00954152">
                <w:rPr>
                  <w:rStyle w:val="Hyperlink"/>
                  <w:color w:val="0F243E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Ratio </w:t>
            </w:r>
          </w:p>
        </w:tc>
        <w:tc>
          <w:tcPr>
            <w:tcW w:w="150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5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6A6E6D" w:rsidRPr="00954152" w:rsidTr="008456D7">
        <w:trPr>
          <w:cantSplit/>
          <w:trHeight w:val="284"/>
        </w:trPr>
        <w:tc>
          <w:tcPr>
            <w:tcW w:w="249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Proportion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2" w:history="1">
              <w:r w:rsidR="006A6E6D" w:rsidRPr="00954152">
                <w:rPr>
                  <w:rStyle w:val="Hyperlink"/>
                  <w:color w:val="0F243E"/>
                  <w:szCs w:val="20"/>
                </w:rPr>
                <w:t>12</w:t>
              </w:r>
            </w:hyperlink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Right-angled triangles: Pythagoras and trigonometry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12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3" w:history="1">
              <w:r w:rsidR="006A6E6D" w:rsidRPr="00954152">
                <w:rPr>
                  <w:rStyle w:val="Hyperlink"/>
                  <w:color w:val="0F243E"/>
                  <w:szCs w:val="20"/>
                </w:rPr>
                <w:t>13</w:t>
              </w:r>
            </w:hyperlink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Probability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19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6A6E6D" w:rsidRPr="00954152" w:rsidTr="001F410C">
        <w:trPr>
          <w:cantSplit/>
          <w:trHeight w:val="284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4" w:history="1">
              <w:r w:rsidR="006A6E6D" w:rsidRPr="00954152">
                <w:rPr>
                  <w:rStyle w:val="Hyperlink"/>
                  <w:color w:val="0F243E"/>
                  <w:szCs w:val="20"/>
                </w:rPr>
                <w:t>14</w:t>
              </w:r>
            </w:hyperlink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Multiplicative reasoning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26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D9747A" w:rsidRPr="00954152" w:rsidTr="00F53302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D9747A" w:rsidRPr="00FF47E9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15" w:history="1">
              <w:r w:rsidR="00D9747A" w:rsidRPr="00954152">
                <w:rPr>
                  <w:rStyle w:val="Hyperlink"/>
                  <w:color w:val="0F243E"/>
                  <w:szCs w:val="20"/>
                </w:rPr>
                <w:t>15</w:t>
              </w:r>
            </w:hyperlink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222A35" w:themeColor="text2" w:themeShade="80"/>
              <w:left w:val="nil"/>
              <w:right w:val="single" w:sz="4" w:space="0" w:color="222A35" w:themeColor="text2" w:themeShade="80"/>
            </w:tcBorders>
            <w:shd w:val="clear" w:color="auto" w:fill="FFFF00"/>
          </w:tcPr>
          <w:p w:rsidR="00D9747A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6a" w:history="1">
              <w:r w:rsidR="00D9747A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  <w:p w:rsidR="00D9747A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6b" w:history="1">
              <w:r w:rsidR="00D9747A" w:rsidRPr="00954152">
                <w:rPr>
                  <w:rStyle w:val="Hyperlink"/>
                  <w:color w:val="0F243E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D9747A" w:rsidRPr="00954152" w:rsidRDefault="00D9747A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4"/>
              </w:rPr>
              <w:t>Plans and elevations</w:t>
            </w:r>
          </w:p>
        </w:tc>
        <w:tc>
          <w:tcPr>
            <w:tcW w:w="150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D9747A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nd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D9747A" w:rsidRPr="00954152" w:rsidTr="00890AB2">
        <w:trPr>
          <w:cantSplit/>
          <w:trHeight w:val="284"/>
        </w:trPr>
        <w:tc>
          <w:tcPr>
            <w:tcW w:w="249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D9747A" w:rsidRPr="00FF47E9" w:rsidRDefault="00D9747A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D9747A" w:rsidRPr="00FF47E9" w:rsidRDefault="00D9747A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D9747A" w:rsidRPr="00954152" w:rsidRDefault="00D9747A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4"/>
              </w:rPr>
              <w:t>Constructions, loci and bearings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D9747A" w:rsidRPr="00954152" w:rsidRDefault="00D9747A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6A6E6D" w:rsidRPr="00FF47E9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16" w:history="1">
              <w:r w:rsidR="006A6E6D" w:rsidRPr="00954152">
                <w:rPr>
                  <w:rStyle w:val="Hyperlink"/>
                  <w:color w:val="0F243E"/>
                  <w:szCs w:val="20"/>
                </w:rPr>
                <w:t>16</w:t>
              </w:r>
            </w:hyperlink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0F243E"/>
                <w:szCs w:val="20"/>
              </w:rPr>
            </w:pPr>
            <w:hyperlink w:anchor="Unit16a" w:history="1">
              <w:r w:rsidR="006A6E6D" w:rsidRPr="00954152">
                <w:rPr>
                  <w:rStyle w:val="Hyperlink"/>
                  <w:color w:val="0F243E"/>
                  <w:szCs w:val="20"/>
                </w:rPr>
                <w:t>a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Quadratic equations: expanding and factorising 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23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rd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6A6E6D" w:rsidRPr="00FF47E9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Unit16b" w:history="1">
              <w:r w:rsidR="006A6E6D" w:rsidRPr="00954152">
                <w:rPr>
                  <w:rStyle w:val="Hyperlink"/>
                  <w:color w:val="0F243E"/>
                  <w:szCs w:val="20"/>
                </w:rPr>
                <w:t>b</w:t>
              </w:r>
            </w:hyperlink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Quadratic equations: graphs 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69738C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hyperlink w:anchor="Unit17" w:history="1">
              <w:r w:rsidR="006A6E6D" w:rsidRPr="00954152">
                <w:rPr>
                  <w:rStyle w:val="Hyperlink"/>
                  <w:color w:val="0F243E"/>
                  <w:szCs w:val="20"/>
                </w:rPr>
                <w:t>17</w:t>
              </w:r>
            </w:hyperlink>
          </w:p>
        </w:tc>
        <w:tc>
          <w:tcPr>
            <w:tcW w:w="259" w:type="pct"/>
            <w:gridSpan w:val="2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both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Circles, cylinders, cones and spheres</w:t>
            </w:r>
          </w:p>
        </w:tc>
        <w:tc>
          <w:tcPr>
            <w:tcW w:w="1504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30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6A6E6D" w:rsidRPr="00954152" w:rsidTr="00CD1406">
        <w:trPr>
          <w:cantSplit/>
          <w:trHeight w:val="284"/>
        </w:trPr>
        <w:tc>
          <w:tcPr>
            <w:tcW w:w="254" w:type="pct"/>
            <w:gridSpan w:val="2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327696" w:rsidRDefault="00E60DFC" w:rsidP="006A6E6D">
            <w:pPr>
              <w:pStyle w:val="U-text"/>
              <w:spacing w:before="10" w:after="10" w:line="276" w:lineRule="auto"/>
              <w:jc w:val="center"/>
              <w:rPr>
                <w:rStyle w:val="Hyperlink"/>
                <w:color w:val="0F243E"/>
              </w:rPr>
            </w:pPr>
            <w:hyperlink w:anchor="Unit16" w:history="1">
              <w:r w:rsidR="006A6E6D" w:rsidRPr="00954152">
                <w:rPr>
                  <w:rStyle w:val="Hyperlink"/>
                  <w:color w:val="0F243E"/>
                  <w:szCs w:val="20"/>
                </w:rPr>
                <w:t>1</w:t>
              </w:r>
              <w:r w:rsidR="006A6E6D">
                <w:rPr>
                  <w:rStyle w:val="Hyperlink"/>
                  <w:color w:val="0F243E"/>
                  <w:szCs w:val="20"/>
                </w:rPr>
                <w:t>8</w:t>
              </w:r>
            </w:hyperlink>
          </w:p>
        </w:tc>
        <w:tc>
          <w:tcPr>
            <w:tcW w:w="254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327696" w:rsidRDefault="006A6E6D" w:rsidP="006A6E6D">
            <w:pPr>
              <w:pStyle w:val="U-text"/>
              <w:spacing w:before="10" w:after="10" w:line="276" w:lineRule="auto"/>
              <w:jc w:val="center"/>
              <w:rPr>
                <w:rStyle w:val="Hyperlink"/>
                <w:color w:val="0F243E"/>
              </w:rPr>
            </w:pPr>
            <w:r w:rsidRPr="00327696">
              <w:rPr>
                <w:rStyle w:val="Hyperlink"/>
                <w:color w:val="0F243E"/>
              </w:rPr>
              <w:t>a b</w:t>
            </w: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Fractions and reciprocals 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7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May</w:t>
            </w:r>
          </w:p>
        </w:tc>
      </w:tr>
      <w:tr w:rsidR="006A6E6D" w:rsidRPr="00954152" w:rsidTr="00CD1406">
        <w:trPr>
          <w:cantSplit/>
          <w:trHeight w:val="284"/>
        </w:trPr>
        <w:tc>
          <w:tcPr>
            <w:tcW w:w="254" w:type="pct"/>
            <w:gridSpan w:val="2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both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both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Indices and standard form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6A6E6D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8D4040">
        <w:trPr>
          <w:cantSplit/>
          <w:trHeight w:val="284"/>
        </w:trPr>
        <w:tc>
          <w:tcPr>
            <w:tcW w:w="249" w:type="pct"/>
            <w:vMerge w:val="restart"/>
            <w:tcBorders>
              <w:top w:val="nil"/>
              <w:left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19</w:t>
            </w:r>
          </w:p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nil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E95DBB" w:rsidRDefault="006A6E6D" w:rsidP="006A6E6D">
            <w:pPr>
              <w:pStyle w:val="U-text"/>
              <w:spacing w:before="10" w:after="10" w:line="276" w:lineRule="auto"/>
              <w:jc w:val="center"/>
            </w:pPr>
            <w:r w:rsidRPr="00E95DBB">
              <w:t>a</w:t>
            </w:r>
          </w:p>
          <w:p w:rsidR="006A6E6D" w:rsidRPr="00E95DBB" w:rsidRDefault="006A6E6D" w:rsidP="006A6E6D">
            <w:pPr>
              <w:pStyle w:val="U-text"/>
              <w:spacing w:before="10" w:after="10" w:line="276" w:lineRule="auto"/>
              <w:jc w:val="center"/>
            </w:pPr>
            <w:r w:rsidRPr="00E95DBB">
              <w:t>b</w:t>
            </w: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Similarity and congruence in 2D</w:t>
            </w:r>
          </w:p>
        </w:tc>
        <w:tc>
          <w:tcPr>
            <w:tcW w:w="1504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14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May</w:t>
            </w:r>
          </w:p>
        </w:tc>
      </w:tr>
      <w:tr w:rsidR="006A6E6D" w:rsidRPr="00954152" w:rsidTr="00580A7B">
        <w:trPr>
          <w:cantSplit/>
          <w:trHeight w:val="284"/>
        </w:trPr>
        <w:tc>
          <w:tcPr>
            <w:tcW w:w="249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 xml:space="preserve">Vectors </w:t>
            </w:r>
          </w:p>
        </w:tc>
        <w:tc>
          <w:tcPr>
            <w:tcW w:w="1504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6A6E6D" w:rsidRPr="00954152" w:rsidTr="008244B9">
        <w:trPr>
          <w:cantSplit/>
          <w:trHeight w:val="284"/>
        </w:trPr>
        <w:tc>
          <w:tcPr>
            <w:tcW w:w="249" w:type="pct"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6A6E6D" w:rsidRDefault="006A6E6D" w:rsidP="006A6E6D">
            <w:pPr>
              <w:pStyle w:val="U-text"/>
              <w:spacing w:before="10" w:after="10" w:line="276" w:lineRule="auto"/>
            </w:pPr>
            <w:r>
              <w:t>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FF47E9" w:rsidRDefault="006A6E6D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988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6A6E6D" w:rsidRPr="00954152" w:rsidRDefault="006A6E6D" w:rsidP="006A6E6D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</w:rPr>
              <w:t>Rearranging equations, graphs of cubic and reciprocal functions and simultaneous equations</w:t>
            </w:r>
          </w:p>
        </w:tc>
        <w:tc>
          <w:tcPr>
            <w:tcW w:w="1504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6A6E6D" w:rsidRPr="00954152" w:rsidRDefault="00E60DFC" w:rsidP="006A6E6D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21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st</w:t>
            </w:r>
            <w:r>
              <w:rPr>
                <w:color w:val="222A35" w:themeColor="text2" w:themeShade="80"/>
                <w:szCs w:val="20"/>
              </w:rPr>
              <w:t xml:space="preserve"> May</w:t>
            </w:r>
          </w:p>
        </w:tc>
      </w:tr>
    </w:tbl>
    <w:p w:rsidR="00DB702D" w:rsidRDefault="00DB702D"/>
    <w:sectPr w:rsidR="00DB70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38C" w:rsidRDefault="0069738C" w:rsidP="0069738C">
      <w:pPr>
        <w:spacing w:after="0" w:line="240" w:lineRule="auto"/>
      </w:pPr>
      <w:r>
        <w:separator/>
      </w:r>
    </w:p>
  </w:endnote>
  <w:endnote w:type="continuationSeparator" w:id="0">
    <w:p w:rsidR="0069738C" w:rsidRDefault="0069738C" w:rsidP="0069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38C" w:rsidRDefault="0069738C" w:rsidP="0069738C">
      <w:pPr>
        <w:spacing w:after="0" w:line="240" w:lineRule="auto"/>
      </w:pPr>
      <w:r>
        <w:separator/>
      </w:r>
    </w:p>
  </w:footnote>
  <w:footnote w:type="continuationSeparator" w:id="0">
    <w:p w:rsidR="0069738C" w:rsidRDefault="0069738C" w:rsidP="0069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38C" w:rsidRDefault="0069738C">
    <w:pPr>
      <w:pStyle w:val="Header"/>
    </w:pPr>
    <w:r>
      <w:t xml:space="preserve">Mr </w:t>
    </w:r>
    <w:r w:rsidR="00220621">
      <w:t>Hosker</w:t>
    </w:r>
    <w:r>
      <w:t>: M</w:t>
    </w:r>
    <w:r w:rsidR="00220621">
      <w:t>6</w:t>
    </w:r>
    <w:r w:rsidR="007A0E41">
      <w:t xml:space="preserve"> (Target Grade</w:t>
    </w:r>
    <w:r w:rsidR="00220621">
      <w:t xml:space="preserve"> </w:t>
    </w:r>
    <w:r w:rsidR="00E60DFC">
      <w:t>3</w:t>
    </w:r>
    <w:r w:rsidR="00220621">
      <w:t>-</w:t>
    </w:r>
    <w:r w:rsidR="00E60DFC">
      <w:t>4</w:t>
    </w:r>
    <w:r w:rsidR="007A0E41">
      <w:t>)</w:t>
    </w:r>
    <w:r>
      <w:t xml:space="preserve">   </w:t>
    </w:r>
    <w:r w:rsidR="00F0277E">
      <w:t xml:space="preserve"> </w:t>
    </w:r>
    <w:r>
      <w:t xml:space="preserve">     M</w:t>
    </w:r>
    <w:r w:rsidR="007A0E41">
      <w:t>r</w:t>
    </w:r>
    <w:r w:rsidR="00220621">
      <w:t xml:space="preserve"> </w:t>
    </w:r>
    <w:r w:rsidR="00E60DFC">
      <w:t>Wood</w:t>
    </w:r>
    <w:r>
      <w:t>: M</w:t>
    </w:r>
    <w:r w:rsidR="00E60DFC">
      <w:t>2</w:t>
    </w:r>
    <w:r w:rsidR="007A0E41">
      <w:t xml:space="preserve"> (Target Grade</w:t>
    </w:r>
    <w:r w:rsidR="00220621">
      <w:t>s</w:t>
    </w:r>
    <w:r w:rsidR="007A0E41">
      <w:t xml:space="preserve"> </w:t>
    </w:r>
    <w:r w:rsidR="00E60DFC">
      <w:t>4</w:t>
    </w:r>
    <w:r w:rsidR="00220621">
      <w:t>-</w:t>
    </w:r>
    <w:r w:rsidR="00E60DFC">
      <w:t>5</w:t>
    </w:r>
    <w:r w:rsidR="007A0E41">
      <w:t xml:space="preserve">) </w: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8C"/>
    <w:rsid w:val="000F7A21"/>
    <w:rsid w:val="0019077A"/>
    <w:rsid w:val="001F410C"/>
    <w:rsid w:val="00220621"/>
    <w:rsid w:val="002D6A7C"/>
    <w:rsid w:val="00304EB1"/>
    <w:rsid w:val="00327696"/>
    <w:rsid w:val="0039021F"/>
    <w:rsid w:val="00607D1A"/>
    <w:rsid w:val="0068281E"/>
    <w:rsid w:val="0069738C"/>
    <w:rsid w:val="006A6E6D"/>
    <w:rsid w:val="007A0E41"/>
    <w:rsid w:val="009B56A9"/>
    <w:rsid w:val="00A8580F"/>
    <w:rsid w:val="00AB413D"/>
    <w:rsid w:val="00D9747A"/>
    <w:rsid w:val="00DB702D"/>
    <w:rsid w:val="00DF04C0"/>
    <w:rsid w:val="00E60DFC"/>
    <w:rsid w:val="00F0277E"/>
    <w:rsid w:val="00F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5311"/>
  <w15:chartTrackingRefBased/>
  <w15:docId w15:val="{8915AE3A-B076-4864-A506-3C6A84D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3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text">
    <w:name w:val="U-text"/>
    <w:basedOn w:val="Normal"/>
    <w:link w:val="U-textChar1"/>
    <w:rsid w:val="0069738C"/>
    <w:pPr>
      <w:spacing w:before="60" w:after="60" w:line="280" w:lineRule="exact"/>
    </w:pPr>
    <w:rPr>
      <w:rFonts w:ascii="Verdana" w:eastAsia="Times New Roman" w:hAnsi="Verdana" w:cs="Times New Roman"/>
      <w:sz w:val="20"/>
    </w:rPr>
  </w:style>
  <w:style w:type="character" w:customStyle="1" w:styleId="U-textChar1">
    <w:name w:val="U-text Char1"/>
    <w:link w:val="U-text"/>
    <w:rsid w:val="0069738C"/>
    <w:rPr>
      <w:rFonts w:ascii="Verdana" w:eastAsia="Times New Roman" w:hAnsi="Verdana" w:cs="Times New Roman"/>
      <w:sz w:val="20"/>
    </w:rPr>
  </w:style>
  <w:style w:type="paragraph" w:customStyle="1" w:styleId="U-text-sml-head">
    <w:name w:val="U-text-sml-head"/>
    <w:basedOn w:val="Normal"/>
    <w:rsid w:val="0069738C"/>
    <w:pPr>
      <w:spacing w:before="60" w:after="60" w:line="260" w:lineRule="exact"/>
    </w:pPr>
    <w:rPr>
      <w:rFonts w:ascii="Verdana" w:eastAsia="Times New Roman" w:hAnsi="Verdana" w:cs="Times New Roman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73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8C"/>
  </w:style>
  <w:style w:type="paragraph" w:styleId="Footer">
    <w:name w:val="footer"/>
    <w:basedOn w:val="Normal"/>
    <w:link w:val="FooterChar"/>
    <w:uiPriority w:val="99"/>
    <w:unhideWhenUsed/>
    <w:rsid w:val="0069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2BD7-B34F-42E4-8CF1-244D38E3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R. Hosker</dc:creator>
  <cp:keywords/>
  <dc:description/>
  <cp:lastModifiedBy>Mr. R. Hosker</cp:lastModifiedBy>
  <cp:revision>3</cp:revision>
  <dcterms:created xsi:type="dcterms:W3CDTF">2024-01-08T16:54:00Z</dcterms:created>
  <dcterms:modified xsi:type="dcterms:W3CDTF">2024-12-02T09:41:00Z</dcterms:modified>
</cp:coreProperties>
</file>