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9B4F" w14:textId="282DF8D8" w:rsidR="00457DDA" w:rsidRPr="00457DDA" w:rsidRDefault="00457DDA" w:rsidP="005C00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57DDA">
        <w:rPr>
          <w:rFonts w:eastAsia="Times New Roman" w:cstheme="minorHAnsi"/>
          <w:b/>
          <w:bCs/>
          <w:sz w:val="24"/>
          <w:szCs w:val="24"/>
          <w:lang w:eastAsia="en-GB"/>
        </w:rPr>
        <w:t>Blackpool Aspire Academy</w:t>
      </w:r>
      <w:r w:rsidRPr="00723C2D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- </w:t>
      </w:r>
      <w:r w:rsidRPr="00457DDA">
        <w:rPr>
          <w:rFonts w:eastAsia="Times New Roman" w:cstheme="minorHAnsi"/>
          <w:b/>
          <w:bCs/>
          <w:sz w:val="24"/>
          <w:szCs w:val="24"/>
          <w:lang w:eastAsia="en-GB"/>
        </w:rPr>
        <w:t>KS4 to KS5 Transition Policy</w:t>
      </w:r>
      <w:r w:rsidRPr="00723C2D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2025-2026</w:t>
      </w:r>
    </w:p>
    <w:p w14:paraId="16C99924" w14:textId="62815217" w:rsidR="00457DDA" w:rsidRPr="00723C2D" w:rsidRDefault="00457DDA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Purpose</w:t>
      </w:r>
      <w:r w:rsidR="003E6348"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 xml:space="preserve"> of the policy</w:t>
      </w:r>
    </w:p>
    <w:p w14:paraId="7B0547CC" w14:textId="77777777" w:rsidR="00457DDA" w:rsidRPr="00457DDA" w:rsidRDefault="00457DDA" w:rsidP="005C00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57DDA">
        <w:rPr>
          <w:rFonts w:eastAsia="Times New Roman" w:cstheme="minorHAnsi"/>
          <w:sz w:val="24"/>
          <w:szCs w:val="24"/>
          <w:lang w:eastAsia="en-GB"/>
        </w:rPr>
        <w:t xml:space="preserve">The purpose of this policy is to ensure that all students at </w:t>
      </w:r>
      <w:r w:rsidRPr="00457DDA">
        <w:rPr>
          <w:rFonts w:eastAsia="Times New Roman" w:cstheme="minorHAnsi"/>
          <w:b/>
          <w:bCs/>
          <w:sz w:val="24"/>
          <w:szCs w:val="24"/>
          <w:lang w:eastAsia="en-GB"/>
        </w:rPr>
        <w:t>Blackpool Aspire Academy</w:t>
      </w:r>
      <w:r w:rsidRPr="00457DDA">
        <w:rPr>
          <w:rFonts w:eastAsia="Times New Roman" w:cstheme="minorHAnsi"/>
          <w:sz w:val="24"/>
          <w:szCs w:val="24"/>
          <w:lang w:eastAsia="en-GB"/>
        </w:rPr>
        <w:t xml:space="preserve"> experience a structured, supportive and effective transition from Key Stage 4 (KS4) to Key Stage 5 (KS5). The Academy is committed to providing high-quality information, advice and guidance, alongside academic and pastoral support, so that every student can progress onto a suitable and aspirational post-16 pathway.</w:t>
      </w:r>
    </w:p>
    <w:p w14:paraId="14A05659" w14:textId="77777777" w:rsidR="00457DDA" w:rsidRPr="00457DDA" w:rsidRDefault="00457DDA" w:rsidP="005C00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57DDA">
        <w:rPr>
          <w:rFonts w:eastAsia="Times New Roman" w:cstheme="minorHAnsi"/>
          <w:sz w:val="24"/>
          <w:szCs w:val="24"/>
          <w:lang w:eastAsia="en-GB"/>
        </w:rPr>
        <w:t>Particular emphasis is placed on supporting students at risk of becoming NEET (Not in Education, Employment or Training) and those with Special Educational Needs and/or Disabilities (SEND), ensuring that no student is left without a positive progression route.</w:t>
      </w:r>
    </w:p>
    <w:p w14:paraId="029CA597" w14:textId="77777777" w:rsidR="00457DDA" w:rsidRPr="00723C2D" w:rsidRDefault="00457DDA" w:rsidP="005C0061">
      <w:pPr>
        <w:pStyle w:val="NormalWeb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The policy aims to:</w:t>
      </w:r>
    </w:p>
    <w:p w14:paraId="1B45B085" w14:textId="77777777" w:rsidR="00457DDA" w:rsidRPr="00723C2D" w:rsidRDefault="00457DDA" w:rsidP="005C006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To deliver impartial, high-quality careers education, information, advice and guidance (CEIAG) to support all students in making informed post-16 choices.</w:t>
      </w:r>
    </w:p>
    <w:p w14:paraId="5B91B156" w14:textId="77777777" w:rsidR="00457DDA" w:rsidRPr="00723C2D" w:rsidRDefault="00457DDA" w:rsidP="005C006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To ensure students are appropriately matched to courses or pathways based on prior attainment, interests, aspirations and support needs.</w:t>
      </w:r>
    </w:p>
    <w:p w14:paraId="7F4D13F8" w14:textId="77777777" w:rsidR="00457DDA" w:rsidRPr="00723C2D" w:rsidRDefault="00457DDA" w:rsidP="005C006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To provide structured transition support, with targeted intervention for students at risk of NEET or with SEND.</w:t>
      </w:r>
    </w:p>
    <w:p w14:paraId="4B04083B" w14:textId="77777777" w:rsidR="00457DDA" w:rsidRPr="00723C2D" w:rsidRDefault="00457DDA" w:rsidP="005C006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To work in close partnership with parents, carers, post-16 providers, external agencies and local authorities.</w:t>
      </w:r>
    </w:p>
    <w:p w14:paraId="74BC9214" w14:textId="77777777" w:rsidR="00457DDA" w:rsidRPr="00723C2D" w:rsidRDefault="00457DDA" w:rsidP="005C006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To monitor student destinations and use data to improve the effectiveness of the transition programme.</w:t>
      </w:r>
    </w:p>
    <w:p w14:paraId="20113652" w14:textId="77777777" w:rsidR="00457DDA" w:rsidRPr="00723C2D" w:rsidRDefault="00457DDA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Roles and Responsibilities</w:t>
      </w:r>
    </w:p>
    <w:p w14:paraId="4F5D9B90" w14:textId="77777777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Senior Leadership Team (SLT):</w:t>
      </w:r>
    </w:p>
    <w:p w14:paraId="5525D0DB" w14:textId="77777777" w:rsidR="00457DDA" w:rsidRPr="00723C2D" w:rsidRDefault="00457DDA" w:rsidP="005C006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Oversee the transition process and ensure alignment with the school’s strategic priorities.</w:t>
      </w:r>
    </w:p>
    <w:p w14:paraId="26CA50D4" w14:textId="51C2BCE7" w:rsidR="00457DDA" w:rsidRPr="00723C2D" w:rsidRDefault="00457DDA" w:rsidP="005C006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Monitor the effectiveness of transition arrangements.</w:t>
      </w:r>
    </w:p>
    <w:p w14:paraId="36D5DB5C" w14:textId="77777777" w:rsidR="003E6348" w:rsidRPr="00723C2D" w:rsidRDefault="003E6348" w:rsidP="005C006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2D02619C" w14:textId="22A2B7AC" w:rsidR="00AA23D9" w:rsidRPr="00723C2D" w:rsidRDefault="00AA23D9" w:rsidP="00AA23D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Careers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>Lead</w:t>
      </w:r>
      <w:r>
        <w:rPr>
          <w:rStyle w:val="Strong"/>
          <w:rFonts w:asciiTheme="minorHAnsi" w:hAnsiTheme="minorHAnsi" w:cstheme="minorHAnsi"/>
          <w:b w:val="0"/>
          <w:bCs w:val="0"/>
        </w:rPr>
        <w:t>:</w:t>
      </w:r>
      <w:r w:rsidRPr="00723C2D">
        <w:rPr>
          <w:rFonts w:asciiTheme="minorHAnsi" w:hAnsiTheme="minorHAnsi" w:cstheme="minorHAnsi"/>
        </w:rPr>
        <w:br/>
        <w:t>The Careers Leader plays a central role in coordinating and delivering effective transition support at Blackpool Aspire Academy. Their responsibilities include:</w:t>
      </w:r>
    </w:p>
    <w:p w14:paraId="4F67757D" w14:textId="77777777" w:rsidR="00AA23D9" w:rsidRPr="00723C2D" w:rsidRDefault="00AA23D9" w:rsidP="00AA23D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Strategic Leadership</w:t>
      </w:r>
      <w:r w:rsidRPr="00723C2D">
        <w:rPr>
          <w:rStyle w:val="Strong"/>
          <w:rFonts w:asciiTheme="minorHAnsi" w:hAnsiTheme="minorHAnsi" w:cstheme="minorHAnsi"/>
        </w:rPr>
        <w:t>:</w:t>
      </w:r>
      <w:r w:rsidRPr="00723C2D">
        <w:rPr>
          <w:rFonts w:asciiTheme="minorHAnsi" w:hAnsiTheme="minorHAnsi" w:cstheme="minorHAnsi"/>
        </w:rPr>
        <w:t xml:space="preserve"> Lead the Academy’s CEIAG programme, ensuring it meets statutory requirements and the Gatsby Benchmarks.</w:t>
      </w:r>
    </w:p>
    <w:p w14:paraId="4F1311C1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Transition Coordination:</w:t>
      </w:r>
      <w:r w:rsidRPr="00723C2D">
        <w:rPr>
          <w:rFonts w:asciiTheme="minorHAnsi" w:hAnsiTheme="minorHAnsi" w:cstheme="minorHAnsi"/>
          <w:b/>
          <w:bCs/>
        </w:rPr>
        <w:t xml:space="preserve"> </w:t>
      </w:r>
      <w:r w:rsidRPr="00723C2D">
        <w:rPr>
          <w:rFonts w:asciiTheme="minorHAnsi" w:hAnsiTheme="minorHAnsi" w:cstheme="minorHAnsi"/>
        </w:rPr>
        <w:t>Oversee the entire KS4 to KS5 transition process, ensuring students receive appropriate information and guidance at every stage.</w:t>
      </w:r>
    </w:p>
    <w:p w14:paraId="299CEEAF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Provider Engagement:</w:t>
      </w:r>
      <w:r w:rsidRPr="00723C2D">
        <w:rPr>
          <w:rFonts w:asciiTheme="minorHAnsi" w:hAnsiTheme="minorHAnsi" w:cstheme="minorHAnsi"/>
        </w:rPr>
        <w:t xml:space="preserve"> Liaise with local sixth forms, colleges, apprenticeship providers, training organisations and employers to secure opportunities for all students.</w:t>
      </w:r>
    </w:p>
    <w:p w14:paraId="047D73B0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Targeted Support:</w:t>
      </w:r>
      <w:r w:rsidRPr="00723C2D">
        <w:rPr>
          <w:rFonts w:asciiTheme="minorHAnsi" w:hAnsiTheme="minorHAnsi" w:cstheme="minorHAnsi"/>
        </w:rPr>
        <w:t xml:space="preserve"> Work with the SENDCo, pastoral teams and Careers Adviser to identify students at risk of NEET or with SEND and ensure they receive personalised transition plans.</w:t>
      </w:r>
    </w:p>
    <w:p w14:paraId="5BCBDEAF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lastRenderedPageBreak/>
        <w:t>Parent and Carer Involvement:</w:t>
      </w:r>
      <w:r w:rsidRPr="00723C2D">
        <w:rPr>
          <w:rFonts w:asciiTheme="minorHAnsi" w:hAnsiTheme="minorHAnsi" w:cstheme="minorHAnsi"/>
        </w:rPr>
        <w:t xml:space="preserve"> Facilitate information events and maintain clear communication with parents and carers throughout the transition process.</w:t>
      </w:r>
    </w:p>
    <w:p w14:paraId="372ABECF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Destination Tracking</w:t>
      </w:r>
      <w:r w:rsidRPr="00723C2D">
        <w:rPr>
          <w:rStyle w:val="Strong"/>
          <w:rFonts w:asciiTheme="minorHAnsi" w:hAnsiTheme="minorHAnsi" w:cstheme="minorHAnsi"/>
        </w:rPr>
        <w:t>:</w:t>
      </w:r>
      <w:r w:rsidRPr="00723C2D">
        <w:rPr>
          <w:rFonts w:asciiTheme="minorHAnsi" w:hAnsiTheme="minorHAnsi" w:cstheme="minorHAnsi"/>
        </w:rPr>
        <w:t xml:space="preserve"> Monitor and track student destinations, intervening promptly where students are without a confirmed post-16 offer.</w:t>
      </w:r>
    </w:p>
    <w:p w14:paraId="7DE6DFDD" w14:textId="77777777" w:rsidR="00AA23D9" w:rsidRPr="00723C2D" w:rsidRDefault="00AA23D9" w:rsidP="00AA23D9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Continuous Improvement:</w:t>
      </w:r>
      <w:r w:rsidRPr="00723C2D">
        <w:rPr>
          <w:rFonts w:asciiTheme="minorHAnsi" w:hAnsiTheme="minorHAnsi" w:cstheme="minorHAnsi"/>
        </w:rPr>
        <w:t xml:space="preserve"> Analyse transition and destination data to inform annual reviews and improve provision.</w:t>
      </w:r>
    </w:p>
    <w:p w14:paraId="1D272B3B" w14:textId="77777777" w:rsidR="00AA23D9" w:rsidRPr="00723C2D" w:rsidRDefault="00AA23D9" w:rsidP="00AA23D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Careers Adviser:</w:t>
      </w:r>
    </w:p>
    <w:p w14:paraId="02B23959" w14:textId="77777777" w:rsidR="00AA23D9" w:rsidRPr="00723C2D" w:rsidRDefault="00AA23D9" w:rsidP="00AA23D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Deliver impartial, one-to-one careers guidance interviews to all students.</w:t>
      </w:r>
    </w:p>
    <w:p w14:paraId="0A4EC6AE" w14:textId="77777777" w:rsidR="00AA23D9" w:rsidRPr="00723C2D" w:rsidRDefault="00AA23D9" w:rsidP="00AA23D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Provide targeted, intensive support for students with additional needs or at risk of NEET.</w:t>
      </w:r>
    </w:p>
    <w:p w14:paraId="0B28AF4C" w14:textId="77777777" w:rsidR="00AA23D9" w:rsidRPr="00723C2D" w:rsidRDefault="00AA23D9" w:rsidP="00AA23D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Offer follow-up guidance during results day and enrolment.</w:t>
      </w:r>
    </w:p>
    <w:p w14:paraId="32D9B5EA" w14:textId="77777777" w:rsidR="00AA23D9" w:rsidRPr="00723C2D" w:rsidRDefault="00AA23D9" w:rsidP="00AA23D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Maintain knowledge of local labour market information and post-16 options.</w:t>
      </w:r>
    </w:p>
    <w:p w14:paraId="4B63E3A5" w14:textId="77777777" w:rsidR="00AA23D9" w:rsidRDefault="00AA23D9" w:rsidP="005C0061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bCs w:val="0"/>
        </w:rPr>
      </w:pPr>
    </w:p>
    <w:p w14:paraId="3A8BA4BD" w14:textId="3F268E05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 xml:space="preserve">KS4 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 xml:space="preserve">Form 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>Tutors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r w:rsidR="00AA23D9">
        <w:rPr>
          <w:rStyle w:val="Strong"/>
          <w:rFonts w:asciiTheme="minorHAnsi" w:hAnsiTheme="minorHAnsi" w:cstheme="minorHAnsi"/>
          <w:b w:val="0"/>
          <w:bCs w:val="0"/>
        </w:rPr>
        <w:t xml:space="preserve">Heads of Year, 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>PSHE</w:t>
      </w:r>
      <w:r w:rsidRPr="00723C2D">
        <w:rPr>
          <w:rStyle w:val="Strong"/>
          <w:rFonts w:asciiTheme="minorHAnsi" w:hAnsiTheme="minorHAnsi" w:cstheme="minorHAnsi"/>
          <w:b w:val="0"/>
          <w:bCs w:val="0"/>
        </w:rPr>
        <w:t xml:space="preserve"> and Subject Teachers:</w:t>
      </w:r>
    </w:p>
    <w:p w14:paraId="1A3BCAB1" w14:textId="77777777" w:rsidR="00457DDA" w:rsidRPr="00723C2D" w:rsidRDefault="00457DDA" w:rsidP="005C006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Provide accurate information on student progress and predicted grades.</w:t>
      </w:r>
    </w:p>
    <w:p w14:paraId="02DBAE96" w14:textId="77777777" w:rsidR="00457DDA" w:rsidRPr="00723C2D" w:rsidRDefault="00457DDA" w:rsidP="005C006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Offer guidance on subject suitability and progression pathways.</w:t>
      </w:r>
    </w:p>
    <w:p w14:paraId="40C57281" w14:textId="454D3269" w:rsidR="00457DDA" w:rsidRPr="00723C2D" w:rsidRDefault="00457DDA" w:rsidP="005C006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Support students through the application process.</w:t>
      </w:r>
    </w:p>
    <w:p w14:paraId="3D93C5C1" w14:textId="77777777" w:rsidR="003E6348" w:rsidRPr="00723C2D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1C699AD" w14:textId="77777777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KS5 Team / Sixth Form Leadership:</w:t>
      </w:r>
    </w:p>
    <w:p w14:paraId="6B027862" w14:textId="77777777" w:rsidR="00457DDA" w:rsidRPr="00723C2D" w:rsidRDefault="00457DDA" w:rsidP="005C006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Organise taster days, induction events and bridging activities.</w:t>
      </w:r>
    </w:p>
    <w:p w14:paraId="58D12F3A" w14:textId="77777777" w:rsidR="00457DDA" w:rsidRPr="00723C2D" w:rsidRDefault="00457DDA" w:rsidP="005C006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Process applications and conduct guidance interviews.</w:t>
      </w:r>
    </w:p>
    <w:p w14:paraId="6C0DA600" w14:textId="69164E42" w:rsidR="00457DDA" w:rsidRPr="00723C2D" w:rsidRDefault="00457DDA" w:rsidP="005C006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Communicate entry requirements and expectations clearly.</w:t>
      </w:r>
    </w:p>
    <w:p w14:paraId="17C52F51" w14:textId="02B4FB24" w:rsidR="003E6348" w:rsidRPr="00723C2D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3491172" w14:textId="77777777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SEND Team / SENDCo:</w:t>
      </w:r>
    </w:p>
    <w:p w14:paraId="252EEFE6" w14:textId="77777777" w:rsidR="00457DDA" w:rsidRPr="00723C2D" w:rsidRDefault="00457DDA" w:rsidP="005C0061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Ensure that students with SEND receive tailored support throughout the transition process.</w:t>
      </w:r>
    </w:p>
    <w:p w14:paraId="14B607DA" w14:textId="77777777" w:rsidR="00457DDA" w:rsidRPr="00723C2D" w:rsidRDefault="00457DDA" w:rsidP="005C0061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Embed transition planning into EHCP reviews and liaise with post-16 providers to secure appropriate support.</w:t>
      </w:r>
    </w:p>
    <w:p w14:paraId="2657F0A4" w14:textId="5A0287AB" w:rsidR="00457DDA" w:rsidRPr="00723C2D" w:rsidRDefault="00457DDA" w:rsidP="005C0061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Work with the Careers Leader and Adviser to ensure careers information and opportunities are accessible.</w:t>
      </w:r>
    </w:p>
    <w:p w14:paraId="2E1B943F" w14:textId="77777777" w:rsidR="003E6348" w:rsidRPr="00723C2D" w:rsidRDefault="003E6348" w:rsidP="005C006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6B79122" w14:textId="77777777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Students:</w:t>
      </w:r>
    </w:p>
    <w:p w14:paraId="1B4778C1" w14:textId="77777777" w:rsidR="00457DDA" w:rsidRPr="00723C2D" w:rsidRDefault="00457DDA" w:rsidP="005C006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Engage fully with transition activities, careers interviews and application processes.</w:t>
      </w:r>
    </w:p>
    <w:p w14:paraId="1FF04ED2" w14:textId="77777777" w:rsidR="00457DDA" w:rsidRPr="00723C2D" w:rsidRDefault="00457DDA" w:rsidP="005C006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Complete bridging work and attend induction events.</w:t>
      </w:r>
    </w:p>
    <w:p w14:paraId="610C856F" w14:textId="731308A7" w:rsidR="00457DDA" w:rsidRPr="00723C2D" w:rsidRDefault="00457DDA" w:rsidP="005C006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Take responsibility for meeting deadlines and entry requirements.</w:t>
      </w:r>
    </w:p>
    <w:p w14:paraId="3C3FF1B8" w14:textId="77777777" w:rsidR="003E6348" w:rsidRPr="00723C2D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867E78A" w14:textId="77777777" w:rsidR="00457DDA" w:rsidRPr="00723C2D" w:rsidRDefault="00457DDA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23C2D">
        <w:rPr>
          <w:rStyle w:val="Strong"/>
          <w:rFonts w:asciiTheme="minorHAnsi" w:hAnsiTheme="minorHAnsi" w:cstheme="minorHAnsi"/>
          <w:b w:val="0"/>
          <w:bCs w:val="0"/>
        </w:rPr>
        <w:t>Parents and Carers:</w:t>
      </w:r>
    </w:p>
    <w:p w14:paraId="052A6869" w14:textId="77777777" w:rsidR="00457DDA" w:rsidRPr="00723C2D" w:rsidRDefault="00457DDA" w:rsidP="005C006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Support their child in exploring and evaluating post-16 options.</w:t>
      </w:r>
    </w:p>
    <w:p w14:paraId="46F43E5D" w14:textId="77777777" w:rsidR="00457DDA" w:rsidRPr="00723C2D" w:rsidRDefault="00457DDA" w:rsidP="005C006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Attend careers information events and provider meetings.</w:t>
      </w:r>
    </w:p>
    <w:p w14:paraId="230954CC" w14:textId="4BF22F4A" w:rsidR="00457DDA" w:rsidRPr="00723C2D" w:rsidRDefault="00457DDA" w:rsidP="005C006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Encourage engagement with bridging work and transition activities.</w:t>
      </w:r>
    </w:p>
    <w:p w14:paraId="250D090B" w14:textId="0020B8B3" w:rsidR="003E6348" w:rsidRPr="00723C2D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25A6C5E" w14:textId="61FC149C" w:rsidR="003E6348" w:rsidRPr="00723C2D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EAF914F" w14:textId="576D0B36" w:rsidR="003E6348" w:rsidRDefault="003E6348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D540CA2" w14:textId="6C75598C" w:rsidR="00AA23D9" w:rsidRDefault="00AA23D9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F940A0" w14:textId="77777777" w:rsidR="00AA23D9" w:rsidRPr="00723C2D" w:rsidRDefault="00AA23D9" w:rsidP="005C006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5B00506" w14:textId="77777777" w:rsidR="00936DA4" w:rsidRPr="00723C2D" w:rsidRDefault="00936DA4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lastRenderedPageBreak/>
        <w:t>Support for Students at Risk of NEET</w:t>
      </w:r>
    </w:p>
    <w:p w14:paraId="4CBD7119" w14:textId="77777777" w:rsidR="00936DA4" w:rsidRPr="00723C2D" w:rsidRDefault="00936DA4" w:rsidP="005C0061">
      <w:pPr>
        <w:pStyle w:val="NormalWeb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Blackpool Aspire Academy identifies students at risk of NEET early and provides targeted intervention, including:</w:t>
      </w:r>
    </w:p>
    <w:p w14:paraId="1AA8B595" w14:textId="77777777" w:rsidR="00936DA4" w:rsidRPr="00723C2D" w:rsidRDefault="00936DA4" w:rsidP="005C0061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Regular tracking through attendance, academic and pastoral data.</w:t>
      </w:r>
    </w:p>
    <w:p w14:paraId="554AE560" w14:textId="77777777" w:rsidR="00936DA4" w:rsidRPr="00723C2D" w:rsidRDefault="00936DA4" w:rsidP="005C0061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Priority access to careers guidance and follow-up meetings.</w:t>
      </w:r>
    </w:p>
    <w:p w14:paraId="354E8252" w14:textId="77777777" w:rsidR="00936DA4" w:rsidRPr="00723C2D" w:rsidRDefault="00936DA4" w:rsidP="005C0061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Personalised transition plans coordinated by the Careers Leader.</w:t>
      </w:r>
    </w:p>
    <w:p w14:paraId="1FEA5397" w14:textId="77777777" w:rsidR="00936DA4" w:rsidRPr="00723C2D" w:rsidRDefault="00936DA4" w:rsidP="005C0061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Additional visits to providers, supported introductions and mentoring.</w:t>
      </w:r>
    </w:p>
    <w:p w14:paraId="7B958C7D" w14:textId="77777777" w:rsidR="00936DA4" w:rsidRPr="00723C2D" w:rsidRDefault="00936DA4" w:rsidP="005C0061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Close collaboration with external agencies and the local authority to secure destinations.</w:t>
      </w:r>
    </w:p>
    <w:p w14:paraId="1F971BBC" w14:textId="77777777" w:rsidR="00936DA4" w:rsidRPr="00723C2D" w:rsidRDefault="00936DA4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Support for Students with SEND</w:t>
      </w:r>
    </w:p>
    <w:p w14:paraId="030FCAA6" w14:textId="77777777" w:rsidR="00936DA4" w:rsidRPr="00723C2D" w:rsidRDefault="00936DA4" w:rsidP="005C0061">
      <w:pPr>
        <w:pStyle w:val="NormalWeb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The Academy ensures that students with SEND receive tailored transition support, including:</w:t>
      </w:r>
    </w:p>
    <w:p w14:paraId="0FDE037F" w14:textId="77777777" w:rsidR="00936DA4" w:rsidRPr="00723C2D" w:rsidRDefault="00936DA4" w:rsidP="005C0061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Transition planning through EHCP reviews from Year 9 onwards.</w:t>
      </w:r>
    </w:p>
    <w:p w14:paraId="5338D3AA" w14:textId="77777777" w:rsidR="00936DA4" w:rsidRPr="00723C2D" w:rsidRDefault="00936DA4" w:rsidP="005C0061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Individualised careers guidance in partnership with the SENDCo.</w:t>
      </w:r>
    </w:p>
    <w:p w14:paraId="461CF7E6" w14:textId="77777777" w:rsidR="00936DA4" w:rsidRPr="00723C2D" w:rsidRDefault="00936DA4" w:rsidP="005C0061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Supported visits to post-16 providers and liaison with their SEN teams.</w:t>
      </w:r>
    </w:p>
    <w:p w14:paraId="605F15E8" w14:textId="77777777" w:rsidR="00936DA4" w:rsidRPr="00723C2D" w:rsidRDefault="00936DA4" w:rsidP="005C0061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Adjustments to careers activities to ensure full inclusion and accessibility.</w:t>
      </w:r>
    </w:p>
    <w:p w14:paraId="3F75AA10" w14:textId="04954D1D" w:rsidR="00936DA4" w:rsidRPr="00723C2D" w:rsidRDefault="00936DA4" w:rsidP="005C0061">
      <w:pPr>
        <w:pStyle w:val="Heading3"/>
        <w:jc w:val="both"/>
        <w:rPr>
          <w:rStyle w:val="Strong"/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Transition Timeline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3E6348" w:rsidRPr="00723C2D" w14:paraId="61832737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0DC13303" w14:textId="074EEDB3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Timeframe</w:t>
            </w:r>
          </w:p>
        </w:tc>
        <w:tc>
          <w:tcPr>
            <w:tcW w:w="6945" w:type="dxa"/>
            <w:shd w:val="clear" w:color="auto" w:fill="BDD6EE" w:themeFill="accent5" w:themeFillTint="66"/>
            <w:vAlign w:val="center"/>
          </w:tcPr>
          <w:p w14:paraId="47CEBF06" w14:textId="7A019529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Activity</w:t>
            </w:r>
          </w:p>
        </w:tc>
      </w:tr>
      <w:tr w:rsidR="003E6348" w:rsidRPr="00723C2D" w14:paraId="02E95E22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7F84413E" w14:textId="29C43B62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Autumn Term (Year 11)</w:t>
            </w:r>
          </w:p>
        </w:tc>
        <w:tc>
          <w:tcPr>
            <w:tcW w:w="6945" w:type="dxa"/>
            <w:vAlign w:val="center"/>
          </w:tcPr>
          <w:p w14:paraId="0FC7E6AE" w14:textId="6826F13F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Careers interviews begin; Post-16 provider talks; Identification of NEET risk and SEND transition planning; Parental information events.</w:t>
            </w:r>
          </w:p>
        </w:tc>
      </w:tr>
      <w:tr w:rsidR="003E6348" w:rsidRPr="00723C2D" w14:paraId="5B84F396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4DCCE550" w14:textId="3901E523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Spring Term (Year 11)</w:t>
            </w:r>
          </w:p>
        </w:tc>
        <w:tc>
          <w:tcPr>
            <w:tcW w:w="6945" w:type="dxa"/>
            <w:vAlign w:val="center"/>
          </w:tcPr>
          <w:p w14:paraId="48861949" w14:textId="18C05518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KS5 taster sessions; Applications submitted; Additional guidance for at-risk and SEND students; Careers Leader coordinates provider engagement.</w:t>
            </w:r>
          </w:p>
        </w:tc>
      </w:tr>
      <w:tr w:rsidR="003E6348" w:rsidRPr="00723C2D" w14:paraId="51960F25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1681BB2E" w14:textId="258D4A58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Summer Term (Year 11)</w:t>
            </w:r>
          </w:p>
        </w:tc>
        <w:tc>
          <w:tcPr>
            <w:tcW w:w="6945" w:type="dxa"/>
            <w:vAlign w:val="center"/>
          </w:tcPr>
          <w:p w14:paraId="09F68697" w14:textId="3869D687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Conditional offers confirmed; Bridging work set; Induction days; Personalised support for targeted students.</w:t>
            </w:r>
          </w:p>
        </w:tc>
      </w:tr>
      <w:tr w:rsidR="003E6348" w:rsidRPr="00723C2D" w14:paraId="3BF641EF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04CFD271" w14:textId="1DAC46C2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Results Day &amp; Enrolment</w:t>
            </w:r>
          </w:p>
        </w:tc>
        <w:tc>
          <w:tcPr>
            <w:tcW w:w="6945" w:type="dxa"/>
            <w:vAlign w:val="center"/>
          </w:tcPr>
          <w:p w14:paraId="33C8DDEB" w14:textId="75234CA3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Careers Adviser available for immediate guidance; Careers Leader monitors destinations and intervenes for students without confirmed offers.</w:t>
            </w:r>
          </w:p>
        </w:tc>
      </w:tr>
      <w:tr w:rsidR="003E6348" w:rsidRPr="00723C2D" w14:paraId="2E63AD09" w14:textId="77777777" w:rsidTr="00723C2D">
        <w:tc>
          <w:tcPr>
            <w:tcW w:w="2836" w:type="dxa"/>
            <w:shd w:val="clear" w:color="auto" w:fill="BDD6EE" w:themeFill="accent5" w:themeFillTint="66"/>
            <w:vAlign w:val="center"/>
          </w:tcPr>
          <w:p w14:paraId="714C4530" w14:textId="66400EB3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Autumn Term (Year 12)</w:t>
            </w:r>
          </w:p>
        </w:tc>
        <w:tc>
          <w:tcPr>
            <w:tcW w:w="6945" w:type="dxa"/>
            <w:vAlign w:val="center"/>
          </w:tcPr>
          <w:p w14:paraId="16073AB3" w14:textId="4280C677" w:rsidR="003E6348" w:rsidRPr="00723C2D" w:rsidRDefault="003E6348" w:rsidP="005C0061">
            <w:pPr>
              <w:pStyle w:val="Heading3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23C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Ongoing tracking of destinations; Continued support for students who have experienced challenging transitions.</w:t>
            </w:r>
          </w:p>
        </w:tc>
      </w:tr>
    </w:tbl>
    <w:p w14:paraId="3FDC309B" w14:textId="17391B9D" w:rsidR="00457DDA" w:rsidRPr="00457DDA" w:rsidRDefault="00457DDA" w:rsidP="005C006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457DDA">
        <w:rPr>
          <w:rFonts w:eastAsia="Times New Roman" w:cstheme="minorHAnsi"/>
          <w:sz w:val="24"/>
          <w:szCs w:val="24"/>
          <w:u w:val="single"/>
          <w:lang w:eastAsia="en-GB"/>
        </w:rPr>
        <w:t>Entry Requirements</w:t>
      </w:r>
      <w:r w:rsidRPr="00723C2D">
        <w:rPr>
          <w:rFonts w:eastAsia="Times New Roman" w:cstheme="minorHAnsi"/>
          <w:sz w:val="24"/>
          <w:szCs w:val="24"/>
          <w:u w:val="single"/>
          <w:lang w:eastAsia="en-GB"/>
        </w:rPr>
        <w:t xml:space="preserve"> to College courses</w:t>
      </w:r>
    </w:p>
    <w:p w14:paraId="673B0D73" w14:textId="77777777" w:rsidR="003E6348" w:rsidRPr="00723C2D" w:rsidRDefault="00457DDA" w:rsidP="005C00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57DDA">
        <w:rPr>
          <w:rFonts w:eastAsia="Times New Roman" w:cstheme="minorHAnsi"/>
          <w:sz w:val="24"/>
          <w:szCs w:val="24"/>
          <w:lang w:eastAsia="en-GB"/>
        </w:rPr>
        <w:t xml:space="preserve">Each KS5 course has clear academic entry criteria to ensure students are placed on courses where they can succeed. </w:t>
      </w:r>
    </w:p>
    <w:p w14:paraId="7D4179CE" w14:textId="37C72E15" w:rsidR="00457DDA" w:rsidRPr="00723C2D" w:rsidRDefault="00457DDA" w:rsidP="005C00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57DDA">
        <w:rPr>
          <w:rFonts w:eastAsia="Times New Roman" w:cstheme="minorHAnsi"/>
          <w:sz w:val="24"/>
          <w:szCs w:val="24"/>
          <w:lang w:eastAsia="en-GB"/>
        </w:rPr>
        <w:t>Requirements are published annually and communicated to students and parents. Where a student does not meet the entry criteria, alternative pathways or support will be discussed during enrolment.</w:t>
      </w:r>
    </w:p>
    <w:p w14:paraId="6F3FBE02" w14:textId="7B693F85" w:rsidR="00723C2D" w:rsidRPr="00723C2D" w:rsidRDefault="00723C2D" w:rsidP="005C00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053E1CC8" w14:textId="437E5005" w:rsidR="00936DA4" w:rsidRPr="00723C2D" w:rsidRDefault="00936DA4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Fonts w:asciiTheme="minorHAnsi" w:hAnsiTheme="minorHAnsi" w:cstheme="minorHAnsi"/>
          <w:sz w:val="24"/>
          <w:szCs w:val="24"/>
          <w:u w:val="single"/>
        </w:rPr>
        <w:lastRenderedPageBreak/>
        <w:t>I</w:t>
      </w: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nduction and Bridging</w:t>
      </w:r>
    </w:p>
    <w:p w14:paraId="3AE2D0A4" w14:textId="77777777" w:rsidR="00936DA4" w:rsidRPr="00723C2D" w:rsidRDefault="00936DA4" w:rsidP="005C0061">
      <w:pPr>
        <w:pStyle w:val="NormalWeb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All students are expected to:</w:t>
      </w:r>
    </w:p>
    <w:p w14:paraId="2A6AEEF5" w14:textId="77777777" w:rsidR="00936DA4" w:rsidRPr="00723C2D" w:rsidRDefault="00936DA4" w:rsidP="005C0061">
      <w:pPr>
        <w:pStyle w:val="NormalWeb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Attend induction days at their chosen provider.</w:t>
      </w:r>
    </w:p>
    <w:p w14:paraId="635DFC80" w14:textId="77777777" w:rsidR="00936DA4" w:rsidRPr="00723C2D" w:rsidRDefault="00936DA4" w:rsidP="005C0061">
      <w:pPr>
        <w:pStyle w:val="NormalWeb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Complete subject-specific bridging work.</w:t>
      </w:r>
    </w:p>
    <w:p w14:paraId="27ACAFFD" w14:textId="77777777" w:rsidR="00936DA4" w:rsidRPr="00723C2D" w:rsidRDefault="00936DA4" w:rsidP="005C0061">
      <w:pPr>
        <w:pStyle w:val="NormalWeb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Participate in sessions on study skills, wellbeing and progression planning.</w:t>
      </w:r>
    </w:p>
    <w:p w14:paraId="26E84F8F" w14:textId="77777777" w:rsidR="00936DA4" w:rsidRPr="00723C2D" w:rsidRDefault="00936DA4" w:rsidP="005C0061">
      <w:pPr>
        <w:pStyle w:val="NormalWeb"/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Students at risk of NEET or with SEND receive additional preparation and follow-up support to help them adapt successfully.</w:t>
      </w:r>
    </w:p>
    <w:p w14:paraId="6021D8C0" w14:textId="77777777" w:rsidR="00936DA4" w:rsidRPr="00723C2D" w:rsidRDefault="00936DA4" w:rsidP="005C0061">
      <w:pPr>
        <w:pStyle w:val="Heading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3C2D">
        <w:rPr>
          <w:rStyle w:val="Strong"/>
          <w:rFonts w:asciiTheme="minorHAnsi" w:hAnsiTheme="minorHAnsi" w:cstheme="minorHAnsi"/>
          <w:sz w:val="24"/>
          <w:szCs w:val="24"/>
          <w:u w:val="single"/>
        </w:rPr>
        <w:t>Monitoring, Evaluation and Review</w:t>
      </w:r>
    </w:p>
    <w:p w14:paraId="0D852B00" w14:textId="77777777" w:rsidR="00936DA4" w:rsidRPr="00723C2D" w:rsidRDefault="00936DA4" w:rsidP="005C0061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Student destinations are monitored closely to evaluate transition effectiveness.</w:t>
      </w:r>
    </w:p>
    <w:p w14:paraId="48CF4C08" w14:textId="77777777" w:rsidR="00936DA4" w:rsidRPr="00723C2D" w:rsidRDefault="00936DA4" w:rsidP="005C0061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NEET figures, SEND progression data and student feedback are analysed annually.</w:t>
      </w:r>
    </w:p>
    <w:p w14:paraId="53A4AF1D" w14:textId="77777777" w:rsidR="00936DA4" w:rsidRPr="00723C2D" w:rsidRDefault="00936DA4" w:rsidP="005C0061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The Careers Leader leads the review of this policy with input from SLT, SENDCo and the Careers Adviser.</w:t>
      </w:r>
    </w:p>
    <w:p w14:paraId="6FDECE10" w14:textId="77777777" w:rsidR="00936DA4" w:rsidRPr="00723C2D" w:rsidRDefault="00936DA4" w:rsidP="005C0061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23C2D">
        <w:rPr>
          <w:rFonts w:asciiTheme="minorHAnsi" w:hAnsiTheme="minorHAnsi" w:cstheme="minorHAnsi"/>
        </w:rPr>
        <w:t>Findings inform improvements to the careers and transition programme.</w:t>
      </w:r>
    </w:p>
    <w:p w14:paraId="1FFB4A7A" w14:textId="7DDD5443" w:rsidR="00723C2D" w:rsidRPr="00723C2D" w:rsidRDefault="00723C2D" w:rsidP="005C0061">
      <w:pPr>
        <w:spacing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23C2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This policy </w:t>
      </w:r>
      <w:r w:rsidR="00AA23D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is</w:t>
      </w:r>
      <w:r w:rsidRPr="00723C2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reviewed annually for the start of each academic year. </w:t>
      </w:r>
    </w:p>
    <w:p w14:paraId="0664E285" w14:textId="77777777" w:rsidR="00723C2D" w:rsidRPr="00723C2D" w:rsidRDefault="00723C2D" w:rsidP="005C0061">
      <w:pPr>
        <w:spacing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23C2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Last reviewed September 2025.</w:t>
      </w:r>
    </w:p>
    <w:p w14:paraId="323D127D" w14:textId="77777777" w:rsidR="00457DDA" w:rsidRPr="00723C2D" w:rsidRDefault="00457DDA" w:rsidP="005C0061">
      <w:pPr>
        <w:jc w:val="both"/>
        <w:rPr>
          <w:rFonts w:cstheme="minorHAnsi"/>
          <w:b/>
          <w:bCs/>
          <w:sz w:val="24"/>
          <w:szCs w:val="24"/>
        </w:rPr>
      </w:pPr>
    </w:p>
    <w:sectPr w:rsidR="00457DDA" w:rsidRPr="0072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D3A"/>
    <w:multiLevelType w:val="multilevel"/>
    <w:tmpl w:val="2EB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ADD"/>
    <w:multiLevelType w:val="multilevel"/>
    <w:tmpl w:val="F8E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28F7"/>
    <w:multiLevelType w:val="multilevel"/>
    <w:tmpl w:val="6FC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2835"/>
    <w:multiLevelType w:val="multilevel"/>
    <w:tmpl w:val="642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B4E0F"/>
    <w:multiLevelType w:val="multilevel"/>
    <w:tmpl w:val="B18E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B4CA5"/>
    <w:multiLevelType w:val="multilevel"/>
    <w:tmpl w:val="4AD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81344"/>
    <w:multiLevelType w:val="multilevel"/>
    <w:tmpl w:val="79B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660DC"/>
    <w:multiLevelType w:val="multilevel"/>
    <w:tmpl w:val="521E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F0957"/>
    <w:multiLevelType w:val="multilevel"/>
    <w:tmpl w:val="2502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10E3F"/>
    <w:multiLevelType w:val="multilevel"/>
    <w:tmpl w:val="728A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71620"/>
    <w:multiLevelType w:val="multilevel"/>
    <w:tmpl w:val="1010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E720B"/>
    <w:multiLevelType w:val="multilevel"/>
    <w:tmpl w:val="E5C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32B14"/>
    <w:multiLevelType w:val="multilevel"/>
    <w:tmpl w:val="9DB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22DA8"/>
    <w:multiLevelType w:val="multilevel"/>
    <w:tmpl w:val="966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30BF4"/>
    <w:multiLevelType w:val="multilevel"/>
    <w:tmpl w:val="8C22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54BBA"/>
    <w:multiLevelType w:val="multilevel"/>
    <w:tmpl w:val="B41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02EDC"/>
    <w:multiLevelType w:val="multilevel"/>
    <w:tmpl w:val="B74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6216B"/>
    <w:multiLevelType w:val="multilevel"/>
    <w:tmpl w:val="8F9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9D44BD"/>
    <w:multiLevelType w:val="multilevel"/>
    <w:tmpl w:val="B56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D45"/>
    <w:multiLevelType w:val="multilevel"/>
    <w:tmpl w:val="1B0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8"/>
  </w:num>
  <w:num w:numId="8">
    <w:abstractNumId w:val="0"/>
  </w:num>
  <w:num w:numId="9">
    <w:abstractNumId w:val="16"/>
  </w:num>
  <w:num w:numId="10">
    <w:abstractNumId w:val="11"/>
  </w:num>
  <w:num w:numId="11">
    <w:abstractNumId w:val="10"/>
  </w:num>
  <w:num w:numId="12">
    <w:abstractNumId w:val="14"/>
  </w:num>
  <w:num w:numId="13">
    <w:abstractNumId w:val="15"/>
  </w:num>
  <w:num w:numId="14">
    <w:abstractNumId w:val="19"/>
  </w:num>
  <w:num w:numId="15">
    <w:abstractNumId w:val="13"/>
  </w:num>
  <w:num w:numId="16">
    <w:abstractNumId w:val="9"/>
  </w:num>
  <w:num w:numId="17">
    <w:abstractNumId w:val="17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DA"/>
    <w:rsid w:val="003E6348"/>
    <w:rsid w:val="00457DDA"/>
    <w:rsid w:val="005C0061"/>
    <w:rsid w:val="00723C2D"/>
    <w:rsid w:val="00936DA4"/>
    <w:rsid w:val="00A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16E4"/>
  <w15:chartTrackingRefBased/>
  <w15:docId w15:val="{02F62E33-8C14-4F5C-98C4-7D15E71D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7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57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DD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57D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57D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36DA4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n-US"/>
    </w:rPr>
  </w:style>
  <w:style w:type="table" w:styleId="TableGrid">
    <w:name w:val="Table Grid"/>
    <w:basedOn w:val="TableNormal"/>
    <w:uiPriority w:val="39"/>
    <w:rsid w:val="003E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Plancke</dc:creator>
  <cp:keywords/>
  <dc:description/>
  <cp:lastModifiedBy>Peggy Plancke</cp:lastModifiedBy>
  <cp:revision>4</cp:revision>
  <dcterms:created xsi:type="dcterms:W3CDTF">2025-10-06T20:45:00Z</dcterms:created>
  <dcterms:modified xsi:type="dcterms:W3CDTF">2025-10-06T21:33:00Z</dcterms:modified>
</cp:coreProperties>
</file>