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455DD01C" w14:textId="1DFB416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Core Theme </w:t>
            </w:r>
            <w:r w:rsidR="00CD6B5A"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="00CD6B5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Health and Wellbeing </w:t>
            </w:r>
          </w:p>
        </w:tc>
      </w:tr>
      <w:tr w:rsidR="1F1BFE12" w14:paraId="6949FD26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Default="4C1BAF6C" w:rsidP="6BF6F9F0">
            <w:pPr>
              <w:spacing w:line="259" w:lineRule="auto"/>
            </w:pPr>
            <w:r>
              <w:t>To know:</w:t>
            </w:r>
          </w:p>
          <w:p w14:paraId="50DF2E6E" w14:textId="31713B51" w:rsidR="00CD6B5A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 xml:space="preserve">Child sexual abuse </w:t>
            </w:r>
          </w:p>
          <w:p w14:paraId="5FFD6E5C" w14:textId="476E8545" w:rsidR="002F0D04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>What is smartphone safety and screen addiction?</w:t>
            </w:r>
          </w:p>
          <w:p w14:paraId="75FB8AE5" w14:textId="478917B5" w:rsidR="002F0D04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 xml:space="preserve">Common types of mental health conditions </w:t>
            </w:r>
          </w:p>
          <w:p w14:paraId="715F5C62" w14:textId="5986AA71" w:rsidR="002F0D04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>The concept of suicide and self-harm</w:t>
            </w:r>
          </w:p>
          <w:p w14:paraId="18D398A5" w14:textId="59A65B03" w:rsidR="002F0D04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 xml:space="preserve">Child on child abuse </w:t>
            </w:r>
          </w:p>
          <w:p w14:paraId="5DFE6F8F" w14:textId="2B36CE86" w:rsidR="002F0D04" w:rsidRDefault="002F0D04" w:rsidP="00CD6B5A">
            <w:pPr>
              <w:pStyle w:val="ListParagraph"/>
              <w:numPr>
                <w:ilvl w:val="0"/>
                <w:numId w:val="1"/>
              </w:numPr>
            </w:pPr>
            <w:r>
              <w:t xml:space="preserve">How to promote emotional wellbeing </w:t>
            </w:r>
          </w:p>
          <w:p w14:paraId="0449E05F" w14:textId="3BE6D552" w:rsidR="1F1BFE12" w:rsidRDefault="1F1BFE12" w:rsidP="00CD6B5A"/>
        </w:tc>
      </w:tr>
      <w:tr w:rsidR="1F1BFE12" w14:paraId="4DDFF022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531D14" w14:textId="77777777" w:rsidR="1F1BFE12" w:rsidRPr="00A223D1" w:rsidRDefault="00CD6B5A" w:rsidP="00CD6B5A">
            <w:r w:rsidRPr="00A223D1">
              <w:t>To understand:</w:t>
            </w:r>
          </w:p>
          <w:p w14:paraId="45EF9E29" w14:textId="77777777" w:rsidR="00CD6B5A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 xml:space="preserve">What constitutes child abuse and where we can go for support </w:t>
            </w:r>
          </w:p>
          <w:p w14:paraId="3441629D" w14:textId="77777777" w:rsidR="002F0D04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the different aspects of abuse </w:t>
            </w:r>
          </w:p>
          <w:p w14:paraId="7B4309F4" w14:textId="77777777" w:rsidR="002F0D04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how to stay safe online </w:t>
            </w:r>
          </w:p>
          <w:p w14:paraId="2F82D741" w14:textId="77777777" w:rsidR="002F0D04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>Explore a range of mental health conditions</w:t>
            </w:r>
          </w:p>
          <w:p w14:paraId="71ACFCE1" w14:textId="32D65C75" w:rsidR="002F0D04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what self-harm is and where to go for support </w:t>
            </w:r>
          </w:p>
          <w:p w14:paraId="6C01CB5F" w14:textId="77777777" w:rsidR="002F0D04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>Define child on child abuse and what it involves</w:t>
            </w:r>
          </w:p>
          <w:p w14:paraId="64B54DF8" w14:textId="2E2C0074" w:rsidR="002F0D04" w:rsidRPr="00A223D1" w:rsidRDefault="002F0D04" w:rsidP="002F0D04">
            <w:pPr>
              <w:pStyle w:val="ListParagraph"/>
              <w:numPr>
                <w:ilvl w:val="0"/>
                <w:numId w:val="4"/>
              </w:numPr>
            </w:pPr>
            <w:r>
              <w:t xml:space="preserve">Explore how we can promote emotional wellbeing </w:t>
            </w:r>
          </w:p>
        </w:tc>
      </w:tr>
      <w:tr w:rsidR="1F1BFE12" w14:paraId="5E8EB3F4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Pr="00A223D1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223D1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Pr="00A223D1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DF91D" w14:textId="73217FB1" w:rsidR="1F1BFE12" w:rsidRDefault="1F1BFE12" w:rsidP="00CD6B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5995D" w14:textId="77777777" w:rsidR="00F92A13" w:rsidRDefault="00CD6B5A" w:rsidP="02D1A81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Mental health              anxiety            bipolar           depression           eating disorder           obsessive compulsive disorder                personality </w:t>
            </w:r>
          </w:p>
          <w:p w14:paraId="600CB6A7" w14:textId="77777777" w:rsidR="00F92A13" w:rsidRDefault="00F92A13" w:rsidP="02D1A81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51C2AC8" w14:textId="57C94945" w:rsidR="00CD6B5A" w:rsidRDefault="00CD6B5A" w:rsidP="02D1A81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disorder             phobia          schizophrenia                wellbeing             emotions             cognitive behavioural therapy          pressure</w:t>
            </w:r>
          </w:p>
          <w:p w14:paraId="30F3CAF0" w14:textId="77777777" w:rsidR="00F92A13" w:rsidRDefault="00F92A13" w:rsidP="02D1A81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8D0C52E" w14:textId="77777777" w:rsidR="00F92A13" w:rsidRDefault="00F92A13" w:rsidP="00F92A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792E942" w14:textId="77777777" w:rsidR="00F92A13" w:rsidRDefault="00CD6B5A" w:rsidP="00F92A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Influences             dysmorphia              social anxiety                </w:t>
            </w:r>
            <w:r w:rsidR="00F92A13">
              <w:rPr>
                <w:rFonts w:ascii="Calibri" w:eastAsia="Calibri" w:hAnsi="Calibri" w:cs="Calibri"/>
                <w:color w:val="000000" w:themeColor="text1"/>
              </w:rPr>
              <w:t>signposting              self-harm                    suicide              self-poisoning              self-</w:t>
            </w:r>
          </w:p>
          <w:p w14:paraId="4098CC15" w14:textId="77777777" w:rsidR="00F92A13" w:rsidRDefault="00F92A13" w:rsidP="00F92A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A795AFA" w14:textId="77777777" w:rsidR="00F92A13" w:rsidRDefault="00F92A13" w:rsidP="00F92A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injury            sensitivity          Samaritans           calm harm app </w:t>
            </w:r>
            <w:r w:rsidR="00CD6B5A">
              <w:rPr>
                <w:rFonts w:ascii="Calibri" w:eastAsia="Calibri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      addiction             validation             advertising               vloggers            </w:t>
            </w:r>
          </w:p>
          <w:p w14:paraId="64C8A6F8" w14:textId="77777777" w:rsidR="00F92A13" w:rsidRDefault="00F92A13" w:rsidP="00F92A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15E5DC1" w14:textId="18D04DAA" w:rsidR="7ACF446C" w:rsidRDefault="00F92A13" w:rsidP="002F0D0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youtubers               technology            blue light             LED              FOMO            echo chambers             filter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 xml:space="preserve">bubbles  </w:t>
            </w:r>
            <w:r w:rsidR="002F0D04">
              <w:rPr>
                <w:rFonts w:ascii="Calibri" w:eastAsia="Calibri" w:hAnsi="Calibri" w:cs="Calibri"/>
                <w:color w:val="000000" w:themeColor="text1"/>
              </w:rPr>
              <w:tab/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>abuse</w:t>
            </w:r>
          </w:p>
          <w:p w14:paraId="61EA2F2D" w14:textId="756FF401" w:rsidR="1F1BFE12" w:rsidRDefault="1F1BFE12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307EC9E8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0FF7C940" w:rsidR="1F1BFE12" w:rsidRDefault="00CD6B5A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00CD6B5A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377C6" w14:textId="5E31FA8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38319AA" w14:textId="3E70EC58" w:rsidR="1F1BFE12" w:rsidRDefault="00CD6B5A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B37D1" w14:textId="77777777" w:rsidR="00F92A13" w:rsidRDefault="00F92A13" w:rsidP="00F92A1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1968F40B" w14:textId="77777777" w:rsidR="00F92A13" w:rsidRDefault="00F92A13" w:rsidP="00F92A1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A66F66D" w14:textId="77777777" w:rsidR="00F92A13" w:rsidRPr="00A04DD6" w:rsidRDefault="00F92A13" w:rsidP="00F92A1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0B08A8CA" w14:textId="77777777" w:rsidR="00F92A13" w:rsidRPr="00A04DD6" w:rsidRDefault="00F92A13" w:rsidP="00F92A1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778575E" w14:textId="40EC43E7" w:rsidR="1F1BFE12" w:rsidRPr="00F92A13" w:rsidRDefault="00F92A13" w:rsidP="1F1BFE1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5CA1E98F" w14:textId="4A1BEFCD" w:rsidR="1F1BFE12" w:rsidRDefault="1F1BFE12" w:rsidP="00CD6B5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62863922" w:rsidR="00DB08EA" w:rsidRDefault="00DB08EA"/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6F966D5" w14:textId="5D7BCDB3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2</w:t>
            </w:r>
            <w:r w:rsidR="00CD6B5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Relationships and sex education </w:t>
            </w:r>
          </w:p>
        </w:tc>
      </w:tr>
      <w:tr w:rsidR="1F1BFE12" w14:paraId="5A08E529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9510B" w14:textId="77777777" w:rsidR="1F1BFE12" w:rsidRDefault="00CD6B5A" w:rsidP="02D1A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645B771F" w14:textId="2C120802" w:rsidR="00CD6B5A" w:rsidRDefault="002F0D04" w:rsidP="00CD6B5A">
            <w:pPr>
              <w:pStyle w:val="ListParagraph"/>
              <w:numPr>
                <w:ilvl w:val="0"/>
                <w:numId w:val="2"/>
              </w:numPr>
            </w:pPr>
            <w:r>
              <w:t>What is FGM</w:t>
            </w:r>
          </w:p>
          <w:p w14:paraId="4ACA00DA" w14:textId="1F920D04" w:rsidR="002F0D04" w:rsidRDefault="002F0D04" w:rsidP="00CD6B5A">
            <w:pPr>
              <w:pStyle w:val="ListParagraph"/>
              <w:numPr>
                <w:ilvl w:val="0"/>
                <w:numId w:val="2"/>
              </w:numPr>
            </w:pPr>
            <w:r>
              <w:t>What is youth produced imagery?</w:t>
            </w:r>
          </w:p>
          <w:p w14:paraId="58F7DE38" w14:textId="30EE6236" w:rsidR="002F0D04" w:rsidRDefault="002F0D04" w:rsidP="002F0D04">
            <w:pPr>
              <w:pStyle w:val="ListParagraph"/>
              <w:numPr>
                <w:ilvl w:val="0"/>
                <w:numId w:val="2"/>
              </w:numPr>
            </w:pPr>
            <w:r>
              <w:t xml:space="preserve">The dangers of pornography </w:t>
            </w:r>
          </w:p>
          <w:p w14:paraId="53BA95E5" w14:textId="154F95D1" w:rsidR="002F0D04" w:rsidRDefault="002F0D04" w:rsidP="002F0D04">
            <w:pPr>
              <w:pStyle w:val="ListParagraph"/>
              <w:numPr>
                <w:ilvl w:val="0"/>
                <w:numId w:val="2"/>
              </w:numPr>
            </w:pPr>
            <w:r>
              <w:t>What is domestic abuse and violence?</w:t>
            </w:r>
          </w:p>
          <w:p w14:paraId="2ACC34CB" w14:textId="6C9804B9" w:rsidR="002F0D04" w:rsidRDefault="002F0D04" w:rsidP="002F0D04">
            <w:pPr>
              <w:pStyle w:val="ListParagraph"/>
              <w:numPr>
                <w:ilvl w:val="0"/>
                <w:numId w:val="2"/>
              </w:numPr>
            </w:pPr>
            <w:r>
              <w:t>What is sexualisation of the media?</w:t>
            </w:r>
          </w:p>
          <w:p w14:paraId="1EFA1BA7" w14:textId="77777777" w:rsidR="002F0D04" w:rsidRDefault="002F0D04" w:rsidP="002F0D04">
            <w:pPr>
              <w:ind w:left="360"/>
            </w:pPr>
          </w:p>
          <w:p w14:paraId="527E0AC7" w14:textId="11D5B9E5" w:rsidR="00CD6B5A" w:rsidRDefault="00CD6B5A" w:rsidP="02D1A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EE9F43" w14:textId="77777777" w:rsidR="1F1BFE12" w:rsidRDefault="006E39EA" w:rsidP="02D1A8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101C89C7" w14:textId="7D00056A" w:rsidR="001A17B0" w:rsidRDefault="002F0D04" w:rsidP="006E39E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FGM is and what it involves and how it impacts on people </w:t>
            </w:r>
          </w:p>
          <w:p w14:paraId="23C72958" w14:textId="77777777" w:rsidR="002F0D04" w:rsidRDefault="002F0D04" w:rsidP="006E39E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laws around youth produced imagery and the dangers </w:t>
            </w:r>
          </w:p>
          <w:p w14:paraId="47FDCF97" w14:textId="11D75325" w:rsidR="002F0D04" w:rsidRDefault="002F0D04" w:rsidP="006E39E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mental health implications of pornography</w:t>
            </w:r>
          </w:p>
          <w:p w14:paraId="440E28DF" w14:textId="77777777" w:rsidR="002F0D04" w:rsidRDefault="002F0D04" w:rsidP="006E39E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Exploring what domestic abuse is and the different types of abusive behaviours </w:t>
            </w:r>
          </w:p>
          <w:p w14:paraId="1BEB6C5E" w14:textId="377BA796" w:rsidR="002F0D04" w:rsidRPr="006E39EA" w:rsidRDefault="002F0D04" w:rsidP="006E39E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Hoe the media sexualises people and the negative impact this can have </w:t>
            </w:r>
          </w:p>
        </w:tc>
      </w:tr>
      <w:tr w:rsidR="1F1BFE12" w14:paraId="2954266E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17178B" w14:textId="77777777" w:rsidR="1F1BFE12" w:rsidRDefault="006E39EA" w:rsidP="7ACF446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Sexual assault           rape              genitals             explicit             consent                abuse                 </w:t>
            </w:r>
          </w:p>
          <w:p w14:paraId="182D268F" w14:textId="2FED683C" w:rsidR="006E39EA" w:rsidRDefault="006E39EA" w:rsidP="7ACF446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Referral centre            revenge porn              extreme porn              sexting               child pornography              illegal             sexual excitement            stimulation             social media influencers                  sexualisation        mental health             body image </w:t>
            </w:r>
            <w:r w:rsidR="001A17B0">
              <w:rPr>
                <w:rFonts w:ascii="Calibri" w:eastAsia="Calibri" w:hAnsi="Calibri" w:cs="Calibri"/>
                <w:color w:val="000000" w:themeColor="text1"/>
              </w:rPr>
              <w:t xml:space="preserve">             marriage          divorce                  love             companionship                    cohabitation               civil partnership             culture            human rights              </w:t>
            </w:r>
          </w:p>
        </w:tc>
      </w:tr>
      <w:tr w:rsidR="1F1BFE12" w14:paraId="6C11A90A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04BDEBF8" w:rsidR="1F1BFE12" w:rsidRDefault="00CD6B5A" w:rsidP="00CD6B5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02D1A817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A1A0A8F" w14:textId="5FC46E86" w:rsidR="1F1BFE12" w:rsidRDefault="00CD6B5A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  <w:p w14:paraId="7837E3B3" w14:textId="32817CC9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5873F4A" w14:textId="0D642C9B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607EC07" w14:textId="6BC951D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7E03AE1" w14:textId="7FD40953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866E1C7" w14:textId="642FBF5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0B6910E" w14:textId="0DD0F754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E330E7" w14:textId="77777777" w:rsidR="001A17B0" w:rsidRDefault="001A17B0" w:rsidP="001A17B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0AD7F001" w14:textId="77777777" w:rsidR="001A17B0" w:rsidRDefault="001A17B0" w:rsidP="001A17B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91F00ED" w14:textId="77777777" w:rsidR="001A17B0" w:rsidRPr="00A04DD6" w:rsidRDefault="001A17B0" w:rsidP="001A17B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55733E2B" w14:textId="77777777" w:rsidR="001A17B0" w:rsidRPr="00A04DD6" w:rsidRDefault="001A17B0" w:rsidP="001A17B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124C8B2" w14:textId="77777777" w:rsidR="001A17B0" w:rsidRPr="00F92A13" w:rsidRDefault="001A17B0" w:rsidP="001A17B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F39244" w14:textId="24AD138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D2CDD65" w14:textId="2FAD516E" w:rsidR="00DB08EA" w:rsidRDefault="00DB08EA" w:rsidP="002F0D04">
      <w:bookmarkStart w:id="0" w:name="_GoBack"/>
      <w:bookmarkEnd w:id="0"/>
    </w:p>
    <w:sectPr w:rsidR="00DB08EA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D1C0FD" w16cex:dateUtc="2022-06-29T13:18:11.9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711D" w14:textId="77777777" w:rsidR="0091337E" w:rsidRDefault="0091337E">
      <w:pPr>
        <w:spacing w:after="0" w:line="240" w:lineRule="auto"/>
      </w:pPr>
      <w:r>
        <w:separator/>
      </w:r>
    </w:p>
  </w:endnote>
  <w:endnote w:type="continuationSeparator" w:id="0">
    <w:p w14:paraId="70FCFF94" w14:textId="77777777" w:rsidR="0091337E" w:rsidRDefault="0091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F6F9F0" w14:paraId="30D21DFD" w14:textId="77777777" w:rsidTr="6BF6F9F0">
      <w:tc>
        <w:tcPr>
          <w:tcW w:w="4650" w:type="dxa"/>
        </w:tcPr>
        <w:p w14:paraId="379F3C8F" w14:textId="17CB4221" w:rsidR="6BF6F9F0" w:rsidRDefault="6BF6F9F0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6BF6F9F0" w:rsidRDefault="6BF6F9F0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6BF6F9F0" w:rsidRDefault="6BF6F9F0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6BF6F9F0" w:rsidRDefault="6BF6F9F0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B74D" w14:textId="77777777" w:rsidR="0091337E" w:rsidRDefault="0091337E">
      <w:pPr>
        <w:spacing w:after="0" w:line="240" w:lineRule="auto"/>
      </w:pPr>
      <w:r>
        <w:separator/>
      </w:r>
    </w:p>
  </w:footnote>
  <w:footnote w:type="continuationSeparator" w:id="0">
    <w:p w14:paraId="1C16F92A" w14:textId="77777777" w:rsidR="0091337E" w:rsidRDefault="0091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6BF6F9F0" w14:paraId="51FA9C33" w14:textId="77777777" w:rsidTr="02D1A817">
      <w:tc>
        <w:tcPr>
          <w:tcW w:w="7065" w:type="dxa"/>
        </w:tcPr>
        <w:p w14:paraId="7ECE50CD" w14:textId="3F2D8153" w:rsidR="6BF6F9F0" w:rsidRDefault="02D1A817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02D1A817">
            <w:rPr>
              <w:b/>
              <w:bCs/>
              <w:sz w:val="28"/>
              <w:szCs w:val="28"/>
              <w:u w:val="single"/>
            </w:rPr>
            <w:t xml:space="preserve">Year 10 PSHE </w:t>
          </w:r>
        </w:p>
        <w:p w14:paraId="04CAAC87" w14:textId="37EA58CD" w:rsidR="6BF6F9F0" w:rsidRDefault="6BF6F9F0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6BF6F9F0" w:rsidRDefault="6BF6F9F0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6BF6F9F0" w:rsidRDefault="6BF6F9F0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6BF6F9F0" w:rsidRDefault="6BF6F9F0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6925"/>
    <w:multiLevelType w:val="hybridMultilevel"/>
    <w:tmpl w:val="F714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B01"/>
    <w:multiLevelType w:val="hybridMultilevel"/>
    <w:tmpl w:val="9B84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693"/>
    <w:multiLevelType w:val="hybridMultilevel"/>
    <w:tmpl w:val="00BA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3DC"/>
    <w:multiLevelType w:val="hybridMultilevel"/>
    <w:tmpl w:val="7C76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A7566"/>
    <w:multiLevelType w:val="hybridMultilevel"/>
    <w:tmpl w:val="1106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72F"/>
    <w:multiLevelType w:val="hybridMultilevel"/>
    <w:tmpl w:val="014C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1A17B0"/>
    <w:rsid w:val="002F0D04"/>
    <w:rsid w:val="003D3954"/>
    <w:rsid w:val="005805B3"/>
    <w:rsid w:val="006E39EA"/>
    <w:rsid w:val="0073CEF8"/>
    <w:rsid w:val="007B645E"/>
    <w:rsid w:val="0091337E"/>
    <w:rsid w:val="009F3ED0"/>
    <w:rsid w:val="00A223D1"/>
    <w:rsid w:val="00A57C6B"/>
    <w:rsid w:val="00CD6B5A"/>
    <w:rsid w:val="00DB08EA"/>
    <w:rsid w:val="00F823A4"/>
    <w:rsid w:val="00F92A13"/>
    <w:rsid w:val="0130D40E"/>
    <w:rsid w:val="0151D5AC"/>
    <w:rsid w:val="016E8BFC"/>
    <w:rsid w:val="01CAD0B4"/>
    <w:rsid w:val="02457AED"/>
    <w:rsid w:val="02548698"/>
    <w:rsid w:val="02C4DF22"/>
    <w:rsid w:val="02D1A817"/>
    <w:rsid w:val="036E8E9B"/>
    <w:rsid w:val="03C557D9"/>
    <w:rsid w:val="04399BB6"/>
    <w:rsid w:val="04492931"/>
    <w:rsid w:val="04C597FD"/>
    <w:rsid w:val="059ECE8A"/>
    <w:rsid w:val="05D0BBEA"/>
    <w:rsid w:val="065D45EB"/>
    <w:rsid w:val="0660E6F8"/>
    <w:rsid w:val="06A62F5D"/>
    <w:rsid w:val="07057C9E"/>
    <w:rsid w:val="071D2C03"/>
    <w:rsid w:val="07633DFF"/>
    <w:rsid w:val="0780C9F3"/>
    <w:rsid w:val="0819EBF6"/>
    <w:rsid w:val="0841FFBE"/>
    <w:rsid w:val="08A14CFF"/>
    <w:rsid w:val="08AA9B4B"/>
    <w:rsid w:val="08ECD93F"/>
    <w:rsid w:val="09033589"/>
    <w:rsid w:val="09312F2A"/>
    <w:rsid w:val="09D5E299"/>
    <w:rsid w:val="09E1FE3F"/>
    <w:rsid w:val="0A466BAC"/>
    <w:rsid w:val="0AC0FFBA"/>
    <w:rsid w:val="0AE980EC"/>
    <w:rsid w:val="0AECED3A"/>
    <w:rsid w:val="0B30B70E"/>
    <w:rsid w:val="0B607823"/>
    <w:rsid w:val="0C1431BD"/>
    <w:rsid w:val="0C543B16"/>
    <w:rsid w:val="0CD474F5"/>
    <w:rsid w:val="0D67A698"/>
    <w:rsid w:val="0D9E89DE"/>
    <w:rsid w:val="0DBE12E6"/>
    <w:rsid w:val="0DF00B77"/>
    <w:rsid w:val="0EAFA218"/>
    <w:rsid w:val="0ECAA60D"/>
    <w:rsid w:val="0F278BD1"/>
    <w:rsid w:val="0F9470DD"/>
    <w:rsid w:val="0FEB2919"/>
    <w:rsid w:val="10864EED"/>
    <w:rsid w:val="108CF14A"/>
    <w:rsid w:val="10AFDD40"/>
    <w:rsid w:val="10D62AA0"/>
    <w:rsid w:val="1384B265"/>
    <w:rsid w:val="13AF81F7"/>
    <w:rsid w:val="13ED4DF2"/>
    <w:rsid w:val="1437796C"/>
    <w:rsid w:val="14506190"/>
    <w:rsid w:val="145F4CFB"/>
    <w:rsid w:val="14B8CA4C"/>
    <w:rsid w:val="14BE9A3C"/>
    <w:rsid w:val="14CDAA04"/>
    <w:rsid w:val="14EEE725"/>
    <w:rsid w:val="1508EE00"/>
    <w:rsid w:val="15FB1D5C"/>
    <w:rsid w:val="1648A2A6"/>
    <w:rsid w:val="165A6A9D"/>
    <w:rsid w:val="16A4BE61"/>
    <w:rsid w:val="16B465A1"/>
    <w:rsid w:val="1746D4A1"/>
    <w:rsid w:val="1764F52C"/>
    <w:rsid w:val="17C60BB6"/>
    <w:rsid w:val="18CE8BE0"/>
    <w:rsid w:val="19266DFC"/>
    <w:rsid w:val="19B2F7FD"/>
    <w:rsid w:val="19D3CDA7"/>
    <w:rsid w:val="19D6F7B6"/>
    <w:rsid w:val="1ACE8E7F"/>
    <w:rsid w:val="1B25941A"/>
    <w:rsid w:val="1BA92915"/>
    <w:rsid w:val="1C34F720"/>
    <w:rsid w:val="1C70AA5B"/>
    <w:rsid w:val="1CC3DC31"/>
    <w:rsid w:val="1CD861C9"/>
    <w:rsid w:val="1E74322A"/>
    <w:rsid w:val="1E866920"/>
    <w:rsid w:val="1EE0C9D7"/>
    <w:rsid w:val="1F1BFE12"/>
    <w:rsid w:val="1F26B24D"/>
    <w:rsid w:val="1F3DCD64"/>
    <w:rsid w:val="1FA84B1D"/>
    <w:rsid w:val="1FB85704"/>
    <w:rsid w:val="1FCDDF36"/>
    <w:rsid w:val="20366F30"/>
    <w:rsid w:val="2063356D"/>
    <w:rsid w:val="2096B115"/>
    <w:rsid w:val="224980D0"/>
    <w:rsid w:val="2298A478"/>
    <w:rsid w:val="2340DB2B"/>
    <w:rsid w:val="237D4A3B"/>
    <w:rsid w:val="238B2EEF"/>
    <w:rsid w:val="239AD62F"/>
    <w:rsid w:val="23D1493B"/>
    <w:rsid w:val="242D452F"/>
    <w:rsid w:val="243474D9"/>
    <w:rsid w:val="247BBC40"/>
    <w:rsid w:val="2557F8E1"/>
    <w:rsid w:val="2564A031"/>
    <w:rsid w:val="26B94E94"/>
    <w:rsid w:val="26D1A9C7"/>
    <w:rsid w:val="26EA9690"/>
    <w:rsid w:val="26F470C1"/>
    <w:rsid w:val="2750CCCF"/>
    <w:rsid w:val="27FC84B7"/>
    <w:rsid w:val="2836C76B"/>
    <w:rsid w:val="29985518"/>
    <w:rsid w:val="29BBBC4D"/>
    <w:rsid w:val="29D297CC"/>
    <w:rsid w:val="2A0A17B3"/>
    <w:rsid w:val="2A717250"/>
    <w:rsid w:val="2A886D91"/>
    <w:rsid w:val="2B6E682D"/>
    <w:rsid w:val="2BA3A6DA"/>
    <w:rsid w:val="2BBF4CDF"/>
    <w:rsid w:val="2C9A041B"/>
    <w:rsid w:val="2D0A388E"/>
    <w:rsid w:val="2D3F773B"/>
    <w:rsid w:val="2D40AFB7"/>
    <w:rsid w:val="2DDDA797"/>
    <w:rsid w:val="2DE2625C"/>
    <w:rsid w:val="2E1C530B"/>
    <w:rsid w:val="2E8C43AB"/>
    <w:rsid w:val="2EC4F510"/>
    <w:rsid w:val="2EFD391C"/>
    <w:rsid w:val="2F34E98C"/>
    <w:rsid w:val="2F74F004"/>
    <w:rsid w:val="2F772780"/>
    <w:rsid w:val="2FD672EC"/>
    <w:rsid w:val="304EF603"/>
    <w:rsid w:val="3092BE02"/>
    <w:rsid w:val="31A20637"/>
    <w:rsid w:val="31BB2E94"/>
    <w:rsid w:val="320AC621"/>
    <w:rsid w:val="322B1C53"/>
    <w:rsid w:val="3266BA5E"/>
    <w:rsid w:val="328D07BE"/>
    <w:rsid w:val="328DDBA4"/>
    <w:rsid w:val="32937F76"/>
    <w:rsid w:val="332AE65B"/>
    <w:rsid w:val="3370F857"/>
    <w:rsid w:val="3428D81F"/>
    <w:rsid w:val="347BED4F"/>
    <w:rsid w:val="34C2079B"/>
    <w:rsid w:val="353E5B96"/>
    <w:rsid w:val="35EA0A11"/>
    <w:rsid w:val="36521481"/>
    <w:rsid w:val="3665C2A1"/>
    <w:rsid w:val="3676D820"/>
    <w:rsid w:val="3726D314"/>
    <w:rsid w:val="373FFB71"/>
    <w:rsid w:val="37978CF1"/>
    <w:rsid w:val="38641F82"/>
    <w:rsid w:val="38917FC5"/>
    <w:rsid w:val="38A5BD6D"/>
    <w:rsid w:val="397D4A9A"/>
    <w:rsid w:val="3A3FEBC3"/>
    <w:rsid w:val="3AD0CCEE"/>
    <w:rsid w:val="3AD86065"/>
    <w:rsid w:val="3AEB2ED3"/>
    <w:rsid w:val="3B8D4513"/>
    <w:rsid w:val="3B91A8AA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1E86D75"/>
    <w:rsid w:val="421AA722"/>
    <w:rsid w:val="423C0C5B"/>
    <w:rsid w:val="443FCFCF"/>
    <w:rsid w:val="44E2B339"/>
    <w:rsid w:val="45B2C31A"/>
    <w:rsid w:val="45B3C034"/>
    <w:rsid w:val="45E38DB6"/>
    <w:rsid w:val="4681286F"/>
    <w:rsid w:val="474E937B"/>
    <w:rsid w:val="47777091"/>
    <w:rsid w:val="478F0557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52B3CE"/>
    <w:rsid w:val="49CC8A32"/>
    <w:rsid w:val="49DA56FD"/>
    <w:rsid w:val="49DE26CF"/>
    <w:rsid w:val="49F37F5A"/>
    <w:rsid w:val="4A4B9B9C"/>
    <w:rsid w:val="4AAEB733"/>
    <w:rsid w:val="4AD0F83B"/>
    <w:rsid w:val="4B4F5A6F"/>
    <w:rsid w:val="4BB2860D"/>
    <w:rsid w:val="4BB7D84A"/>
    <w:rsid w:val="4BBFEC13"/>
    <w:rsid w:val="4C1BAF6C"/>
    <w:rsid w:val="4DC5C285"/>
    <w:rsid w:val="4E55AF48"/>
    <w:rsid w:val="5022CB92"/>
    <w:rsid w:val="5035FBC6"/>
    <w:rsid w:val="50499881"/>
    <w:rsid w:val="504A1230"/>
    <w:rsid w:val="504BA5C7"/>
    <w:rsid w:val="51B3CF2F"/>
    <w:rsid w:val="51B62288"/>
    <w:rsid w:val="51C15932"/>
    <w:rsid w:val="532435B6"/>
    <w:rsid w:val="54350409"/>
    <w:rsid w:val="545DE11F"/>
    <w:rsid w:val="56CE7C26"/>
    <w:rsid w:val="571E9FDA"/>
    <w:rsid w:val="58BA703B"/>
    <w:rsid w:val="58E1479A"/>
    <w:rsid w:val="596A6B2F"/>
    <w:rsid w:val="59C3B5AF"/>
    <w:rsid w:val="5A061CE8"/>
    <w:rsid w:val="5A2CD976"/>
    <w:rsid w:val="5ACD22A3"/>
    <w:rsid w:val="5AD0A0FF"/>
    <w:rsid w:val="5BAB3501"/>
    <w:rsid w:val="5C83DDED"/>
    <w:rsid w:val="5CC07817"/>
    <w:rsid w:val="5D8C4DC7"/>
    <w:rsid w:val="5D943B4D"/>
    <w:rsid w:val="5E646AB5"/>
    <w:rsid w:val="5EF9575D"/>
    <w:rsid w:val="5F004A99"/>
    <w:rsid w:val="5F29B1BF"/>
    <w:rsid w:val="5F47FEF7"/>
    <w:rsid w:val="5F90B9B5"/>
    <w:rsid w:val="6040B4A9"/>
    <w:rsid w:val="607BC2F3"/>
    <w:rsid w:val="6230F81F"/>
    <w:rsid w:val="624C210A"/>
    <w:rsid w:val="62FA1B70"/>
    <w:rsid w:val="6319F8B6"/>
    <w:rsid w:val="63424706"/>
    <w:rsid w:val="63B7C74C"/>
    <w:rsid w:val="63D3BBBC"/>
    <w:rsid w:val="63E122CE"/>
    <w:rsid w:val="645FD4BA"/>
    <w:rsid w:val="647404E9"/>
    <w:rsid w:val="64A43150"/>
    <w:rsid w:val="64F59DB9"/>
    <w:rsid w:val="660E41B3"/>
    <w:rsid w:val="671E8326"/>
    <w:rsid w:val="672C3228"/>
    <w:rsid w:val="679BCB9A"/>
    <w:rsid w:val="67ABA5AB"/>
    <w:rsid w:val="68599359"/>
    <w:rsid w:val="68BB628E"/>
    <w:rsid w:val="6913CF13"/>
    <w:rsid w:val="69363B35"/>
    <w:rsid w:val="6946443B"/>
    <w:rsid w:val="69AB2403"/>
    <w:rsid w:val="69AB2E9B"/>
    <w:rsid w:val="6A9C18CB"/>
    <w:rsid w:val="6AD36C5C"/>
    <w:rsid w:val="6AE508F9"/>
    <w:rsid w:val="6BF6F9F0"/>
    <w:rsid w:val="6C24E618"/>
    <w:rsid w:val="6C6DB0DD"/>
    <w:rsid w:val="6C6DDBF7"/>
    <w:rsid w:val="6CD99BD1"/>
    <w:rsid w:val="6D5BCEFA"/>
    <w:rsid w:val="6E01BED2"/>
    <w:rsid w:val="6E2E7C0A"/>
    <w:rsid w:val="6E416278"/>
    <w:rsid w:val="6F3BEE99"/>
    <w:rsid w:val="6F3E41F2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3CDEB16"/>
    <w:rsid w:val="742FF7FD"/>
    <w:rsid w:val="74E879D5"/>
    <w:rsid w:val="74EC4DAB"/>
    <w:rsid w:val="75C46A99"/>
    <w:rsid w:val="765D00B7"/>
    <w:rsid w:val="766FAAC8"/>
    <w:rsid w:val="769D1DF3"/>
    <w:rsid w:val="774953D7"/>
    <w:rsid w:val="775818BD"/>
    <w:rsid w:val="7774FA1F"/>
    <w:rsid w:val="77B0BD93"/>
    <w:rsid w:val="77DBC2D7"/>
    <w:rsid w:val="77F9E362"/>
    <w:rsid w:val="78201A97"/>
    <w:rsid w:val="782BDBF3"/>
    <w:rsid w:val="789C640B"/>
    <w:rsid w:val="78D973DE"/>
    <w:rsid w:val="79067689"/>
    <w:rsid w:val="79131DD9"/>
    <w:rsid w:val="79BFBECE"/>
    <w:rsid w:val="79F1425E"/>
    <w:rsid w:val="7A26F995"/>
    <w:rsid w:val="7A714D59"/>
    <w:rsid w:val="7AB9CD3C"/>
    <w:rsid w:val="7ACF446C"/>
    <w:rsid w:val="7B136399"/>
    <w:rsid w:val="7C3EBECA"/>
    <w:rsid w:val="7CB663A4"/>
    <w:rsid w:val="7CF75F90"/>
    <w:rsid w:val="7D00E0AD"/>
    <w:rsid w:val="7D2ECCD5"/>
    <w:rsid w:val="7D58CA67"/>
    <w:rsid w:val="7DD9E7AC"/>
    <w:rsid w:val="7ECE521E"/>
    <w:rsid w:val="7EF49AC8"/>
    <w:rsid w:val="7F75B80D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6B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2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e3933f141b724d11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2024-06-21T13:58:00Z</dcterms:created>
  <dcterms:modified xsi:type="dcterms:W3CDTF">2024-06-21T13:58:00Z</dcterms:modified>
</cp:coreProperties>
</file>