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50" w:type="dxa"/>
        <w:tblLayout w:type="fixed"/>
        <w:tblLook w:val="0000" w:firstRow="0" w:lastRow="0" w:firstColumn="0" w:lastColumn="0" w:noHBand="0" w:noVBand="0"/>
      </w:tblPr>
      <w:tblGrid>
        <w:gridCol w:w="1290"/>
        <w:gridCol w:w="12760"/>
      </w:tblGrid>
      <w:tr w:rsidR="1F1BFE12" w14:paraId="347E769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D5BF730" w14:textId="55F8302C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Sequenced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3532834F" w14:textId="7777777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Core Theme 1</w:t>
            </w:r>
            <w:r w:rsidR="00610B5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455DD01C" w14:textId="5996D8E6" w:rsidR="00610B51" w:rsidRDefault="00610B51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Health and Wellbeing </w:t>
            </w:r>
          </w:p>
        </w:tc>
      </w:tr>
      <w:tr w:rsidR="1F1BFE12" w14:paraId="6949FD26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5C3035" w14:textId="0E21767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7F2BFAD" w14:textId="243E14B4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0E7FBC3" w14:textId="2DF68A3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60D8A87E" w14:textId="4A11B6E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8D1FD3" w14:textId="21A66D4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5502145" w14:textId="58CC5FE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AE80A" w14:textId="4EBA26B8" w:rsidR="1F1BFE12" w:rsidRDefault="1F1BFE12" w:rsidP="1F1BFE12">
            <w:r>
              <w:t>To know:</w:t>
            </w:r>
          </w:p>
          <w:p w14:paraId="28FBCA64" w14:textId="2219FD07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>What is organ and blood donation?</w:t>
            </w:r>
          </w:p>
          <w:p w14:paraId="5A0CAC50" w14:textId="031F9EE6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>What are the teenage pregnancy choices?</w:t>
            </w:r>
          </w:p>
          <w:p w14:paraId="6F1F8903" w14:textId="16A4E2CD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>Abortion laws, morals and ethics</w:t>
            </w:r>
          </w:p>
          <w:p w14:paraId="4E9D85A6" w14:textId="1780A6DB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>Testicular cancer</w:t>
            </w:r>
          </w:p>
          <w:p w14:paraId="3D8DEB3D" w14:textId="07A89671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 xml:space="preserve">Breast cancer </w:t>
            </w:r>
          </w:p>
          <w:p w14:paraId="69A02CD0" w14:textId="1E0E9297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 xml:space="preserve">Cancer screening </w:t>
            </w:r>
          </w:p>
          <w:p w14:paraId="301A769C" w14:textId="2751B894" w:rsidR="00995BAE" w:rsidRDefault="00995BAE" w:rsidP="00995BAE">
            <w:pPr>
              <w:pStyle w:val="ListParagraph"/>
              <w:numPr>
                <w:ilvl w:val="0"/>
                <w:numId w:val="7"/>
              </w:numPr>
            </w:pPr>
            <w:r>
              <w:t xml:space="preserve">Coercive relationships </w:t>
            </w:r>
          </w:p>
          <w:p w14:paraId="0449E05F" w14:textId="257195A7" w:rsidR="1F1BFE12" w:rsidRPr="000A6F22" w:rsidRDefault="1F1BFE12" w:rsidP="000A6F22">
            <w:pPr>
              <w:rPr>
                <w:highlight w:val="yellow"/>
              </w:rPr>
            </w:pPr>
          </w:p>
        </w:tc>
      </w:tr>
      <w:tr w:rsidR="1F1BFE12" w14:paraId="4DDFF02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61E4DB" w14:textId="438D102A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2A79A87" w14:textId="78399A75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6392A7B" w14:textId="0304E7F0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09E95E1B" w14:textId="5B3A2FA7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54D82C15" w14:textId="3477540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BD17055" w14:textId="36EBABE8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52546D08" w14:textId="6289C04E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16AD28BB" w14:textId="05CB2936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179616" w14:textId="77777777" w:rsidR="1F1BFE12" w:rsidRDefault="00610B51" w:rsidP="0E2834B8">
            <w:r>
              <w:t>To understand:</w:t>
            </w:r>
          </w:p>
          <w:p w14:paraId="2007C2EC" w14:textId="01197B7A" w:rsidR="00995BAE" w:rsidRDefault="00ED384D" w:rsidP="00995BAE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995BAE">
              <w:t>What organ donation involves and why it happens</w:t>
            </w:r>
          </w:p>
          <w:p w14:paraId="49A2B8BC" w14:textId="0F7E7479" w:rsidR="00995BAE" w:rsidRDefault="00995BAE" w:rsidP="00995BAE">
            <w:pPr>
              <w:pStyle w:val="ListParagraph"/>
              <w:numPr>
                <w:ilvl w:val="0"/>
                <w:numId w:val="4"/>
              </w:numPr>
            </w:pPr>
            <w:r>
              <w:t>Understanding the options available for teenage pregnancies</w:t>
            </w:r>
          </w:p>
          <w:p w14:paraId="5C449752" w14:textId="30330D57" w:rsidR="00995BAE" w:rsidRDefault="00995BAE" w:rsidP="00995BAE">
            <w:pPr>
              <w:pStyle w:val="ListParagraph"/>
              <w:numPr>
                <w:ilvl w:val="0"/>
                <w:numId w:val="4"/>
              </w:numPr>
            </w:pPr>
            <w:r>
              <w:t>Exploring the difficulties of teenage pregnancies</w:t>
            </w:r>
          </w:p>
          <w:p w14:paraId="34E1AB52" w14:textId="4500C2DC" w:rsidR="00995BAE" w:rsidRDefault="00995BAE" w:rsidP="00995BAE">
            <w:pPr>
              <w:pStyle w:val="ListParagraph"/>
              <w:numPr>
                <w:ilvl w:val="0"/>
                <w:numId w:val="4"/>
              </w:numPr>
            </w:pPr>
            <w:r>
              <w:t xml:space="preserve">Learn to how self-screen for testicular cancer </w:t>
            </w:r>
          </w:p>
          <w:p w14:paraId="64BFFB20" w14:textId="442E37EC" w:rsidR="00995BAE" w:rsidRDefault="00995BAE" w:rsidP="00995BAE">
            <w:pPr>
              <w:pStyle w:val="ListParagraph"/>
              <w:numPr>
                <w:ilvl w:val="0"/>
                <w:numId w:val="4"/>
              </w:numPr>
            </w:pPr>
            <w:r>
              <w:t>Learn how to self-examine for breast cancer</w:t>
            </w:r>
          </w:p>
          <w:p w14:paraId="2D84A936" w14:textId="666BA182" w:rsidR="00995BAE" w:rsidRDefault="00995BAE" w:rsidP="00995BAE">
            <w:pPr>
              <w:pStyle w:val="ListParagraph"/>
              <w:numPr>
                <w:ilvl w:val="0"/>
                <w:numId w:val="4"/>
              </w:numPr>
            </w:pPr>
            <w:r>
              <w:t>Identify toxic traits in relationships</w:t>
            </w:r>
          </w:p>
          <w:p w14:paraId="64B54DF8" w14:textId="0522D053" w:rsidR="00DC1FAF" w:rsidRDefault="00DC1FAF" w:rsidP="00995BAE">
            <w:pPr>
              <w:pStyle w:val="ListParagraph"/>
            </w:pPr>
          </w:p>
        </w:tc>
      </w:tr>
      <w:tr w:rsidR="1F1BFE12" w14:paraId="5E8EB3F4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7C06063E" w14:textId="09806AB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4AB238F2" w14:textId="49C56F5E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 xml:space="preserve">Tier 3 key vocabulary </w:t>
            </w:r>
          </w:p>
          <w:p w14:paraId="34D84D6E" w14:textId="08C21BA9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F1BFE12" w14:paraId="1D06BF1D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268D39" w14:textId="5F74F642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3A4A005C" w14:textId="463C2463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FADF91D" w14:textId="73217FB1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0CEB4E" w14:textId="1706CE6B" w:rsidR="00DC1FAF" w:rsidRDefault="00995BAE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  Donation     operation      </w:t>
            </w:r>
            <w:r w:rsidR="00846959">
              <w:rPr>
                <w:rFonts w:ascii="Calibri" w:eastAsia="Calibri" w:hAnsi="Calibri" w:cs="Calibri"/>
                <w:color w:val="000000" w:themeColor="text1"/>
              </w:rPr>
              <w:t xml:space="preserve">abuse           STIs          </w:t>
            </w:r>
          </w:p>
          <w:p w14:paraId="745FA910" w14:textId="77777777" w:rsidR="00DC1FAF" w:rsidRDefault="00DC1FA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C9941FF" w14:textId="77777777" w:rsidR="00DC1FAF" w:rsidRDefault="00846959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breast cancer          self-examination          malignant              tumours              cervical               smear test              ovarian cancer               </w:t>
            </w:r>
          </w:p>
          <w:p w14:paraId="58FE1742" w14:textId="77777777" w:rsidR="00DC1FAF" w:rsidRDefault="00DC1FA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7508984A" w14:textId="77777777" w:rsidR="00DC1FAF" w:rsidRDefault="00846959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prostate cancer             testicular cancer              examination            bladder             </w:t>
            </w:r>
            <w:r w:rsidR="00DC1FAF">
              <w:rPr>
                <w:rFonts w:ascii="Calibri" w:eastAsia="Calibri" w:hAnsi="Calibri" w:cs="Calibri"/>
                <w:color w:val="000000" w:themeColor="text1"/>
              </w:rPr>
              <w:t>relaxation             stress              calmness            para-</w:t>
            </w:r>
          </w:p>
          <w:p w14:paraId="28408730" w14:textId="77777777" w:rsidR="00DC1FAF" w:rsidRDefault="00DC1FA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61EA2F2D" w14:textId="65C7421F" w:rsidR="1F1BFE12" w:rsidRDefault="00DC1FAF" w:rsidP="00610B51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sympathetic             cortisol             hormones                meditation               yoga            diet </w:t>
            </w:r>
          </w:p>
        </w:tc>
      </w:tr>
      <w:tr w:rsidR="1F1BFE12" w14:paraId="307EC9E8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0B3779FA" w14:textId="4AD0965D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BBF5C60" w14:textId="16D49B2C" w:rsidR="1F1BFE12" w:rsidRDefault="00610B51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Checking for understanding </w:t>
            </w:r>
          </w:p>
        </w:tc>
      </w:tr>
      <w:tr w:rsidR="1F1BFE12" w14:paraId="57A9CE02" w14:textId="77777777" w:rsidTr="68FD3C0D">
        <w:tc>
          <w:tcPr>
            <w:tcW w:w="12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8319AA" w14:textId="5127A48A" w:rsidR="1F1BFE12" w:rsidRDefault="00610B51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Opportunities to check for understanding </w:t>
            </w:r>
          </w:p>
        </w:tc>
        <w:tc>
          <w:tcPr>
            <w:tcW w:w="127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A01822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Each lesson includes many opportunities to check for understanding. </w:t>
            </w:r>
          </w:p>
          <w:p w14:paraId="60CACF47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5F7ECB74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1E501A3A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20AEAEE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7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77E3675A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CA1E98F" w14:textId="4A1BEFCD" w:rsidR="1F1BFE12" w:rsidRDefault="1F1BFE12" w:rsidP="00610B5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808446" w14:textId="39979B46" w:rsidR="003614DC" w:rsidRDefault="000C24AB">
      <w:r>
        <w:br w:type="page"/>
      </w:r>
    </w:p>
    <w:tbl>
      <w:tblPr>
        <w:tblStyle w:val="TableGrid"/>
        <w:tblW w:w="13950" w:type="dxa"/>
        <w:tblLayout w:type="fixed"/>
        <w:tblLook w:val="0000" w:firstRow="0" w:lastRow="0" w:firstColumn="0" w:lastColumn="0" w:noHBand="0" w:noVBand="0"/>
      </w:tblPr>
      <w:tblGrid>
        <w:gridCol w:w="1305"/>
        <w:gridCol w:w="12645"/>
      </w:tblGrid>
      <w:tr w:rsidR="1F1BFE12" w14:paraId="044FEA53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2C9D5CC1" w14:textId="55F8302C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Sequenced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CC3E5"/>
          </w:tcPr>
          <w:p w14:paraId="4A9DE7B2" w14:textId="04649792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Core Theme </w:t>
            </w:r>
            <w:r w:rsidR="00995BAE">
              <w:rPr>
                <w:rFonts w:ascii="Calibri" w:eastAsia="Calibri" w:hAnsi="Calibri" w:cs="Calibri"/>
                <w:b/>
                <w:bCs/>
                <w:color w:val="000000" w:themeColor="text1"/>
              </w:rPr>
              <w:t>3</w:t>
            </w:r>
          </w:p>
          <w:p w14:paraId="06F966D5" w14:textId="17D03D71" w:rsidR="00610B51" w:rsidRDefault="00995BAE" w:rsidP="1F1BFE12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Wider world </w:t>
            </w:r>
            <w:r w:rsidR="00610B5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1F1BFE12" w14:paraId="5A08E529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52072B" w14:textId="0E21767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27B47EA3" w14:textId="243E14B4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F4D85F2" w14:textId="2DF68A3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Knowledge</w:t>
            </w:r>
          </w:p>
          <w:p w14:paraId="5EA8864D" w14:textId="4A11B6E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97A6A02" w14:textId="21A66D46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440DD6A4" w14:textId="58CC5FEF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B087B" w14:textId="40CCBCEC" w:rsidR="1F1BFE12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</w:rPr>
              <w:t>To know:</w:t>
            </w:r>
          </w:p>
          <w:p w14:paraId="3D7EACE8" w14:textId="77777777" w:rsidR="1F1BFE12" w:rsidRP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t>What are buy now pay later schemes?</w:t>
            </w:r>
          </w:p>
          <w:p w14:paraId="3FA7DF07" w14:textId="333948AE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Job opportunities </w:t>
            </w:r>
          </w:p>
          <w:p w14:paraId="1B76D738" w14:textId="77777777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How to apply for jobs </w:t>
            </w:r>
          </w:p>
          <w:p w14:paraId="2674CF29" w14:textId="77777777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CV writing </w:t>
            </w:r>
          </w:p>
          <w:p w14:paraId="17AE8FFF" w14:textId="19EE9A6E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What is a mortgage?</w:t>
            </w:r>
          </w:p>
          <w:p w14:paraId="63650458" w14:textId="43A0857E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Fairtrade and what it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includes</w:t>
            </w:r>
            <w:proofErr w:type="gramEnd"/>
          </w:p>
          <w:p w14:paraId="072D0FD5" w14:textId="63D4CA26" w:rsid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Equality and human rights </w:t>
            </w:r>
          </w:p>
          <w:p w14:paraId="527E0AC7" w14:textId="0E09D96F" w:rsidR="00995BAE" w:rsidRPr="00995BAE" w:rsidRDefault="00995BAE" w:rsidP="00995BA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 too movement </w:t>
            </w:r>
          </w:p>
        </w:tc>
      </w:tr>
      <w:tr w:rsidR="1F1BFE12" w14:paraId="6EADF6E2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FEB6E" w14:textId="438D102A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B0C1C5E" w14:textId="78399A75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9B4CEB5" w14:textId="0304E7F0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224B159" w14:textId="5B3A2FA7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Key Skills</w:t>
            </w:r>
          </w:p>
          <w:p w14:paraId="170CA895" w14:textId="3477540D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4A2F6C3A" w14:textId="36EBABE8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(minimum)</w:t>
            </w:r>
          </w:p>
          <w:p w14:paraId="7318F0B9" w14:textId="6289C04E" w:rsidR="1F1BFE12" w:rsidRDefault="1F1BFE12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(Re-visited)</w:t>
            </w:r>
          </w:p>
          <w:p w14:paraId="43C8BF41" w14:textId="05CB2936" w:rsidR="5CE818C4" w:rsidRDefault="5CE818C4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41E5C" w14:textId="77777777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To understand: </w:t>
            </w:r>
          </w:p>
          <w:p w14:paraId="7AD5621D" w14:textId="77777777" w:rsidR="00995BAE" w:rsidRDefault="004A14C0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95BAE">
              <w:rPr>
                <w:rFonts w:ascii="Calibri" w:eastAsia="Calibri" w:hAnsi="Calibri" w:cs="Calibri"/>
                <w:color w:val="000000" w:themeColor="text1"/>
              </w:rPr>
              <w:t>What the BNPL scheme offers and why people take it up</w:t>
            </w:r>
          </w:p>
          <w:p w14:paraId="5F9D7EE1" w14:textId="5F0823CC" w:rsid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 different job opportunities in Blackpool </w:t>
            </w:r>
          </w:p>
          <w:p w14:paraId="128E3C05" w14:textId="77777777" w:rsid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to complete an application form with CV and cover letter</w:t>
            </w:r>
          </w:p>
          <w:p w14:paraId="65BD0840" w14:textId="25CEA4A1" w:rsid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Understand what a mortgage is and how to apply for one </w:t>
            </w:r>
          </w:p>
          <w:p w14:paraId="4396E1E2" w14:textId="77777777" w:rsid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Understand the idea of conflict in countries </w:t>
            </w:r>
          </w:p>
          <w:p w14:paraId="6CD3361D" w14:textId="77777777" w:rsid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Identify what constitutes equality in humans </w:t>
            </w:r>
          </w:p>
          <w:p w14:paraId="1BEB6C5E" w14:textId="0AFD6BF9" w:rsidR="00D51BAC" w:rsidRPr="00995BAE" w:rsidRDefault="00995BAE" w:rsidP="00995BAE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Explore the me-too movement and what it involves </w:t>
            </w:r>
            <w:r w:rsidR="00D51BAC" w:rsidRPr="00995B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F1BFE12" w14:paraId="2954266E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51C45622" w14:textId="09806ABE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5A9C528" w14:textId="6DE6ED2C" w:rsidR="1F1BFE12" w:rsidRDefault="1F1BFE12" w:rsidP="1F1BFE12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F1BFE12">
              <w:rPr>
                <w:rFonts w:ascii="Calibri" w:eastAsia="Calibri" w:hAnsi="Calibri" w:cs="Calibri"/>
                <w:color w:val="000000" w:themeColor="text1"/>
              </w:rPr>
              <w:t>Tier 3 key vocabulary</w:t>
            </w:r>
          </w:p>
        </w:tc>
      </w:tr>
      <w:tr w:rsidR="1F1BFE12" w14:paraId="46CC267C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D6E36A" w14:textId="5F74F64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E041597" w14:textId="463C2463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5404A1" w14:textId="73217FB1" w:rsidR="1F1BFE12" w:rsidRDefault="1F1BFE12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E818C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Subject specific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26B17D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Employability               attributes                 employee                employer                self-reflection                    curriculum vitae            personal </w:t>
            </w:r>
          </w:p>
          <w:p w14:paraId="6973F355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204AE570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statement           skills          qualities          university             achievements              applications                budget               spending             </w:t>
            </w:r>
          </w:p>
          <w:p w14:paraId="7450C031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58EA1514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money               burden                  credit               debt                mortgage                agreement in principle                 rental agreement            </w:t>
            </w:r>
          </w:p>
          <w:p w14:paraId="27379515" w14:textId="77777777" w:rsidR="00995BAE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82D268F" w14:textId="1A5F00ED" w:rsidR="00D51BAC" w:rsidRDefault="00995BAE" w:rsidP="00995BA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pensions               investment      </w:t>
            </w:r>
          </w:p>
        </w:tc>
      </w:tr>
      <w:tr w:rsidR="1F1BFE12" w14:paraId="6C11A90A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730EE87D" w14:textId="4AD0965D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DD7EE"/>
          </w:tcPr>
          <w:p w14:paraId="4BBF1E25" w14:textId="33B71F7E" w:rsidR="1F1BFE12" w:rsidRDefault="00610B51" w:rsidP="00610B51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Checking for understanding</w:t>
            </w:r>
          </w:p>
        </w:tc>
      </w:tr>
      <w:tr w:rsidR="1F1BFE12" w14:paraId="572134F1" w14:textId="77777777" w:rsidTr="0E2834B8"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422" w14:textId="5E31FA82" w:rsidR="5CE818C4" w:rsidRDefault="5CE818C4" w:rsidP="5CE818C4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0B6910E" w14:textId="54F7CD51" w:rsidR="1F1BFE12" w:rsidRDefault="00610B51" w:rsidP="5CE818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Opportunities to check for understanding </w:t>
            </w:r>
          </w:p>
        </w:tc>
        <w:tc>
          <w:tcPr>
            <w:tcW w:w="126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5717A8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lastRenderedPageBreak/>
              <w:t xml:space="preserve">Each lesson includes many opportunities to check for understanding. </w:t>
            </w:r>
          </w:p>
          <w:p w14:paraId="4133779A" w14:textId="77777777" w:rsidR="00610B51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6E80144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PSHE education is different to other areas of the curriculum as the learning is so strongly related to the student’s personal identity – their attitudes, skills, experiences and influences.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The most common form of assessment is ipsative assessment where you review the beginning and then again at the end of each unit, to see which knowledge has been acquired.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Please see my training video for information on this. </w:t>
            </w:r>
          </w:p>
          <w:p w14:paraId="4295DC20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A2AA1A7" w14:textId="77777777" w:rsidR="00610B51" w:rsidRPr="00A04DD6" w:rsidRDefault="00610B51" w:rsidP="00610B51">
            <w:pPr>
              <w:spacing w:line="259" w:lineRule="auto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he Department for Education’s statutory guidance on assessment in the </w:t>
            </w:r>
            <w:hyperlink r:id="rId8" w:tgtFrame="_blank" w:history="1">
              <w:r w:rsidRPr="00A04DD6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Relationships, Sex and Health Education (p.43)</w:t>
              </w:r>
            </w:hyperlink>
            <w:r w:rsidRPr="00A04DD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does emphasise that 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“Schools should have the same high expectations of the quality of pupils’ work in these subjects as for other curriculum areas…”  </w:t>
            </w:r>
            <w:r w:rsidRPr="00A04DD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Staff are expected to give written feedback for a piece of work, each half term.</w:t>
            </w:r>
            <w:r w:rsidRPr="00A04DD6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The focus is on ensuring teachers are able to gauge progress, that teaching builds on what they already know, and that there are opportunities for ‘</w:t>
            </w:r>
            <w:r w:rsidRPr="00A04DD6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regular feedback on pupil progress’</w:t>
            </w:r>
            <w:r w:rsidRPr="00A04DD6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.</w:t>
            </w:r>
          </w:p>
          <w:p w14:paraId="208837F8" w14:textId="77777777" w:rsidR="00610B51" w:rsidRDefault="00610B51" w:rsidP="00610B5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4E3869CC" w14:textId="6B7BC7DD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0F39244" w14:textId="418C731F" w:rsidR="1F1BFE12" w:rsidRDefault="1F1BFE12" w:rsidP="1F1BFE1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FE7FE76" w14:textId="6DD0E94A" w:rsidR="003614DC" w:rsidRDefault="000C24AB" w:rsidP="5CE818C4">
      <w:r>
        <w:lastRenderedPageBreak/>
        <w:br w:type="page"/>
      </w:r>
      <w:bookmarkStart w:id="0" w:name="_GoBack"/>
      <w:bookmarkEnd w:id="0"/>
    </w:p>
    <w:sectPr w:rsidR="003614DC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D1C0FD" w16cex:dateUtc="2022-06-29T13:18:11.91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9F0C" w14:textId="77777777" w:rsidR="00AB0CFD" w:rsidRDefault="00AB0CFD">
      <w:pPr>
        <w:spacing w:after="0" w:line="240" w:lineRule="auto"/>
      </w:pPr>
      <w:r>
        <w:separator/>
      </w:r>
    </w:p>
  </w:endnote>
  <w:endnote w:type="continuationSeparator" w:id="0">
    <w:p w14:paraId="47BA8FD2" w14:textId="77777777" w:rsidR="00AB0CFD" w:rsidRDefault="00AB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0B3988A1" w14:textId="77777777" w:rsidTr="5CE818C4">
      <w:tc>
        <w:tcPr>
          <w:tcW w:w="4650" w:type="dxa"/>
        </w:tcPr>
        <w:p w14:paraId="21B0F2F8" w14:textId="03273854" w:rsidR="5CE818C4" w:rsidRDefault="5CE818C4" w:rsidP="5CE818C4">
          <w:pPr>
            <w:pStyle w:val="Header"/>
            <w:ind w:left="-115"/>
          </w:pPr>
        </w:p>
      </w:tc>
      <w:tc>
        <w:tcPr>
          <w:tcW w:w="4650" w:type="dxa"/>
        </w:tcPr>
        <w:p w14:paraId="77C6FD28" w14:textId="239B5369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89C0C0D" w14:textId="7383C2AC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52D6BB34" w14:textId="01F3ABD1" w:rsidR="5CE818C4" w:rsidRDefault="5CE818C4" w:rsidP="5CE81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7CED3" w14:textId="77777777" w:rsidR="00AB0CFD" w:rsidRDefault="00AB0CFD">
      <w:pPr>
        <w:spacing w:after="0" w:line="240" w:lineRule="auto"/>
      </w:pPr>
      <w:r>
        <w:separator/>
      </w:r>
    </w:p>
  </w:footnote>
  <w:footnote w:type="continuationSeparator" w:id="0">
    <w:p w14:paraId="50EF6E07" w14:textId="77777777" w:rsidR="00AB0CFD" w:rsidRDefault="00AB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CE818C4" w14:paraId="6FD0CF10" w14:textId="77777777" w:rsidTr="5CE818C4">
      <w:tc>
        <w:tcPr>
          <w:tcW w:w="4650" w:type="dxa"/>
        </w:tcPr>
        <w:p w14:paraId="28A421C0" w14:textId="000FB263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 xml:space="preserve">Year </w:t>
          </w:r>
          <w:r w:rsidR="000A6F22">
            <w:rPr>
              <w:b/>
              <w:bCs/>
              <w:sz w:val="28"/>
              <w:szCs w:val="28"/>
            </w:rPr>
            <w:t>11</w:t>
          </w:r>
          <w:r w:rsidRPr="5CE818C4">
            <w:rPr>
              <w:b/>
              <w:bCs/>
              <w:sz w:val="28"/>
              <w:szCs w:val="28"/>
            </w:rPr>
            <w:t xml:space="preserve"> PSHE</w:t>
          </w:r>
        </w:p>
        <w:p w14:paraId="4BB3ABE0" w14:textId="5AF1A2E8" w:rsidR="5CE818C4" w:rsidRDefault="5CE818C4" w:rsidP="5CE818C4">
          <w:pPr>
            <w:pStyle w:val="Header"/>
            <w:ind w:left="-115"/>
            <w:rPr>
              <w:b/>
              <w:bCs/>
              <w:sz w:val="28"/>
              <w:szCs w:val="28"/>
            </w:rPr>
          </w:pPr>
          <w:r w:rsidRPr="5CE818C4">
            <w:rPr>
              <w:b/>
              <w:bCs/>
              <w:sz w:val="28"/>
              <w:szCs w:val="28"/>
            </w:rPr>
            <w:t>Knowledge and Skills Mapping</w:t>
          </w:r>
        </w:p>
      </w:tc>
      <w:tc>
        <w:tcPr>
          <w:tcW w:w="4650" w:type="dxa"/>
        </w:tcPr>
        <w:p w14:paraId="7D9F7CFA" w14:textId="0095E15C" w:rsidR="5CE818C4" w:rsidRDefault="5CE818C4" w:rsidP="5CE818C4">
          <w:pPr>
            <w:pStyle w:val="Header"/>
            <w:jc w:val="center"/>
          </w:pPr>
        </w:p>
      </w:tc>
      <w:tc>
        <w:tcPr>
          <w:tcW w:w="4650" w:type="dxa"/>
        </w:tcPr>
        <w:p w14:paraId="3DEA38F0" w14:textId="7BFEC419" w:rsidR="5CE818C4" w:rsidRDefault="5CE818C4" w:rsidP="5CE818C4">
          <w:pPr>
            <w:pStyle w:val="Header"/>
            <w:ind w:right="-115"/>
            <w:jc w:val="right"/>
          </w:pPr>
        </w:p>
      </w:tc>
    </w:tr>
  </w:tbl>
  <w:p w14:paraId="01646A6A" w14:textId="0D39DD85" w:rsidR="5CE818C4" w:rsidRDefault="5CE818C4" w:rsidP="5CE81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13A8"/>
    <w:multiLevelType w:val="hybridMultilevel"/>
    <w:tmpl w:val="8956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A4D"/>
    <w:multiLevelType w:val="hybridMultilevel"/>
    <w:tmpl w:val="AC44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7EED"/>
    <w:multiLevelType w:val="hybridMultilevel"/>
    <w:tmpl w:val="3414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C45"/>
    <w:multiLevelType w:val="hybridMultilevel"/>
    <w:tmpl w:val="8A9A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F1E3D"/>
    <w:multiLevelType w:val="hybridMultilevel"/>
    <w:tmpl w:val="87A2C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02F4A"/>
    <w:multiLevelType w:val="hybridMultilevel"/>
    <w:tmpl w:val="D6A4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425A8"/>
    <w:multiLevelType w:val="hybridMultilevel"/>
    <w:tmpl w:val="C65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8CF14A"/>
    <w:rsid w:val="00034AFB"/>
    <w:rsid w:val="00056742"/>
    <w:rsid w:val="00074EBD"/>
    <w:rsid w:val="000A6F22"/>
    <w:rsid w:val="000C24AB"/>
    <w:rsid w:val="001A00E4"/>
    <w:rsid w:val="00276778"/>
    <w:rsid w:val="002F6EE3"/>
    <w:rsid w:val="00327E21"/>
    <w:rsid w:val="003614DC"/>
    <w:rsid w:val="003D3954"/>
    <w:rsid w:val="004A14C0"/>
    <w:rsid w:val="005B0C14"/>
    <w:rsid w:val="005C2E4F"/>
    <w:rsid w:val="00610B51"/>
    <w:rsid w:val="006C2CBF"/>
    <w:rsid w:val="0073CEF8"/>
    <w:rsid w:val="008062E2"/>
    <w:rsid w:val="00846959"/>
    <w:rsid w:val="009835C7"/>
    <w:rsid w:val="00995BAE"/>
    <w:rsid w:val="00AB0CFD"/>
    <w:rsid w:val="00AF1B84"/>
    <w:rsid w:val="00B011A8"/>
    <w:rsid w:val="00D51BAC"/>
    <w:rsid w:val="00DC05B3"/>
    <w:rsid w:val="00DC1FAF"/>
    <w:rsid w:val="00ED384D"/>
    <w:rsid w:val="00F11675"/>
    <w:rsid w:val="0130D40E"/>
    <w:rsid w:val="02457AED"/>
    <w:rsid w:val="02548698"/>
    <w:rsid w:val="02C4DF22"/>
    <w:rsid w:val="04399BB6"/>
    <w:rsid w:val="04815272"/>
    <w:rsid w:val="04C597FD"/>
    <w:rsid w:val="059ECE8A"/>
    <w:rsid w:val="05D0BBEA"/>
    <w:rsid w:val="065D45EB"/>
    <w:rsid w:val="071D2C03"/>
    <w:rsid w:val="07633DFF"/>
    <w:rsid w:val="0819EBF6"/>
    <w:rsid w:val="08ECD93F"/>
    <w:rsid w:val="0AC0FFBA"/>
    <w:rsid w:val="0AECED3A"/>
    <w:rsid w:val="0B30B70E"/>
    <w:rsid w:val="0C8C6457"/>
    <w:rsid w:val="0CD474F5"/>
    <w:rsid w:val="0DBE12E6"/>
    <w:rsid w:val="0E2834B8"/>
    <w:rsid w:val="0F9470DD"/>
    <w:rsid w:val="10864EED"/>
    <w:rsid w:val="108CF14A"/>
    <w:rsid w:val="10AFDD40"/>
    <w:rsid w:val="13AF81F7"/>
    <w:rsid w:val="1437796C"/>
    <w:rsid w:val="14506190"/>
    <w:rsid w:val="14B8CA4C"/>
    <w:rsid w:val="158B392F"/>
    <w:rsid w:val="1746D4A1"/>
    <w:rsid w:val="1764F52C"/>
    <w:rsid w:val="19266DFC"/>
    <w:rsid w:val="19B2F7FD"/>
    <w:rsid w:val="19D3CDA7"/>
    <w:rsid w:val="1B25941A"/>
    <w:rsid w:val="1C34F720"/>
    <w:rsid w:val="1C70AA5B"/>
    <w:rsid w:val="1CC3DC31"/>
    <w:rsid w:val="1CD861C9"/>
    <w:rsid w:val="1E74322A"/>
    <w:rsid w:val="1E866920"/>
    <w:rsid w:val="1F1BFE12"/>
    <w:rsid w:val="1FA84B1D"/>
    <w:rsid w:val="1FB85704"/>
    <w:rsid w:val="1FCDDF36"/>
    <w:rsid w:val="20366F30"/>
    <w:rsid w:val="2298A478"/>
    <w:rsid w:val="237D4A3B"/>
    <w:rsid w:val="242D452F"/>
    <w:rsid w:val="243474D9"/>
    <w:rsid w:val="247BBC40"/>
    <w:rsid w:val="26D1A9C7"/>
    <w:rsid w:val="26EA9690"/>
    <w:rsid w:val="26F470C1"/>
    <w:rsid w:val="272BF283"/>
    <w:rsid w:val="2836C76B"/>
    <w:rsid w:val="29D297CC"/>
    <w:rsid w:val="2B6E682D"/>
    <w:rsid w:val="2BFF63A6"/>
    <w:rsid w:val="2D0A388E"/>
    <w:rsid w:val="2D40AFB7"/>
    <w:rsid w:val="2D9B3407"/>
    <w:rsid w:val="2DDDA797"/>
    <w:rsid w:val="2DE2625C"/>
    <w:rsid w:val="2EC4F510"/>
    <w:rsid w:val="2EFD391C"/>
    <w:rsid w:val="2F370468"/>
    <w:rsid w:val="2F74F004"/>
    <w:rsid w:val="2F772780"/>
    <w:rsid w:val="2FD672EC"/>
    <w:rsid w:val="320AC621"/>
    <w:rsid w:val="322B1C53"/>
    <w:rsid w:val="3266BA5E"/>
    <w:rsid w:val="332AE65B"/>
    <w:rsid w:val="3370F857"/>
    <w:rsid w:val="340A758B"/>
    <w:rsid w:val="353E5B96"/>
    <w:rsid w:val="3665C2A1"/>
    <w:rsid w:val="37978CF1"/>
    <w:rsid w:val="38917FC5"/>
    <w:rsid w:val="397D4A9A"/>
    <w:rsid w:val="3A3FEBC3"/>
    <w:rsid w:val="3B8D4513"/>
    <w:rsid w:val="3CF82850"/>
    <w:rsid w:val="3E70D486"/>
    <w:rsid w:val="3FF9ED7E"/>
    <w:rsid w:val="421AA722"/>
    <w:rsid w:val="423C0C5B"/>
    <w:rsid w:val="45B2C31A"/>
    <w:rsid w:val="45B3C034"/>
    <w:rsid w:val="4681286F"/>
    <w:rsid w:val="474E937B"/>
    <w:rsid w:val="47A1D934"/>
    <w:rsid w:val="47DE75A6"/>
    <w:rsid w:val="47EB1DF1"/>
    <w:rsid w:val="4819AC50"/>
    <w:rsid w:val="486D511A"/>
    <w:rsid w:val="488886E5"/>
    <w:rsid w:val="49155E88"/>
    <w:rsid w:val="49B57CB1"/>
    <w:rsid w:val="49DE26CF"/>
    <w:rsid w:val="4A4B9B9C"/>
    <w:rsid w:val="4AAEB733"/>
    <w:rsid w:val="4AD0F83B"/>
    <w:rsid w:val="4BB2860D"/>
    <w:rsid w:val="4BB7D84A"/>
    <w:rsid w:val="4BBFEC13"/>
    <w:rsid w:val="4DC5C285"/>
    <w:rsid w:val="4E55AF48"/>
    <w:rsid w:val="5035FBC6"/>
    <w:rsid w:val="51B3CF2F"/>
    <w:rsid w:val="523DD61B"/>
    <w:rsid w:val="54350409"/>
    <w:rsid w:val="54F82F58"/>
    <w:rsid w:val="562C4F35"/>
    <w:rsid w:val="56CE7C26"/>
    <w:rsid w:val="59C3B5AF"/>
    <w:rsid w:val="5A061CE8"/>
    <w:rsid w:val="5A2CD976"/>
    <w:rsid w:val="5ABF636E"/>
    <w:rsid w:val="5AD0A0FF"/>
    <w:rsid w:val="5B6770DC"/>
    <w:rsid w:val="5C83DDED"/>
    <w:rsid w:val="5CC07817"/>
    <w:rsid w:val="5CE818C4"/>
    <w:rsid w:val="5EF69EA7"/>
    <w:rsid w:val="5EF9575D"/>
    <w:rsid w:val="5F004A99"/>
    <w:rsid w:val="5F47FEF7"/>
    <w:rsid w:val="607BC2F3"/>
    <w:rsid w:val="6230F81F"/>
    <w:rsid w:val="624C210A"/>
    <w:rsid w:val="62FA1B70"/>
    <w:rsid w:val="636147EA"/>
    <w:rsid w:val="63D3BBBC"/>
    <w:rsid w:val="64A43150"/>
    <w:rsid w:val="64F59DB9"/>
    <w:rsid w:val="671E8326"/>
    <w:rsid w:val="672C3228"/>
    <w:rsid w:val="68BB628E"/>
    <w:rsid w:val="68FD3C0D"/>
    <w:rsid w:val="6913CF13"/>
    <w:rsid w:val="6946443B"/>
    <w:rsid w:val="6A9C18CB"/>
    <w:rsid w:val="6AE508F9"/>
    <w:rsid w:val="6BB021CE"/>
    <w:rsid w:val="6C24E618"/>
    <w:rsid w:val="6C6DB0DD"/>
    <w:rsid w:val="6CD99BD1"/>
    <w:rsid w:val="6D5BCEFA"/>
    <w:rsid w:val="6E2E7C0A"/>
    <w:rsid w:val="6E416278"/>
    <w:rsid w:val="6F3BEE99"/>
    <w:rsid w:val="70554C93"/>
    <w:rsid w:val="7179033A"/>
    <w:rsid w:val="71F4C3B0"/>
    <w:rsid w:val="730851B4"/>
    <w:rsid w:val="730F815E"/>
    <w:rsid w:val="742FF7FD"/>
    <w:rsid w:val="746B2EA7"/>
    <w:rsid w:val="765D00B7"/>
    <w:rsid w:val="769D1DF3"/>
    <w:rsid w:val="775818BD"/>
    <w:rsid w:val="7774FA1F"/>
    <w:rsid w:val="77B0BD93"/>
    <w:rsid w:val="77DBC2D7"/>
    <w:rsid w:val="77F9E362"/>
    <w:rsid w:val="78D973DE"/>
    <w:rsid w:val="79F1425E"/>
    <w:rsid w:val="7AB9CD3C"/>
    <w:rsid w:val="7B136399"/>
    <w:rsid w:val="7C3EBECA"/>
    <w:rsid w:val="7C76408C"/>
    <w:rsid w:val="7CB663A4"/>
    <w:rsid w:val="7D2ECCD5"/>
    <w:rsid w:val="7D58CA67"/>
    <w:rsid w:val="7ECE521E"/>
    <w:rsid w:val="7EF49AC8"/>
    <w:rsid w:val="7FEE0466"/>
    <w:rsid w:val="7FF4F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F14A"/>
  <w15:chartTrackingRefBased/>
  <w15:docId w15:val="{369542D6-1B6C-45B7-8941-D0EE8074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0B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1090195/Relationships_Education_RSE_and_Health_Education.pdf" TargetMode="External"/><Relationship Id="rId12" Type="http://schemas.openxmlformats.org/officeDocument/2006/relationships/theme" Target="theme/theme1.xml"/><Relationship Id="Re3933f141b724d11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Hegarty</dc:creator>
  <cp:keywords/>
  <dc:description/>
  <cp:lastModifiedBy>Lesley Gregory</cp:lastModifiedBy>
  <cp:revision>2</cp:revision>
  <dcterms:created xsi:type="dcterms:W3CDTF">2024-06-21T14:08:00Z</dcterms:created>
  <dcterms:modified xsi:type="dcterms:W3CDTF">2024-06-21T14:08:00Z</dcterms:modified>
</cp:coreProperties>
</file>