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0" w:type="dxa"/>
        <w:tblLayout w:type="fixed"/>
        <w:tblLook w:val="0000" w:firstRow="0" w:lastRow="0" w:firstColumn="0" w:lastColumn="0" w:noHBand="0" w:noVBand="0"/>
      </w:tblPr>
      <w:tblGrid>
        <w:gridCol w:w="1290"/>
        <w:gridCol w:w="12760"/>
      </w:tblGrid>
      <w:tr w:rsidR="1F1BFE12" w14:paraId="347E769D" w14:textId="77777777" w:rsidTr="68FD3C0D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1D5BF730" w14:textId="55F8302C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Sequenced</w:t>
            </w:r>
          </w:p>
        </w:tc>
        <w:tc>
          <w:tcPr>
            <w:tcW w:w="1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</w:tcPr>
          <w:p w14:paraId="3532834F" w14:textId="7777777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Core Theme 1</w:t>
            </w:r>
            <w:r w:rsidR="00610B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55DD01C" w14:textId="5996D8E6" w:rsidR="00610B51" w:rsidRDefault="00610B51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Health and Wellbeing </w:t>
            </w:r>
          </w:p>
        </w:tc>
      </w:tr>
      <w:tr w:rsidR="1F1BFE12" w14:paraId="6949FD26" w14:textId="77777777" w:rsidTr="68FD3C0D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C3035" w14:textId="0E21767A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7F2BFAD" w14:textId="243E14B4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0E7FBC3" w14:textId="2DF68A3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Knowledge</w:t>
            </w:r>
          </w:p>
          <w:p w14:paraId="60D8A87E" w14:textId="4A11B6ED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D8D1FD3" w14:textId="21A66D46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55502145" w14:textId="58CC5FEF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</w:tc>
        <w:tc>
          <w:tcPr>
            <w:tcW w:w="1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2AE80A" w14:textId="4EBA26B8" w:rsidR="1F1BFE12" w:rsidRPr="003C1CF1" w:rsidRDefault="1F1BFE12" w:rsidP="1F1BFE12">
            <w:r w:rsidRPr="003C1CF1">
              <w:t>To know:</w:t>
            </w:r>
          </w:p>
          <w:p w14:paraId="10D2E8FF" w14:textId="77777777" w:rsidR="004F6309" w:rsidRPr="00000ACA" w:rsidRDefault="004F6309" w:rsidP="004F6309">
            <w:pPr>
              <w:spacing w:line="276" w:lineRule="auto"/>
              <w:rPr>
                <w:b/>
                <w:bCs/>
                <w:u w:val="single"/>
              </w:rPr>
            </w:pPr>
            <w:r w:rsidRPr="00000ACA">
              <w:rPr>
                <w:b/>
                <w:bCs/>
                <w:u w:val="single"/>
              </w:rPr>
              <w:t>1. Navigating Your New Start (Transition &amp; Resilience)</w:t>
            </w:r>
          </w:p>
          <w:p w14:paraId="064137F6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The Big Move:</w:t>
            </w:r>
            <w:r w:rsidRPr="004F6309">
              <w:t xml:space="preserve"> Transitioning to secondary school is a major life event. It is normal to feel a mix of excitement and "butterflies."</w:t>
            </w:r>
          </w:p>
          <w:p w14:paraId="0F0C8A1F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Building Resilience:</w:t>
            </w:r>
            <w:r w:rsidRPr="004F6309">
              <w:t xml:space="preserve"> This is your "bounce-back" ability. You build it by taking small risks, learning from mistakes, and not giving up when a task is hard.</w:t>
            </w:r>
          </w:p>
          <w:p w14:paraId="6F1B921D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Empathy:</w:t>
            </w:r>
            <w:r w:rsidRPr="004F6309">
              <w:t xml:space="preserve"> Understanding and sharing the feelings of others. In a new school, practicing empathy helps you make friends and reduces bullying.</w:t>
            </w:r>
          </w:p>
          <w:p w14:paraId="0FC14DFC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Support Systems:</w:t>
            </w:r>
            <w:r w:rsidRPr="004F6309">
              <w:t xml:space="preserve"> Know who to talk to (Form Tutors, Year Leaders, or older "Buddies") if you feel lost or overwhelmed.</w:t>
            </w:r>
          </w:p>
          <w:p w14:paraId="05D9824F" w14:textId="77777777" w:rsidR="004F6309" w:rsidRPr="00000ACA" w:rsidRDefault="004F6309" w:rsidP="004F6309">
            <w:pPr>
              <w:spacing w:line="276" w:lineRule="auto"/>
              <w:rPr>
                <w:b/>
                <w:bCs/>
                <w:u w:val="single"/>
              </w:rPr>
            </w:pPr>
            <w:r w:rsidRPr="00000ACA">
              <w:rPr>
                <w:b/>
                <w:bCs/>
                <w:u w:val="single"/>
              </w:rPr>
              <w:t>2. Mind Matters (Mental Health &amp; Wellbeing)</w:t>
            </w:r>
          </w:p>
          <w:p w14:paraId="0468C84D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Promoting Positivity:</w:t>
            </w:r>
            <w:r w:rsidRPr="004F6309">
              <w:t xml:space="preserve"> Positive mental health isn't about being happy 100% of the time; it’s about looking after your mind through sleep, exercise, and "digital downtime."</w:t>
            </w:r>
          </w:p>
          <w:p w14:paraId="42D8DCE8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Managing Anxiety:</w:t>
            </w:r>
            <w:r w:rsidRPr="004F6309">
              <w:t xml:space="preserve"> Anxiety is a physical "alarm" in the body. You can calm it using the </w:t>
            </w:r>
            <w:r w:rsidRPr="004F6309">
              <w:rPr>
                <w:b/>
                <w:bCs/>
              </w:rPr>
              <w:t>5-4-3-2-1 technique</w:t>
            </w:r>
            <w:r w:rsidRPr="004F6309">
              <w:t xml:space="preserve"> (identifying things you can see, hear, and feel).</w:t>
            </w:r>
          </w:p>
          <w:p w14:paraId="149F8D32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Panic Attacks:</w:t>
            </w:r>
            <w:r w:rsidRPr="004F6309">
              <w:t xml:space="preserve"> If you feel a sudden rush of intense fear, focus on </w:t>
            </w:r>
            <w:r w:rsidRPr="004F6309">
              <w:rPr>
                <w:b/>
                <w:bCs/>
              </w:rPr>
              <w:t>Box Breathing</w:t>
            </w:r>
            <w:r w:rsidRPr="004F6309">
              <w:t>:</w:t>
            </w:r>
          </w:p>
          <w:p w14:paraId="47F873A2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i/>
                <w:iCs/>
              </w:rPr>
              <w:t xml:space="preserve">Inhale for 4 seconds, </w:t>
            </w:r>
            <w:proofErr w:type="gramStart"/>
            <w:r w:rsidRPr="004F6309">
              <w:rPr>
                <w:i/>
                <w:iCs/>
              </w:rPr>
              <w:t>Hold</w:t>
            </w:r>
            <w:proofErr w:type="gramEnd"/>
            <w:r w:rsidRPr="004F6309">
              <w:rPr>
                <w:i/>
                <w:iCs/>
              </w:rPr>
              <w:t xml:space="preserve"> for 4, Exhale for 4, Hold for 4.</w:t>
            </w:r>
          </w:p>
          <w:p w14:paraId="2178D7BC" w14:textId="77777777" w:rsidR="004F6309" w:rsidRPr="00000ACA" w:rsidRDefault="004F6309" w:rsidP="004F6309">
            <w:pPr>
              <w:spacing w:line="276" w:lineRule="auto"/>
              <w:rPr>
                <w:b/>
                <w:bCs/>
                <w:u w:val="single"/>
              </w:rPr>
            </w:pPr>
            <w:r w:rsidRPr="00000ACA">
              <w:rPr>
                <w:b/>
                <w:bCs/>
                <w:u w:val="single"/>
              </w:rPr>
              <w:t>3. The Changing Body (Puberty &amp; Hygiene)</w:t>
            </w:r>
          </w:p>
          <w:p w14:paraId="33F8FE85" w14:textId="29A07AF5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 xml:space="preserve">What is </w:t>
            </w:r>
            <w:r w:rsidRPr="004F6309">
              <w:rPr>
                <w:b/>
                <w:bCs/>
              </w:rPr>
              <w:t>Puberty?</w:t>
            </w:r>
            <w:r w:rsidRPr="004F6309">
              <w:t xml:space="preserve"> The process where your body changes from a </w:t>
            </w:r>
            <w:proofErr w:type="gramStart"/>
            <w:r w:rsidRPr="004F6309">
              <w:t>child’s</w:t>
            </w:r>
            <w:proofErr w:type="gramEnd"/>
            <w:r w:rsidRPr="004F6309">
              <w:t xml:space="preserve"> to an adult’s. It involves physical growth, emotional "mood swings," and hormonal shifts.</w:t>
            </w:r>
          </w:p>
          <w:p w14:paraId="72490922" w14:textId="2D48DB4C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Staying Fresh:</w:t>
            </w:r>
            <w:r w:rsidRPr="004F6309">
              <w:t xml:space="preserve"> As your sweat glands become more active, daily washing and using deodorant become essential to manage body </w:t>
            </w:r>
            <w:r w:rsidRPr="004F6309">
              <w:t>odour</w:t>
            </w:r>
            <w:r w:rsidRPr="004F6309">
              <w:t>.</w:t>
            </w:r>
          </w:p>
          <w:p w14:paraId="76F04EDD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Oral Hygiene:</w:t>
            </w:r>
            <w:r w:rsidRPr="004F6309">
              <w:t xml:space="preserve"> Brushing twice a day and flossing prevents plaque and gum disease. Your "adult teeth" are the only ones you get—you have to protect them!</w:t>
            </w:r>
          </w:p>
          <w:p w14:paraId="7C0E7BAD" w14:textId="77777777" w:rsidR="004F6309" w:rsidRPr="00000ACA" w:rsidRDefault="004F6309" w:rsidP="004F6309">
            <w:pPr>
              <w:spacing w:line="276" w:lineRule="auto"/>
              <w:rPr>
                <w:b/>
                <w:bCs/>
                <w:u w:val="single"/>
              </w:rPr>
            </w:pPr>
            <w:r w:rsidRPr="00000ACA">
              <w:rPr>
                <w:b/>
                <w:bCs/>
                <w:u w:val="single"/>
              </w:rPr>
              <w:t>4. Menstrual Health &amp; Conditions</w:t>
            </w:r>
          </w:p>
          <w:p w14:paraId="52ABA4BE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The Cycle:</w:t>
            </w:r>
            <w:r w:rsidRPr="004F6309">
              <w:t xml:space="preserve"> Menstruation (a period) is a natural monthly cycle where the body sheds the lining of the uterus.</w:t>
            </w:r>
          </w:p>
          <w:p w14:paraId="1DDBE178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lastRenderedPageBreak/>
              <w:t>Products &amp; Hygiene:</w:t>
            </w:r>
            <w:r w:rsidRPr="004F6309">
              <w:t xml:space="preserve"> There are many options to stay comfortable, including pads, tampons, and period pants. Changing products regularly is vital for health and hygiene.</w:t>
            </w:r>
          </w:p>
          <w:p w14:paraId="17658745" w14:textId="77777777" w:rsidR="004F6309" w:rsidRPr="004F6309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4F6309">
              <w:rPr>
                <w:b/>
                <w:bCs/>
              </w:rPr>
              <w:t>Understanding PCOS:</w:t>
            </w:r>
            <w:r w:rsidRPr="004F6309">
              <w:t xml:space="preserve"> Polycystic Ovary Syndrome is a common hormonal condition that can affect a person’s period cycle and skin. It is a medical condition, not a choice, and can be managed with a doctor's help.</w:t>
            </w:r>
          </w:p>
          <w:p w14:paraId="0449E05F" w14:textId="2B557DE7" w:rsidR="004F6309" w:rsidRPr="003C1CF1" w:rsidRDefault="004F6309" w:rsidP="004F6309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</w:p>
        </w:tc>
      </w:tr>
      <w:tr w:rsidR="1F1BFE12" w14:paraId="4DDFF022" w14:textId="77777777" w:rsidTr="68FD3C0D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1E4DB" w14:textId="438D102A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2A79A87" w14:textId="78399A75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6392A7B" w14:textId="0304E7F0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9E95E1B" w14:textId="5B3A2FA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Skills</w:t>
            </w:r>
          </w:p>
          <w:p w14:paraId="54D82C15" w14:textId="3477540D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BD17055" w14:textId="36EBABE8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52546D08" w14:textId="6289C04E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  <w:p w14:paraId="16AD28BB" w14:textId="05CB2936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79616" w14:textId="77777777" w:rsidR="1F1BFE12" w:rsidRDefault="00610B51" w:rsidP="0E2834B8">
            <w:r>
              <w:t>To understand:</w:t>
            </w:r>
          </w:p>
          <w:p w14:paraId="121EC305" w14:textId="77777777" w:rsidR="004F6309" w:rsidRPr="004F6309" w:rsidRDefault="004F6309" w:rsidP="004F6309">
            <w:pPr>
              <w:pStyle w:val="ListParagraph"/>
            </w:pPr>
            <w:r w:rsidRPr="004F6309">
              <w:t xml:space="preserve">Here are the practical </w:t>
            </w:r>
            <w:r w:rsidRPr="004F6309">
              <w:rPr>
                <w:b/>
                <w:bCs/>
              </w:rPr>
              <w:t>skills</w:t>
            </w:r>
            <w:r w:rsidRPr="004F6309">
              <w:t xml:space="preserve"> students will develop throughout this unit. These focus on "doing" and "applying" the knowledge to their daily lives.</w:t>
            </w:r>
          </w:p>
          <w:p w14:paraId="412C5CF3" w14:textId="77777777" w:rsidR="004F6309" w:rsidRPr="004F6309" w:rsidRDefault="004F6309" w:rsidP="004F6309">
            <w:pPr>
              <w:pStyle w:val="ListParagraph"/>
            </w:pPr>
            <w:r w:rsidRPr="004F6309">
              <w:pict w14:anchorId="1EA3EF44">
                <v:rect id="_x0000_i1025" style="width:0;height:1.5pt" o:hralign="center" o:hrstd="t" o:hr="t" fillcolor="#a0a0a0" stroked="f"/>
              </w:pict>
            </w:r>
          </w:p>
          <w:p w14:paraId="5DF6B0B7" w14:textId="77777777" w:rsidR="004F6309" w:rsidRPr="004F6309" w:rsidRDefault="004F6309" w:rsidP="004F6309">
            <w:pPr>
              <w:pStyle w:val="ListParagraph"/>
              <w:rPr>
                <w:b/>
                <w:bCs/>
                <w:u w:val="single"/>
              </w:rPr>
            </w:pPr>
            <w:r w:rsidRPr="004F6309">
              <w:rPr>
                <w:b/>
                <w:bCs/>
                <w:u w:val="single"/>
              </w:rPr>
              <w:t>Personal &amp; Emotional Skills</w:t>
            </w:r>
          </w:p>
          <w:p w14:paraId="5BE63F89" w14:textId="77777777" w:rsidR="004F6309" w:rsidRPr="004F6309" w:rsidRDefault="004F6309" w:rsidP="004F6309">
            <w:pPr>
              <w:pStyle w:val="ListParagraph"/>
              <w:numPr>
                <w:ilvl w:val="0"/>
                <w:numId w:val="16"/>
              </w:numPr>
            </w:pPr>
            <w:r w:rsidRPr="004F6309">
              <w:rPr>
                <w:b/>
                <w:bCs/>
              </w:rPr>
              <w:t>Self-Regulation:</w:t>
            </w:r>
            <w:r w:rsidRPr="004F6309">
              <w:t xml:space="preserve"> Learning to use grounding techniques (like the </w:t>
            </w:r>
            <w:r w:rsidRPr="004F6309">
              <w:rPr>
                <w:b/>
                <w:bCs/>
              </w:rPr>
              <w:t>5-4-3-2-1 method</w:t>
            </w:r>
            <w:r w:rsidRPr="004F6309">
              <w:t>) to manage stress and stay calm during exams or social pressure.</w:t>
            </w:r>
          </w:p>
          <w:p w14:paraId="2B20498E" w14:textId="77777777" w:rsidR="004F6309" w:rsidRPr="004F6309" w:rsidRDefault="004F6309" w:rsidP="004F6309">
            <w:pPr>
              <w:pStyle w:val="ListParagraph"/>
              <w:numPr>
                <w:ilvl w:val="0"/>
                <w:numId w:val="16"/>
              </w:numPr>
            </w:pPr>
            <w:r w:rsidRPr="004F6309">
              <w:rPr>
                <w:b/>
                <w:bCs/>
              </w:rPr>
              <w:t>Resilience Building:</w:t>
            </w:r>
            <w:r w:rsidRPr="004F6309">
              <w:t xml:space="preserve"> Developing the ability to "</w:t>
            </w:r>
            <w:proofErr w:type="spellStart"/>
            <w:r w:rsidRPr="004F6309">
              <w:t>refame</w:t>
            </w:r>
            <w:proofErr w:type="spellEnd"/>
            <w:r w:rsidRPr="004F6309">
              <w:t>" a setback (like a bad grade or a lost football match) as a learning opportunity rather than a failure.</w:t>
            </w:r>
          </w:p>
          <w:p w14:paraId="10B29DD0" w14:textId="77777777" w:rsidR="004F6309" w:rsidRPr="004F6309" w:rsidRDefault="004F6309" w:rsidP="004F6309">
            <w:pPr>
              <w:pStyle w:val="ListParagraph"/>
              <w:numPr>
                <w:ilvl w:val="0"/>
                <w:numId w:val="16"/>
              </w:numPr>
            </w:pPr>
            <w:r w:rsidRPr="004F6309">
              <w:rPr>
                <w:b/>
                <w:bCs/>
              </w:rPr>
              <w:t>Time Management:</w:t>
            </w:r>
            <w:r w:rsidRPr="004F6309">
              <w:t xml:space="preserve"> Organizing a new, more complex school timetable and balancing homework with social time.</w:t>
            </w:r>
          </w:p>
          <w:p w14:paraId="2F5CE425" w14:textId="04866D1F" w:rsidR="004F6309" w:rsidRDefault="004F6309" w:rsidP="004F6309">
            <w:pPr>
              <w:pStyle w:val="ListParagraph"/>
              <w:numPr>
                <w:ilvl w:val="0"/>
                <w:numId w:val="16"/>
              </w:numPr>
            </w:pPr>
            <w:r w:rsidRPr="004F6309">
              <w:rPr>
                <w:b/>
                <w:bCs/>
              </w:rPr>
              <w:t>Seeking Support:</w:t>
            </w:r>
            <w:r w:rsidRPr="004F6309">
              <w:t xml:space="preserve"> Identifying when a problem is too big to handle alone and practicing the communication skills needed to ask an adult for help.</w:t>
            </w:r>
          </w:p>
          <w:p w14:paraId="34150286" w14:textId="77777777" w:rsidR="004F6309" w:rsidRPr="004F6309" w:rsidRDefault="004F6309" w:rsidP="004F6309">
            <w:pPr>
              <w:pStyle w:val="ListParagraph"/>
            </w:pPr>
          </w:p>
          <w:p w14:paraId="19A92008" w14:textId="77777777" w:rsidR="004F6309" w:rsidRPr="004F6309" w:rsidRDefault="004F6309" w:rsidP="004F6309">
            <w:pPr>
              <w:pStyle w:val="ListParagraph"/>
              <w:rPr>
                <w:b/>
                <w:bCs/>
                <w:u w:val="single"/>
              </w:rPr>
            </w:pPr>
            <w:r w:rsidRPr="004F6309">
              <w:rPr>
                <w:b/>
                <w:bCs/>
                <w:u w:val="single"/>
              </w:rPr>
              <w:t>Social &amp; Interpersonal Skills</w:t>
            </w:r>
          </w:p>
          <w:p w14:paraId="083E9C6A" w14:textId="77777777" w:rsidR="004F6309" w:rsidRPr="004F6309" w:rsidRDefault="004F6309" w:rsidP="004F6309">
            <w:pPr>
              <w:pStyle w:val="ListParagraph"/>
              <w:numPr>
                <w:ilvl w:val="0"/>
                <w:numId w:val="17"/>
              </w:numPr>
            </w:pPr>
            <w:r w:rsidRPr="004F6309">
              <w:rPr>
                <w:b/>
                <w:bCs/>
              </w:rPr>
              <w:t>Active Empathy:</w:t>
            </w:r>
            <w:r w:rsidRPr="004F6309">
              <w:t xml:space="preserve"> Practicing listening to others without judgment and offering support to peers who are struggling with the transition.</w:t>
            </w:r>
          </w:p>
          <w:p w14:paraId="65034940" w14:textId="77777777" w:rsidR="004F6309" w:rsidRPr="004F6309" w:rsidRDefault="004F6309" w:rsidP="004F6309">
            <w:pPr>
              <w:pStyle w:val="ListParagraph"/>
              <w:numPr>
                <w:ilvl w:val="0"/>
                <w:numId w:val="17"/>
              </w:numPr>
            </w:pPr>
            <w:r w:rsidRPr="004F6309">
              <w:rPr>
                <w:b/>
                <w:bCs/>
              </w:rPr>
              <w:t>Boundary Setting:</w:t>
            </w:r>
            <w:r w:rsidRPr="004F6309">
              <w:t xml:space="preserve"> Learning how to say "no" or step away from situations that feel uncomfortable or "unhealthy" for their mental well-being.</w:t>
            </w:r>
          </w:p>
          <w:p w14:paraId="4A1E05AC" w14:textId="250E945D" w:rsidR="004F6309" w:rsidRDefault="004F6309" w:rsidP="004F6309">
            <w:pPr>
              <w:pStyle w:val="ListParagraph"/>
              <w:numPr>
                <w:ilvl w:val="0"/>
                <w:numId w:val="17"/>
              </w:numPr>
            </w:pPr>
            <w:r w:rsidRPr="004F6309">
              <w:rPr>
                <w:b/>
                <w:bCs/>
              </w:rPr>
              <w:t>Conflict Resolution:</w:t>
            </w:r>
            <w:r w:rsidRPr="004F6309">
              <w:t xml:space="preserve"> Using "I-statements" (e.g., </w:t>
            </w:r>
            <w:r w:rsidRPr="004F6309">
              <w:rPr>
                <w:i/>
                <w:iCs/>
              </w:rPr>
              <w:t>"I feel upset when..."</w:t>
            </w:r>
            <w:r w:rsidRPr="004F6309">
              <w:t>) to solve disagreements with new friends instead of arguing.</w:t>
            </w:r>
          </w:p>
          <w:p w14:paraId="3B5E8AC7" w14:textId="77777777" w:rsidR="004F6309" w:rsidRPr="004F6309" w:rsidRDefault="004F6309" w:rsidP="004F6309">
            <w:pPr>
              <w:pStyle w:val="ListParagraph"/>
            </w:pPr>
          </w:p>
          <w:p w14:paraId="7CCC8720" w14:textId="77777777" w:rsidR="004F6309" w:rsidRPr="004F6309" w:rsidRDefault="004F6309" w:rsidP="004F6309">
            <w:pPr>
              <w:pStyle w:val="ListParagraph"/>
              <w:rPr>
                <w:b/>
                <w:bCs/>
                <w:u w:val="single"/>
              </w:rPr>
            </w:pPr>
            <w:r w:rsidRPr="004F6309">
              <w:rPr>
                <w:b/>
                <w:bCs/>
                <w:u w:val="single"/>
              </w:rPr>
              <w:t>Physical &amp; Health Skills</w:t>
            </w:r>
          </w:p>
          <w:p w14:paraId="4D68C931" w14:textId="77777777" w:rsidR="004F6309" w:rsidRPr="004F6309" w:rsidRDefault="004F6309" w:rsidP="004F6309">
            <w:pPr>
              <w:pStyle w:val="ListParagraph"/>
              <w:numPr>
                <w:ilvl w:val="0"/>
                <w:numId w:val="18"/>
              </w:numPr>
            </w:pPr>
            <w:r w:rsidRPr="004F6309">
              <w:rPr>
                <w:b/>
                <w:bCs/>
              </w:rPr>
              <w:t>Self-Care Routines:</w:t>
            </w:r>
            <w:r w:rsidRPr="004F6309">
              <w:t xml:space="preserve"> Establishing a consistent daily hygiene "habit stack" (showering, using deodorant, and skin care) to manage the physical changes of puberty.</w:t>
            </w:r>
          </w:p>
          <w:p w14:paraId="47FB2C4D" w14:textId="77777777" w:rsidR="004F6309" w:rsidRPr="004F6309" w:rsidRDefault="004F6309" w:rsidP="004F6309">
            <w:pPr>
              <w:pStyle w:val="ListParagraph"/>
              <w:numPr>
                <w:ilvl w:val="0"/>
                <w:numId w:val="18"/>
              </w:numPr>
            </w:pPr>
            <w:r w:rsidRPr="004F6309">
              <w:rPr>
                <w:b/>
                <w:bCs/>
              </w:rPr>
              <w:t>Oral Health Maintenance:</w:t>
            </w:r>
            <w:r w:rsidRPr="004F6309">
              <w:t xml:space="preserve"> Mastering effective brushing and flossing techniques to take permanent responsibility for their adult teeth.</w:t>
            </w:r>
          </w:p>
          <w:p w14:paraId="09DF551A" w14:textId="77777777" w:rsidR="004F6309" w:rsidRPr="004F6309" w:rsidRDefault="004F6309" w:rsidP="004F6309">
            <w:pPr>
              <w:pStyle w:val="ListParagraph"/>
              <w:numPr>
                <w:ilvl w:val="0"/>
                <w:numId w:val="18"/>
              </w:numPr>
            </w:pPr>
            <w:r w:rsidRPr="004F6309">
              <w:rPr>
                <w:b/>
                <w:bCs/>
              </w:rPr>
              <w:t>Menstrual Management:</w:t>
            </w:r>
            <w:r w:rsidRPr="004F6309">
              <w:t xml:space="preserve"> Gaining the confidence to choose, use, and dispose of period products hygienically and discreetly.</w:t>
            </w:r>
          </w:p>
          <w:p w14:paraId="57D072BA" w14:textId="77777777" w:rsidR="004F6309" w:rsidRPr="004F6309" w:rsidRDefault="004F6309" w:rsidP="004F6309">
            <w:pPr>
              <w:pStyle w:val="ListParagraph"/>
              <w:numPr>
                <w:ilvl w:val="0"/>
                <w:numId w:val="18"/>
              </w:numPr>
            </w:pPr>
            <w:r w:rsidRPr="004F6309">
              <w:rPr>
                <w:b/>
                <w:bCs/>
              </w:rPr>
              <w:lastRenderedPageBreak/>
              <w:t>Health Literacy:</w:t>
            </w:r>
            <w:r w:rsidRPr="004F6309">
              <w:t xml:space="preserve"> Developing the skill to describe physical symptoms (like those related to </w:t>
            </w:r>
            <w:r w:rsidRPr="004F6309">
              <w:rPr>
                <w:b/>
                <w:bCs/>
              </w:rPr>
              <w:t>PCOS</w:t>
            </w:r>
            <w:r w:rsidRPr="004F6309">
              <w:t xml:space="preserve"> or puberty) accurately to a doctor or school nurse.</w:t>
            </w:r>
          </w:p>
          <w:p w14:paraId="64B54DF8" w14:textId="5F11AE37" w:rsidR="00ED384D" w:rsidRDefault="00ED384D" w:rsidP="003C1CF1">
            <w:pPr>
              <w:pStyle w:val="ListParagraph"/>
            </w:pPr>
          </w:p>
        </w:tc>
      </w:tr>
      <w:tr w:rsidR="1F1BFE12" w14:paraId="5E8EB3F4" w14:textId="77777777" w:rsidTr="68FD3C0D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C06063E" w14:textId="09806ABE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AB238F2" w14:textId="49C56F5E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</w:rPr>
              <w:t xml:space="preserve">Tier 3 key vocabulary </w:t>
            </w:r>
          </w:p>
          <w:p w14:paraId="34D84D6E" w14:textId="08C21BA9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1D06BF1D" w14:textId="77777777" w:rsidTr="68FD3C0D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268D39" w14:textId="5F74F642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A4A005C" w14:textId="463C2463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FADF91D" w14:textId="73217FB1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Subject specific </w:t>
            </w:r>
          </w:p>
        </w:tc>
        <w:tc>
          <w:tcPr>
            <w:tcW w:w="1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ED7960" w14:textId="77777777" w:rsidR="00ED384D" w:rsidRDefault="00ED384D" w:rsidP="00610B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CD5E7E7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F63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Amygdala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>: The part of the brain responsible for the "Fight, Flight, or Freeze" response. It is the body’s "smoke detector" for anxiety.</w:t>
            </w:r>
          </w:p>
          <w:p w14:paraId="552E4C47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24F2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F63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Cortisol: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Known as the "stress hormone." It is released by the body during a panic attack or period of high pressure.</w:t>
            </w:r>
          </w:p>
          <w:p w14:paraId="346339FF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BCA2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F63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Metacognition: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The ability to "think about your own thinking." (e.g., recognizing why you are feeling stressed).</w:t>
            </w:r>
          </w:p>
          <w:p w14:paraId="79B57A40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21FDC91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F63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Neuroplasticity: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The brain's ability to change and grow stronger ("bounce back") through learning and resilience.</w:t>
            </w:r>
          </w:p>
          <w:p w14:paraId="5B5D6F21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71C28DC" w14:textId="70155FEA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F63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Endocrine System: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The collection of glands that produce the hormones that regulate growth, puberty, and mood.</w:t>
            </w:r>
          </w:p>
          <w:p w14:paraId="5E583CE9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A25B14D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F630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Menstruation: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The scientific term for a period; the monthly shedding of the uterine lining (endometrium).</w:t>
            </w:r>
          </w:p>
          <w:p w14:paraId="1C8F26D6" w14:textId="77777777" w:rsidR="004F6309" w:rsidRPr="004F6309" w:rsidRDefault="004F6309" w:rsidP="003920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D1A38E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92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Sebaceous Glands: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Glands in the skin that produce oil (sebum). During puberty, these become more active and can cause acne.</w:t>
            </w:r>
          </w:p>
          <w:p w14:paraId="177C40D3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4CFA803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92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Androgens: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A group of hormones (including testosterone) that increase during puberty in all genders, leading to physical changes.</w:t>
            </w:r>
          </w:p>
          <w:p w14:paraId="7D6D27E5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8A35987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92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Follicle: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A small sac in the ovary (relevant to PCOS) or the tiny hole in the skin where hair grows.</w:t>
            </w:r>
          </w:p>
          <w:p w14:paraId="1DAE6A42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72F3420" w14:textId="77777777" w:rsidR="004F6309" w:rsidRPr="004F6309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92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Pathogen: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A bacterium, virus, or other microorganism that can cause disease (why we practice hygiene!).</w:t>
            </w:r>
          </w:p>
          <w:p w14:paraId="06B6E321" w14:textId="77777777" w:rsidR="004F6309" w:rsidRPr="004F6309" w:rsidRDefault="004F6309" w:rsidP="003920D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EA2F2D" w14:textId="313421A3" w:rsidR="1F1BFE12" w:rsidRDefault="004F6309" w:rsidP="004F630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920DF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Chronic:</w:t>
            </w:r>
            <w:r w:rsidRPr="004F6309">
              <w:rPr>
                <w:rFonts w:ascii="Calibri" w:eastAsia="Calibri" w:hAnsi="Calibri" w:cs="Calibri"/>
                <w:color w:val="000000" w:themeColor="text1"/>
              </w:rPr>
              <w:t xml:space="preserve"> A term used to describe a long-term condition (like some forms of anxiety or PCOS) that needs ongoing management.</w:t>
            </w:r>
          </w:p>
        </w:tc>
      </w:tr>
      <w:tr w:rsidR="1F1BFE12" w14:paraId="307EC9E8" w14:textId="77777777" w:rsidTr="68FD3C0D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0B3779FA" w14:textId="4AD0965D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7BBF5C60" w14:textId="16D49B2C" w:rsidR="1F1BFE12" w:rsidRDefault="00610B51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Checking for understanding </w:t>
            </w:r>
          </w:p>
        </w:tc>
      </w:tr>
      <w:tr w:rsidR="1F1BFE12" w14:paraId="57A9CE02" w14:textId="77777777" w:rsidTr="68FD3C0D"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319AA" w14:textId="5127A48A" w:rsidR="1F1BFE12" w:rsidRDefault="00610B51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Opportunities to check for understanding </w:t>
            </w:r>
          </w:p>
        </w:tc>
        <w:tc>
          <w:tcPr>
            <w:tcW w:w="1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01822" w14:textId="77777777" w:rsidR="00610B51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Each lesson includes many opportunities to check for understanding. </w:t>
            </w:r>
          </w:p>
          <w:p w14:paraId="60CACF47" w14:textId="77777777" w:rsidR="00610B51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F7ECB74" w14:textId="77777777" w:rsidR="00610B51" w:rsidRPr="00A04DD6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PSHE education is different to other areas of the curriculum as the learning is so strongly related to the student’s personal identity – their attitudes, skills, experiences and influences.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most common form of assessment is ipsative assessment where you review the beginning and then again at the end of each unit, to see which knowledge has been acquired.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Please see my training video for information on this. </w:t>
            </w:r>
          </w:p>
          <w:p w14:paraId="1E501A3A" w14:textId="77777777" w:rsidR="00610B51" w:rsidRPr="00A04DD6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20AEAEE" w14:textId="77777777" w:rsidR="00610B51" w:rsidRPr="00A04DD6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he Department for Education’s statutory guidance on assessment in the </w:t>
            </w:r>
            <w:hyperlink r:id="rId7" w:tgtFrame="_blank" w:history="1">
              <w:r w:rsidRPr="00A04DD6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Relationships, Sex and Health Education (p.43)</w:t>
              </w:r>
            </w:hyperlink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does emphasise that 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“Schools should have the same high expectations of the quality of pupils’ work in these subjects as for other curriculum areas…” 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Staff are expected to give written feedback for a piece of work, each half term.</w:t>
            </w:r>
            <w:r w:rsidRPr="00A04DD6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The focus is on ensuring teachers are able to gauge progress, that teaching builds on what they already know, and that there are opportunities for ‘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regular feedback on pupil progress’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</w:t>
            </w:r>
          </w:p>
          <w:p w14:paraId="77E3675A" w14:textId="77777777" w:rsidR="00610B51" w:rsidRDefault="00610B51" w:rsidP="00610B5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CA1E98F" w14:textId="4A1BEFCD" w:rsidR="1F1BFE12" w:rsidRDefault="1F1BFE12" w:rsidP="00610B5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2808446" w14:textId="39979B46" w:rsidR="003614DC" w:rsidRDefault="000C24AB">
      <w:r>
        <w:lastRenderedPageBreak/>
        <w:br w:type="page"/>
      </w:r>
    </w:p>
    <w:tbl>
      <w:tblPr>
        <w:tblStyle w:val="TableGrid"/>
        <w:tblW w:w="13950" w:type="dxa"/>
        <w:tblLayout w:type="fixed"/>
        <w:tblLook w:val="0000" w:firstRow="0" w:lastRow="0" w:firstColumn="0" w:lastColumn="0" w:noHBand="0" w:noVBand="0"/>
      </w:tblPr>
      <w:tblGrid>
        <w:gridCol w:w="1305"/>
        <w:gridCol w:w="12645"/>
      </w:tblGrid>
      <w:tr w:rsidR="1F1BFE12" w14:paraId="044FEA53" w14:textId="77777777" w:rsidTr="0E2834B8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3E5"/>
          </w:tcPr>
          <w:p w14:paraId="2C9D5CC1" w14:textId="55F8302C" w:rsidR="1F1BFE12" w:rsidRDefault="1F1BFE12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E818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Sequenced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3E5"/>
          </w:tcPr>
          <w:p w14:paraId="4A9DE7B2" w14:textId="77777777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Core Theme 2</w:t>
            </w:r>
          </w:p>
          <w:p w14:paraId="06F966D5" w14:textId="2F335D9A" w:rsidR="00610B51" w:rsidRDefault="00610B51" w:rsidP="1F1BFE1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Relationships </w:t>
            </w:r>
          </w:p>
        </w:tc>
      </w:tr>
      <w:tr w:rsidR="1F1BFE12" w14:paraId="5A08E529" w14:textId="77777777" w:rsidTr="0E2834B8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52072B" w14:textId="0E21767A" w:rsidR="5CE818C4" w:rsidRDefault="5CE818C4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7B47EA3" w14:textId="243E14B4" w:rsidR="5CE818C4" w:rsidRDefault="5CE818C4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F4D85F2" w14:textId="2DF68A37" w:rsidR="1F1BFE12" w:rsidRDefault="1F1BFE12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E818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Knowledge</w:t>
            </w:r>
          </w:p>
          <w:p w14:paraId="5EA8864D" w14:textId="4A11B6ED" w:rsidR="5CE818C4" w:rsidRDefault="5CE818C4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97A6A02" w14:textId="21A66D46" w:rsidR="1F1BFE12" w:rsidRDefault="1F1BFE12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E818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440DD6A4" w14:textId="58CC5FEF" w:rsidR="1F1BFE12" w:rsidRDefault="1F1BFE12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E818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CB087B" w14:textId="40CCBCEC" w:rsidR="1F1BFE12" w:rsidRPr="002A5E5B" w:rsidRDefault="5CE818C4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E5B">
              <w:rPr>
                <w:rFonts w:ascii="Calibri" w:eastAsia="Calibri" w:hAnsi="Calibri" w:cs="Calibri"/>
                <w:color w:val="000000" w:themeColor="text1"/>
              </w:rPr>
              <w:t>To know:</w:t>
            </w:r>
          </w:p>
          <w:p w14:paraId="1D5B826A" w14:textId="77777777" w:rsidR="000C3FE4" w:rsidRPr="000C3FE4" w:rsidRDefault="000C3FE4" w:rsidP="000C3FE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This unit is all about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Identity, Inclusion, and Interaction.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It connects the legal and social rules of the UK directly to your life here in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Blackpool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>, helping you understand how to navigate a diverse world with respect and safety.</w:t>
            </w:r>
          </w:p>
          <w:p w14:paraId="5AA6E377" w14:textId="77777777" w:rsidR="000C3FE4" w:rsidRPr="000C3FE4" w:rsidRDefault="000C3FE4" w:rsidP="000C3FE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color w:val="000000" w:themeColor="text1"/>
              </w:rPr>
              <w:pict w14:anchorId="4A93A631">
                <v:rect id="_x0000_i1027" style="width:0;height:1.5pt" o:hralign="center" o:hrstd="t" o:hr="t" fillcolor="#a0a0a0" stroked="f"/>
              </w:pict>
            </w:r>
          </w:p>
          <w:p w14:paraId="42E2714E" w14:textId="77777777" w:rsidR="000C3FE4" w:rsidRPr="000C3FE4" w:rsidRDefault="000C3FE4" w:rsidP="000C3FE4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1. Relationships &amp; Commitment</w:t>
            </w:r>
          </w:p>
          <w:p w14:paraId="0421A03F" w14:textId="77777777" w:rsidR="000C3FE4" w:rsidRPr="000C3FE4" w:rsidRDefault="000C3FE4" w:rsidP="000C3FE4">
            <w:pPr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Healthy Connections: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Stable, committed relationships (like long-term friendships or partnerships) are key to human happiness. They provide support, reduce stress, and improve mental health.</w:t>
            </w:r>
          </w:p>
          <w:p w14:paraId="190D3B60" w14:textId="77777777" w:rsidR="000C3FE4" w:rsidRPr="000C3FE4" w:rsidRDefault="000C3FE4" w:rsidP="000C3FE4">
            <w:pPr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Legal Status: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Relationships have different legal names in the UK:</w:t>
            </w:r>
          </w:p>
          <w:p w14:paraId="2BAB84FA" w14:textId="77777777" w:rsidR="000C3FE4" w:rsidRPr="000C3FE4" w:rsidRDefault="000C3FE4" w:rsidP="000C3FE4">
            <w:pPr>
              <w:numPr>
                <w:ilvl w:val="1"/>
                <w:numId w:val="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Marriage: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A legal union between two people.</w:t>
            </w:r>
          </w:p>
          <w:p w14:paraId="6E194003" w14:textId="77777777" w:rsidR="000C3FE4" w:rsidRPr="000C3FE4" w:rsidRDefault="000C3FE4" w:rsidP="000C3FE4">
            <w:pPr>
              <w:numPr>
                <w:ilvl w:val="1"/>
                <w:numId w:val="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Civil Partnership: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A legal relationship for both same-sex and opposite-sex couples that offers similar rights to marriage.</w:t>
            </w:r>
          </w:p>
          <w:p w14:paraId="59B9A115" w14:textId="77777777" w:rsidR="000C3FE4" w:rsidRPr="000C3FE4" w:rsidRDefault="000C3FE4" w:rsidP="000C3FE4">
            <w:pPr>
              <w:numPr>
                <w:ilvl w:val="1"/>
                <w:numId w:val="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Cohabitation: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When a couple lives together in a committed relationship without being married or in a civil partnership.</w:t>
            </w:r>
          </w:p>
          <w:p w14:paraId="41659558" w14:textId="150D481E" w:rsidR="000C3FE4" w:rsidRDefault="000C3FE4" w:rsidP="000C3FE4">
            <w:pPr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Red Flags: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Identifying negative relationships is a life skill. Signs include excessive jealousy, controlling </w:t>
            </w:r>
            <w:proofErr w:type="spellStart"/>
            <w:r w:rsidRPr="000C3FE4">
              <w:rPr>
                <w:rFonts w:ascii="Calibri" w:eastAsia="Calibri" w:hAnsi="Calibri" w:cs="Calibri"/>
                <w:color w:val="000000" w:themeColor="text1"/>
              </w:rPr>
              <w:t>behavior</w:t>
            </w:r>
            <w:proofErr w:type="spellEnd"/>
            <w:r w:rsidRPr="000C3FE4">
              <w:rPr>
                <w:rFonts w:ascii="Calibri" w:eastAsia="Calibri" w:hAnsi="Calibri" w:cs="Calibri"/>
                <w:color w:val="000000" w:themeColor="text1"/>
              </w:rPr>
              <w:t>, isolation from friends, or physical/emotional harm.</w:t>
            </w:r>
          </w:p>
          <w:p w14:paraId="39946876" w14:textId="77777777" w:rsidR="00000ACA" w:rsidRPr="000C3FE4" w:rsidRDefault="00000ACA" w:rsidP="00000ACA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  <w:p w14:paraId="711F2E54" w14:textId="77777777" w:rsidR="000C3FE4" w:rsidRPr="000C3FE4" w:rsidRDefault="000C3FE4" w:rsidP="000C3FE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2.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Diversity &amp; The Law (The Equality Act 2010)</w:t>
            </w:r>
          </w:p>
          <w:p w14:paraId="544132CB" w14:textId="77777777" w:rsidR="000C3FE4" w:rsidRPr="000C3FE4" w:rsidRDefault="000C3FE4" w:rsidP="000C3FE4">
            <w:pPr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Protected Characteristics: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There are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9 characteristics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protected by UK law to prevent discrimination (e.g., age, disability, race, religion, sexual orientation, gender reassignment).</w:t>
            </w:r>
          </w:p>
          <w:p w14:paraId="64466D56" w14:textId="77777777" w:rsidR="000C3FE4" w:rsidRPr="000C3FE4" w:rsidRDefault="000C3FE4" w:rsidP="000C3FE4">
            <w:pPr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Tolerance vs. Acceptance: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Being tolerant means respecting someone’s right to be different, even if you don't share their views. We can be more tolerant by listening, asking respectful questions, and challenging our own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stereotypes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CDD630A" w14:textId="77777777" w:rsidR="000C3FE4" w:rsidRPr="000C3FE4" w:rsidRDefault="000C3FE4" w:rsidP="000C3FE4">
            <w:pPr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Hate Crime: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Any criminal offence perceived by the victim (or others) to be motivated by hostility based on a protected characteristic. In the UK, hate crimes carry much tougher legal penalties.</w:t>
            </w:r>
          </w:p>
          <w:p w14:paraId="542D7EED" w14:textId="0D784E3D" w:rsidR="000C3FE4" w:rsidRDefault="000C3FE4" w:rsidP="000C3FE4">
            <w:pPr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Blackpool Context: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Our town is a vibrant mix of cultures and backgrounds. Embracing this diversity—from the Pride celebrations to our multi-faith communities—makes Blackpool a stronger, more welcoming place for everyone.</w:t>
            </w:r>
          </w:p>
          <w:p w14:paraId="5B5E25B1" w14:textId="77777777" w:rsidR="00000ACA" w:rsidRPr="000C3FE4" w:rsidRDefault="00000ACA" w:rsidP="00000ACA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  <w:p w14:paraId="706B3385" w14:textId="77777777" w:rsidR="000C3FE4" w:rsidRPr="000C3FE4" w:rsidRDefault="000C3FE4" w:rsidP="000C3FE4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3. Understanding Identity</w:t>
            </w:r>
          </w:p>
          <w:p w14:paraId="5BA464F5" w14:textId="77777777" w:rsidR="000C3FE4" w:rsidRPr="000C3FE4" w:rsidRDefault="000C3FE4" w:rsidP="000C3FE4">
            <w:pPr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Sex vs. Gender: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*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Sex: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Usually assigned at birth based on biological features (male/female).</w:t>
            </w:r>
          </w:p>
          <w:p w14:paraId="4CC1FDB8" w14:textId="77777777" w:rsidR="000C3FE4" w:rsidRPr="000C3FE4" w:rsidRDefault="000C3FE4" w:rsidP="000C3FE4">
            <w:pPr>
              <w:numPr>
                <w:ilvl w:val="1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Gender Identity: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A person's internal sense of their own gender (e.g., man, woman, non-binary).</w:t>
            </w:r>
          </w:p>
          <w:p w14:paraId="492F5934" w14:textId="77777777" w:rsidR="000C3FE4" w:rsidRPr="000C3FE4" w:rsidRDefault="000C3FE4" w:rsidP="000C3FE4">
            <w:pPr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Sexual Orientation: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Who a person is attracted to (e.g., heterosexual, gay, lesbian, bisexual).</w:t>
            </w:r>
          </w:p>
          <w:p w14:paraId="387E062B" w14:textId="45D8E598" w:rsidR="000C3FE4" w:rsidRDefault="000C3FE4" w:rsidP="000C3FE4">
            <w:pPr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Expression: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How you show your identity to the world through your hair, clothes, hobbies, and the way you speak.</w:t>
            </w:r>
          </w:p>
          <w:p w14:paraId="2CECE072" w14:textId="77777777" w:rsidR="00000ACA" w:rsidRPr="000C3FE4" w:rsidRDefault="00000ACA" w:rsidP="00000ACA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BF7723" w14:textId="77777777" w:rsidR="000C3FE4" w:rsidRPr="000C3FE4" w:rsidRDefault="000C3FE4" w:rsidP="000C3FE4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lastRenderedPageBreak/>
              <w:t>4. Bullying &amp; The Bystander Effect</w:t>
            </w:r>
          </w:p>
          <w:p w14:paraId="2D4A598D" w14:textId="77777777" w:rsidR="000C3FE4" w:rsidRPr="000C3FE4" w:rsidRDefault="000C3FE4" w:rsidP="000C3FE4">
            <w:pPr>
              <w:numPr>
                <w:ilvl w:val="0"/>
                <w:numId w:val="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Bullying Formats: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This isn't just physical. It includes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verbal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(insults),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social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(excluding people), and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cyberbullying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(online harassment).</w:t>
            </w:r>
          </w:p>
          <w:p w14:paraId="185A35EA" w14:textId="77777777" w:rsidR="000C3FE4" w:rsidRPr="000C3FE4" w:rsidRDefault="000C3FE4" w:rsidP="000C3FE4">
            <w:pPr>
              <w:numPr>
                <w:ilvl w:val="0"/>
                <w:numId w:val="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 Bystander Effect: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This happens when people don't help a victim because they think someone else will do it.</w:t>
            </w:r>
          </w:p>
          <w:p w14:paraId="57D3149E" w14:textId="77777777" w:rsidR="000C3FE4" w:rsidRPr="000C3FE4" w:rsidRDefault="000C3FE4" w:rsidP="000C3FE4">
            <w:pPr>
              <w:numPr>
                <w:ilvl w:val="1"/>
                <w:numId w:val="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 Goal: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To move from being a "Passive Bystander" to an </w:t>
            </w: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"Upstander"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who safely reports or interrupts the bullying.</w:t>
            </w:r>
          </w:p>
          <w:p w14:paraId="57CADD98" w14:textId="77777777" w:rsidR="000C3FE4" w:rsidRPr="000C3FE4" w:rsidRDefault="000C3FE4" w:rsidP="000C3FE4">
            <w:pPr>
              <w:numPr>
                <w:ilvl w:val="0"/>
                <w:numId w:val="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Support in Blackpool: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If you are struggling, you can go to:</w:t>
            </w:r>
          </w:p>
          <w:p w14:paraId="1CA3F526" w14:textId="77777777" w:rsidR="000C3FE4" w:rsidRPr="000C3FE4" w:rsidRDefault="000C3FE4" w:rsidP="000C3FE4">
            <w:pPr>
              <w:numPr>
                <w:ilvl w:val="1"/>
                <w:numId w:val="2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C3FE4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 School:</w:t>
            </w:r>
            <w:r w:rsidRPr="000C3FE4">
              <w:rPr>
                <w:rFonts w:ascii="Calibri" w:eastAsia="Calibri" w:hAnsi="Calibri" w:cs="Calibri"/>
                <w:color w:val="000000" w:themeColor="text1"/>
              </w:rPr>
              <w:t xml:space="preserve"> Form Tutor, Head of Year, or the Safeguarding Team.</w:t>
            </w:r>
          </w:p>
          <w:p w14:paraId="527E0AC7" w14:textId="49282D4D" w:rsidR="000C3FE4" w:rsidRPr="000C3FE4" w:rsidRDefault="000C3FE4" w:rsidP="00000ACA">
            <w:pPr>
              <w:ind w:left="144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6EADF6E2" w14:textId="77777777" w:rsidTr="0E2834B8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FEB6E" w14:textId="438D102A" w:rsidR="5CE818C4" w:rsidRDefault="5CE818C4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0C1C5E" w14:textId="78399A75" w:rsidR="5CE818C4" w:rsidRDefault="5CE818C4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9B4CEB5" w14:textId="0304E7F0" w:rsidR="5CE818C4" w:rsidRDefault="5CE818C4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224B159" w14:textId="5B3A2FA7" w:rsidR="1F1BFE12" w:rsidRDefault="1F1BFE12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E818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Key Skills</w:t>
            </w:r>
          </w:p>
          <w:p w14:paraId="170CA895" w14:textId="3477540D" w:rsidR="5CE818C4" w:rsidRDefault="5CE818C4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A2F6C3A" w14:textId="36EBABE8" w:rsidR="1F1BFE12" w:rsidRDefault="1F1BFE12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E818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(minimum)</w:t>
            </w:r>
          </w:p>
          <w:p w14:paraId="7318F0B9" w14:textId="6289C04E" w:rsidR="1F1BFE12" w:rsidRDefault="1F1BFE12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E818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(Re-visited)</w:t>
            </w:r>
          </w:p>
          <w:p w14:paraId="43C8BF41" w14:textId="05CB2936" w:rsidR="5CE818C4" w:rsidRDefault="5CE818C4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D41E5C" w14:textId="77777777" w:rsidR="1F1BFE12" w:rsidRPr="002A5E5B" w:rsidRDefault="00610B51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A5E5B">
              <w:rPr>
                <w:rFonts w:ascii="Calibri" w:eastAsia="Calibri" w:hAnsi="Calibri" w:cs="Calibri"/>
                <w:color w:val="000000" w:themeColor="text1"/>
              </w:rPr>
              <w:t xml:space="preserve">To understand: </w:t>
            </w:r>
          </w:p>
          <w:p w14:paraId="1BF1A9E6" w14:textId="77777777" w:rsidR="00000ACA" w:rsidRPr="00000ACA" w:rsidRDefault="00000ACA" w:rsidP="00000ACA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Relationship &amp; Emotional Skills</w:t>
            </w:r>
          </w:p>
          <w:p w14:paraId="210FAB02" w14:textId="4A8F89A5" w:rsidR="00000ACA" w:rsidRPr="00000ACA" w:rsidRDefault="00000ACA" w:rsidP="00000ACA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"Red Flag" Detection: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Developing the critical thinking to 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analyse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a relationship (friendship or romantic) and spot signs of control, isolation, or manipulation.</w:t>
            </w:r>
          </w:p>
          <w:p w14:paraId="71202605" w14:textId="77777777" w:rsidR="00000ACA" w:rsidRPr="00000ACA" w:rsidRDefault="00000ACA" w:rsidP="00000ACA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Healthy Communication: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Practicing how to express their own needs and boundaries clearly and respectfully to others.</w:t>
            </w:r>
          </w:p>
          <w:p w14:paraId="795F73CA" w14:textId="20FFCE41" w:rsidR="00000ACA" w:rsidRDefault="00000ACA" w:rsidP="00000ACA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Happiness Mapping: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Identifying the specific 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behaviours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in a relationship—like trust, honesty, and shared interests—that contribute to their personal well-being.</w:t>
            </w:r>
          </w:p>
          <w:p w14:paraId="1098679C" w14:textId="77777777" w:rsidR="00000ACA" w:rsidRPr="00000ACA" w:rsidRDefault="00000ACA" w:rsidP="00000AC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5DEA14D3" w14:textId="77777777" w:rsidR="00000ACA" w:rsidRPr="00000ACA" w:rsidRDefault="00000ACA" w:rsidP="00000ACA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Social Justice &amp; Law Skills</w:t>
            </w:r>
          </w:p>
          <w:p w14:paraId="782DDA03" w14:textId="77777777" w:rsidR="00000ACA" w:rsidRPr="00000ACA" w:rsidRDefault="00000ACA" w:rsidP="00000ACA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Legal Literacy: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Understanding their rights and the rights of others under the </w:t>
            </w: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Equality Act 2010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, and knowing exactly what constitutes a </w:t>
            </w: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Hate Crime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in the UK.</w:t>
            </w:r>
          </w:p>
          <w:p w14:paraId="12118C7E" w14:textId="77777777" w:rsidR="00000ACA" w:rsidRPr="00000ACA" w:rsidRDefault="00000ACA" w:rsidP="00000ACA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Stereotype Challenging: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Learning how to "pause" a snap judgment and use logic to dismantle oversimplified ideas about gender, race, or orientation.</w:t>
            </w:r>
          </w:p>
          <w:p w14:paraId="46478ABA" w14:textId="41CB96E6" w:rsidR="00000ACA" w:rsidRDefault="00000ACA" w:rsidP="00000ACA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Practicing Tolerance: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Developing the ability to stay respectful and calm even when they disagree with someone else’s viewpoint or lifestyle.</w:t>
            </w:r>
          </w:p>
          <w:p w14:paraId="3A68DD7B" w14:textId="77777777" w:rsidR="00000ACA" w:rsidRPr="00000ACA" w:rsidRDefault="00000ACA" w:rsidP="00000AC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41A1C9F4" w14:textId="77777777" w:rsidR="00000ACA" w:rsidRPr="00000ACA" w:rsidRDefault="00000ACA" w:rsidP="00000ACA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Active Citizenship Skills (The "Upstander" Skillset)</w:t>
            </w:r>
          </w:p>
          <w:p w14:paraId="76CD5AF2" w14:textId="77777777" w:rsidR="00000ACA" w:rsidRPr="00000ACA" w:rsidRDefault="00000ACA" w:rsidP="00000ACA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Overcoming the Bystander Effect: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Learning the psychological "courage" to step in or report a situation when others are staying silent.</w:t>
            </w:r>
          </w:p>
          <w:p w14:paraId="3F26F6CB" w14:textId="77777777" w:rsidR="00000ACA" w:rsidRPr="00000ACA" w:rsidRDefault="00000ACA" w:rsidP="00000ACA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Safe Reporting: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Knowing the practical steps to report bullying—whether it's taking a screenshot of cyberbullying or knowing which office to walk into at school.</w:t>
            </w:r>
          </w:p>
          <w:p w14:paraId="54D68D68" w14:textId="64058F0C" w:rsidR="00000ACA" w:rsidRDefault="00000ACA" w:rsidP="00000ACA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Inclusive Language: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Mastering the use of respectful terminology when discussing sensitive topics like </w:t>
            </w: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Gender Identity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and </w:t>
            </w: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Sexual Orientation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44DB79F" w14:textId="77777777" w:rsidR="00000ACA" w:rsidRPr="00000ACA" w:rsidRDefault="00000ACA" w:rsidP="00000AC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45FBA972" w14:textId="77777777" w:rsidR="00000ACA" w:rsidRPr="00000ACA" w:rsidRDefault="00000ACA" w:rsidP="00000ACA">
            <w:pPr>
              <w:pStyle w:val="ListParagraph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lastRenderedPageBreak/>
              <w:t>Identity &amp; Self-Expression Skills</w:t>
            </w:r>
          </w:p>
          <w:p w14:paraId="62A04C02" w14:textId="70956C86" w:rsidR="00000ACA" w:rsidRPr="00000ACA" w:rsidRDefault="00000ACA" w:rsidP="00000ACA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Self-Reflection: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Analysing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their own identity—how they express it through their hobbies, style, and values—and feeling confident in that expression.</w:t>
            </w:r>
          </w:p>
          <w:p w14:paraId="3A90E183" w14:textId="77777777" w:rsidR="00000ACA" w:rsidRPr="00000ACA" w:rsidRDefault="00000ACA" w:rsidP="00000ACA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Community Awareness: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Connecting global issues (like Diversity) to their local environment in </w:t>
            </w: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Blackpool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, recognizing how their town is a "melting pot" of different identities.</w:t>
            </w:r>
          </w:p>
          <w:p w14:paraId="1BEB6C5E" w14:textId="5FE76064" w:rsidR="004A14C0" w:rsidRPr="002A5E5B" w:rsidRDefault="004A14C0" w:rsidP="00000AC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2954266E" w14:textId="77777777" w:rsidTr="0E2834B8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1C45622" w14:textId="09806ABE" w:rsidR="5CE818C4" w:rsidRDefault="5CE818C4" w:rsidP="5CE818C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5A9C528" w14:textId="6DE6ED2C" w:rsidR="1F1BFE12" w:rsidRDefault="1F1BFE12" w:rsidP="1F1BFE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F1BFE12">
              <w:rPr>
                <w:rFonts w:ascii="Calibri" w:eastAsia="Calibri" w:hAnsi="Calibri" w:cs="Calibri"/>
                <w:color w:val="000000" w:themeColor="text1"/>
              </w:rPr>
              <w:t>Tier 3 key vocabulary</w:t>
            </w:r>
          </w:p>
        </w:tc>
      </w:tr>
      <w:tr w:rsidR="1F1BFE12" w14:paraId="46CC267C" w14:textId="77777777" w:rsidTr="0E2834B8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D6E36A" w14:textId="5F74F642" w:rsidR="5CE818C4" w:rsidRDefault="5CE818C4" w:rsidP="5CE818C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E041597" w14:textId="463C2463" w:rsidR="5CE818C4" w:rsidRDefault="5CE818C4" w:rsidP="5CE818C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05404A1" w14:textId="73217FB1" w:rsidR="1F1BFE12" w:rsidRDefault="1F1BFE12" w:rsidP="5CE818C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E818C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Subject specific 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A78E7C" w14:textId="77777777" w:rsidR="002A5E5B" w:rsidRPr="00000ACA" w:rsidRDefault="002A5E5B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BD05DEC" w14:textId="28BC919A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Discrimination: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The unjust or prejudicial treatment of different categories of people, especially on the grounds of </w:t>
            </w: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protected characteristics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2A83A1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3AFED51" w14:textId="2B08AAA8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Legislation: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A law or a set of laws (e.g., The Equality Act 2010) suggested by a government and made official by parliament.</w:t>
            </w:r>
          </w:p>
          <w:p w14:paraId="0687A97B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F301A4F" w14:textId="1D7D7AE0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Civil Partnership: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A legally recognized union that provides couples with similar rights and responsibilities to marriage.</w:t>
            </w:r>
          </w:p>
          <w:p w14:paraId="71DF96C6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36E3965" w14:textId="29A81B00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Cohabitation: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The state of living together and having a sexual relationship without being married or in a civil partnership.</w:t>
            </w:r>
          </w:p>
          <w:p w14:paraId="31208639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FA7B5E1" w14:textId="47CA0D8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Prosecution: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The institution and conducting of legal proceedings against someone in respect of a criminal charge (relevant to </w:t>
            </w: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Hate </w:t>
            </w:r>
          </w:p>
          <w:p w14:paraId="1934C220" w14:textId="77777777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9049EE8" w14:textId="1807FAC0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Gender Reassignment: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The process of transitioning from one gender to another (this is a </w:t>
            </w: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protected characteristic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).</w:t>
            </w:r>
          </w:p>
          <w:p w14:paraId="052B6947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150FD3A" w14:textId="6D726DE1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Cisgender: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A term used to describe a person whose sense of personal identity and gender corresponds with their birth sex.</w:t>
            </w:r>
          </w:p>
          <w:p w14:paraId="59EE4D91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B0F76D6" w14:textId="2622A532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Non-Binary: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An umbrella term for people whose gender identity doesn’t sit comfortably with "man" or "woman."</w:t>
            </w:r>
          </w:p>
          <w:p w14:paraId="1A2829C3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B4E9E45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Stereotyping: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A generalized (and often inaccurate) belief about a particular group of people that ignores individual differences.</w:t>
            </w:r>
          </w:p>
          <w:p w14:paraId="79681F40" w14:textId="77777777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5B3BF10" w14:textId="2A83CC11" w:rsid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Diffusion of Responsibility: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The psychological phenomenon where people are less likely to take action in a crowd because they assume someone else will (the root cause of the </w:t>
            </w: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Bystander Effect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).</w:t>
            </w:r>
          </w:p>
          <w:p w14:paraId="1D387EB8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BB57E50" w14:textId="77777777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Pluralistic Ignorance: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When members of a group privately reject a norm (like bullying) but go along with it because they incorrectly assume everyone else accepts it.</w:t>
            </w:r>
          </w:p>
          <w:p w14:paraId="6CBB910F" w14:textId="047DF3D8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Harassment: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Aggressive pressure or intimidation; in legal terms, it is 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behaviour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that violates a person's dignity or creates an intimidating environment.</w:t>
            </w:r>
          </w:p>
          <w:p w14:paraId="72B8F005" w14:textId="56091CC1" w:rsidR="00000ACA" w:rsidRPr="00000ACA" w:rsidRDefault="00000ACA" w:rsidP="00000ACA">
            <w:pPr>
              <w:ind w:left="3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000AC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Prejudice: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An 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>unfavourable</w:t>
            </w:r>
            <w:r w:rsidRPr="00000ACA">
              <w:rPr>
                <w:rFonts w:ascii="Calibri" w:eastAsia="Calibri" w:hAnsi="Calibri" w:cs="Calibri"/>
                <w:color w:val="000000" w:themeColor="text1"/>
              </w:rPr>
              <w:t xml:space="preserve"> opinion or feeling formed beforehand or without knowledge, thought, or reason.</w:t>
            </w:r>
          </w:p>
          <w:p w14:paraId="182D268F" w14:textId="0A140F38" w:rsidR="1F1BFE12" w:rsidRPr="00000ACA" w:rsidRDefault="1F1BFE12" w:rsidP="00000ACA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1BFE12" w14:paraId="6C11A90A" w14:textId="77777777" w:rsidTr="0E2834B8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730EE87D" w14:textId="4AD0965D" w:rsidR="5CE818C4" w:rsidRDefault="5CE818C4" w:rsidP="5CE818C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7EE"/>
          </w:tcPr>
          <w:p w14:paraId="4BBF1E25" w14:textId="33B71F7E" w:rsidR="1F1BFE12" w:rsidRDefault="00610B51" w:rsidP="00610B5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Checking for understanding</w:t>
            </w:r>
          </w:p>
        </w:tc>
      </w:tr>
      <w:tr w:rsidR="1F1BFE12" w14:paraId="572134F1" w14:textId="77777777" w:rsidTr="0E2834B8"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6928422" w14:textId="5E31FA82" w:rsidR="5CE818C4" w:rsidRDefault="5CE818C4" w:rsidP="5CE818C4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0B6910E" w14:textId="54F7CD51" w:rsidR="1F1BFE12" w:rsidRDefault="00610B51" w:rsidP="5CE818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Opportunities to check for understanding </w:t>
            </w:r>
          </w:p>
        </w:tc>
        <w:tc>
          <w:tcPr>
            <w:tcW w:w="1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D5717A8" w14:textId="77777777" w:rsidR="00610B51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Each lesson includes many opportunities to check for understanding. </w:t>
            </w:r>
          </w:p>
          <w:p w14:paraId="4133779A" w14:textId="77777777" w:rsidR="00610B51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E801440" w14:textId="77777777" w:rsidR="00610B51" w:rsidRPr="00A04DD6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PSHE education is different to other areas of the curriculum as the learning is so strongly related to the student’s personal identity – their attitudes, skills, experiences and influences.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most common form of assessment is ipsative assessment where you review the beginning and then again at the end of each unit, to see which knowledge has been acquired.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Please see my training video for information on this. </w:t>
            </w:r>
          </w:p>
          <w:p w14:paraId="4295DC20" w14:textId="77777777" w:rsidR="00610B51" w:rsidRPr="00A04DD6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A2AA1A7" w14:textId="77777777" w:rsidR="00610B51" w:rsidRPr="00A04DD6" w:rsidRDefault="00610B51" w:rsidP="00610B51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he Department for Education’s statutory guidance on assessment in the </w:t>
            </w:r>
            <w:hyperlink r:id="rId8" w:tgtFrame="_blank" w:history="1">
              <w:r w:rsidRPr="00A04DD6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Relationships, Sex and Health Education (p.43)</w:t>
              </w:r>
            </w:hyperlink>
            <w:r w:rsidRPr="00A04DD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does emphasise that 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“Schools should have the same high expectations of the quality of pupils’ work in these subjects as for other curriculum areas…”  </w:t>
            </w:r>
            <w:r w:rsidRPr="00A04DD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Staff are expected to give written feedback for a piece of work, each half term.</w:t>
            </w:r>
            <w:r w:rsidRPr="00A04DD6">
              <w:rPr>
                <w:rFonts w:ascii="Arial" w:eastAsia="Calibri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The focus is on ensuring teachers are able to gauge progress, that teaching builds on what they already know, and that there are opportunities for ‘</w:t>
            </w:r>
            <w:r w:rsidRPr="00A04DD6">
              <w:rPr>
                <w:rFonts w:ascii="Arial" w:hAnsi="Arial" w:cs="Arial"/>
                <w:i/>
                <w:iCs/>
                <w:color w:val="222222"/>
                <w:sz w:val="20"/>
                <w:shd w:val="clear" w:color="auto" w:fill="FFFFFF"/>
              </w:rPr>
              <w:t>regular feedback on pupil progress’</w:t>
            </w:r>
            <w:r w:rsidRPr="00A04DD6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.</w:t>
            </w:r>
          </w:p>
          <w:p w14:paraId="208837F8" w14:textId="77777777" w:rsidR="00610B51" w:rsidRDefault="00610B51" w:rsidP="00610B5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E3869CC" w14:textId="6B7BC7DD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F39244" w14:textId="418C731F" w:rsidR="1F1BFE12" w:rsidRDefault="1F1BFE12" w:rsidP="1F1BFE1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E5787A5" w14:textId="3DCDE14F" w:rsidR="003614DC" w:rsidRDefault="003614DC" w:rsidP="1F1BFE12"/>
    <w:sectPr w:rsidR="003614DC">
      <w:headerReference w:type="default" r:id="rId9"/>
      <w:foot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23FE" w14:textId="77777777" w:rsidR="00276DA3" w:rsidRDefault="00276DA3">
      <w:pPr>
        <w:spacing w:after="0" w:line="240" w:lineRule="auto"/>
      </w:pPr>
      <w:r>
        <w:separator/>
      </w:r>
    </w:p>
  </w:endnote>
  <w:endnote w:type="continuationSeparator" w:id="0">
    <w:p w14:paraId="607A1308" w14:textId="77777777" w:rsidR="00276DA3" w:rsidRDefault="002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CE818C4" w14:paraId="0B3988A1" w14:textId="77777777" w:rsidTr="5CE818C4">
      <w:tc>
        <w:tcPr>
          <w:tcW w:w="4650" w:type="dxa"/>
        </w:tcPr>
        <w:p w14:paraId="21B0F2F8" w14:textId="03273854" w:rsidR="5CE818C4" w:rsidRDefault="5CE818C4" w:rsidP="5CE818C4">
          <w:pPr>
            <w:pStyle w:val="Header"/>
            <w:ind w:left="-115"/>
          </w:pPr>
        </w:p>
      </w:tc>
      <w:tc>
        <w:tcPr>
          <w:tcW w:w="4650" w:type="dxa"/>
        </w:tcPr>
        <w:p w14:paraId="77C6FD28" w14:textId="239B5369" w:rsidR="5CE818C4" w:rsidRDefault="5CE818C4" w:rsidP="5CE818C4">
          <w:pPr>
            <w:pStyle w:val="Header"/>
            <w:jc w:val="center"/>
          </w:pPr>
        </w:p>
      </w:tc>
      <w:tc>
        <w:tcPr>
          <w:tcW w:w="4650" w:type="dxa"/>
        </w:tcPr>
        <w:p w14:paraId="389C0C0D" w14:textId="7383C2AC" w:rsidR="5CE818C4" w:rsidRDefault="5CE818C4" w:rsidP="5CE818C4">
          <w:pPr>
            <w:pStyle w:val="Header"/>
            <w:ind w:right="-115"/>
            <w:jc w:val="right"/>
          </w:pPr>
        </w:p>
      </w:tc>
    </w:tr>
  </w:tbl>
  <w:p w14:paraId="52D6BB34" w14:textId="01F3ABD1" w:rsidR="5CE818C4" w:rsidRDefault="5CE818C4" w:rsidP="5CE81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43EE" w14:textId="77777777" w:rsidR="00276DA3" w:rsidRDefault="00276DA3">
      <w:pPr>
        <w:spacing w:after="0" w:line="240" w:lineRule="auto"/>
      </w:pPr>
      <w:r>
        <w:separator/>
      </w:r>
    </w:p>
  </w:footnote>
  <w:footnote w:type="continuationSeparator" w:id="0">
    <w:p w14:paraId="4871EFD1" w14:textId="77777777" w:rsidR="00276DA3" w:rsidRDefault="0027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CE818C4" w14:paraId="6FD0CF10" w14:textId="77777777" w:rsidTr="5CE818C4">
      <w:tc>
        <w:tcPr>
          <w:tcW w:w="4650" w:type="dxa"/>
        </w:tcPr>
        <w:p w14:paraId="28A421C0" w14:textId="7C410A72" w:rsidR="5CE818C4" w:rsidRDefault="5CE818C4" w:rsidP="5CE818C4">
          <w:pPr>
            <w:pStyle w:val="Header"/>
            <w:ind w:left="-115"/>
            <w:rPr>
              <w:b/>
              <w:bCs/>
              <w:sz w:val="28"/>
              <w:szCs w:val="28"/>
            </w:rPr>
          </w:pPr>
          <w:r w:rsidRPr="5CE818C4">
            <w:rPr>
              <w:b/>
              <w:bCs/>
              <w:sz w:val="28"/>
              <w:szCs w:val="28"/>
            </w:rPr>
            <w:t>Year 7 PSHE</w:t>
          </w:r>
        </w:p>
        <w:p w14:paraId="4BB3ABE0" w14:textId="5AF1A2E8" w:rsidR="5CE818C4" w:rsidRDefault="5CE818C4" w:rsidP="5CE818C4">
          <w:pPr>
            <w:pStyle w:val="Header"/>
            <w:ind w:left="-115"/>
            <w:rPr>
              <w:b/>
              <w:bCs/>
              <w:sz w:val="28"/>
              <w:szCs w:val="28"/>
            </w:rPr>
          </w:pPr>
          <w:r w:rsidRPr="5CE818C4">
            <w:rPr>
              <w:b/>
              <w:bCs/>
              <w:sz w:val="28"/>
              <w:szCs w:val="28"/>
            </w:rPr>
            <w:t>Knowledge and Skills Mapping</w:t>
          </w:r>
        </w:p>
      </w:tc>
      <w:tc>
        <w:tcPr>
          <w:tcW w:w="4650" w:type="dxa"/>
        </w:tcPr>
        <w:p w14:paraId="7D9F7CFA" w14:textId="0095E15C" w:rsidR="5CE818C4" w:rsidRDefault="5CE818C4" w:rsidP="5CE818C4">
          <w:pPr>
            <w:pStyle w:val="Header"/>
            <w:jc w:val="center"/>
          </w:pPr>
        </w:p>
      </w:tc>
      <w:tc>
        <w:tcPr>
          <w:tcW w:w="4650" w:type="dxa"/>
        </w:tcPr>
        <w:p w14:paraId="3DEA38F0" w14:textId="7BFEC419" w:rsidR="5CE818C4" w:rsidRDefault="5CE818C4" w:rsidP="5CE818C4">
          <w:pPr>
            <w:pStyle w:val="Header"/>
            <w:ind w:right="-115"/>
            <w:jc w:val="right"/>
          </w:pPr>
        </w:p>
      </w:tc>
    </w:tr>
  </w:tbl>
  <w:p w14:paraId="01646A6A" w14:textId="0D39DD85" w:rsidR="5CE818C4" w:rsidRDefault="5CE818C4" w:rsidP="5CE81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8CD"/>
    <w:multiLevelType w:val="multilevel"/>
    <w:tmpl w:val="9648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C62DE"/>
    <w:multiLevelType w:val="hybridMultilevel"/>
    <w:tmpl w:val="7A626F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101FA"/>
    <w:multiLevelType w:val="hybridMultilevel"/>
    <w:tmpl w:val="02B4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C0C3F"/>
    <w:multiLevelType w:val="hybridMultilevel"/>
    <w:tmpl w:val="DEBA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72CC5"/>
    <w:multiLevelType w:val="multilevel"/>
    <w:tmpl w:val="851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24030"/>
    <w:multiLevelType w:val="multilevel"/>
    <w:tmpl w:val="818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B13A8"/>
    <w:multiLevelType w:val="hybridMultilevel"/>
    <w:tmpl w:val="89562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B7EED"/>
    <w:multiLevelType w:val="hybridMultilevel"/>
    <w:tmpl w:val="3414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2645"/>
    <w:multiLevelType w:val="hybridMultilevel"/>
    <w:tmpl w:val="A1281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9D3C45"/>
    <w:multiLevelType w:val="hybridMultilevel"/>
    <w:tmpl w:val="E81A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77279"/>
    <w:multiLevelType w:val="multilevel"/>
    <w:tmpl w:val="C26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7D6E54"/>
    <w:multiLevelType w:val="hybridMultilevel"/>
    <w:tmpl w:val="B2B0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0EA4"/>
    <w:multiLevelType w:val="multilevel"/>
    <w:tmpl w:val="9A1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A3FDD"/>
    <w:multiLevelType w:val="multilevel"/>
    <w:tmpl w:val="7C62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E93BF5"/>
    <w:multiLevelType w:val="multilevel"/>
    <w:tmpl w:val="ADBE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E5E1B"/>
    <w:multiLevelType w:val="multilevel"/>
    <w:tmpl w:val="100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F1E3D"/>
    <w:multiLevelType w:val="hybridMultilevel"/>
    <w:tmpl w:val="87A2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11E1A"/>
    <w:multiLevelType w:val="multilevel"/>
    <w:tmpl w:val="1070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02F4A"/>
    <w:multiLevelType w:val="hybridMultilevel"/>
    <w:tmpl w:val="34D2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C6B5E"/>
    <w:multiLevelType w:val="multilevel"/>
    <w:tmpl w:val="7C8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B92623"/>
    <w:multiLevelType w:val="multilevel"/>
    <w:tmpl w:val="735A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D49C4"/>
    <w:multiLevelType w:val="multilevel"/>
    <w:tmpl w:val="2CBC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E2DE1"/>
    <w:multiLevelType w:val="multilevel"/>
    <w:tmpl w:val="AE56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22883"/>
    <w:multiLevelType w:val="multilevel"/>
    <w:tmpl w:val="D520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F2338"/>
    <w:multiLevelType w:val="multilevel"/>
    <w:tmpl w:val="BF7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E347B"/>
    <w:multiLevelType w:val="multilevel"/>
    <w:tmpl w:val="13EC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C53E61"/>
    <w:multiLevelType w:val="multilevel"/>
    <w:tmpl w:val="94F6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E425A8"/>
    <w:multiLevelType w:val="hybridMultilevel"/>
    <w:tmpl w:val="BC86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B6927"/>
    <w:multiLevelType w:val="hybridMultilevel"/>
    <w:tmpl w:val="8242A0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630501"/>
    <w:multiLevelType w:val="multilevel"/>
    <w:tmpl w:val="30F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51EF2"/>
    <w:multiLevelType w:val="hybridMultilevel"/>
    <w:tmpl w:val="E088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27"/>
  </w:num>
  <w:num w:numId="5">
    <w:abstractNumId w:val="9"/>
  </w:num>
  <w:num w:numId="6">
    <w:abstractNumId w:val="7"/>
  </w:num>
  <w:num w:numId="7">
    <w:abstractNumId w:val="30"/>
  </w:num>
  <w:num w:numId="8">
    <w:abstractNumId w:val="28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  <w:num w:numId="13">
    <w:abstractNumId w:val="22"/>
  </w:num>
  <w:num w:numId="14">
    <w:abstractNumId w:val="25"/>
  </w:num>
  <w:num w:numId="15">
    <w:abstractNumId w:val="14"/>
  </w:num>
  <w:num w:numId="16">
    <w:abstractNumId w:val="23"/>
  </w:num>
  <w:num w:numId="17">
    <w:abstractNumId w:val="29"/>
  </w:num>
  <w:num w:numId="18">
    <w:abstractNumId w:val="24"/>
  </w:num>
  <w:num w:numId="19">
    <w:abstractNumId w:val="1"/>
  </w:num>
  <w:num w:numId="20">
    <w:abstractNumId w:val="20"/>
  </w:num>
  <w:num w:numId="21">
    <w:abstractNumId w:val="4"/>
  </w:num>
  <w:num w:numId="22">
    <w:abstractNumId w:val="15"/>
  </w:num>
  <w:num w:numId="23">
    <w:abstractNumId w:val="19"/>
  </w:num>
  <w:num w:numId="24">
    <w:abstractNumId w:val="5"/>
  </w:num>
  <w:num w:numId="25">
    <w:abstractNumId w:val="17"/>
  </w:num>
  <w:num w:numId="26">
    <w:abstractNumId w:val="26"/>
  </w:num>
  <w:num w:numId="27">
    <w:abstractNumId w:val="12"/>
  </w:num>
  <w:num w:numId="28">
    <w:abstractNumId w:val="13"/>
  </w:num>
  <w:num w:numId="29">
    <w:abstractNumId w:val="21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CF14A"/>
    <w:rsid w:val="00000ACA"/>
    <w:rsid w:val="00056742"/>
    <w:rsid w:val="000C24AB"/>
    <w:rsid w:val="000C3FE4"/>
    <w:rsid w:val="00161009"/>
    <w:rsid w:val="001A00E4"/>
    <w:rsid w:val="00276DA3"/>
    <w:rsid w:val="002A5E5B"/>
    <w:rsid w:val="002F6EE3"/>
    <w:rsid w:val="00327E21"/>
    <w:rsid w:val="003614DC"/>
    <w:rsid w:val="003920DF"/>
    <w:rsid w:val="003C1CF1"/>
    <w:rsid w:val="003D3954"/>
    <w:rsid w:val="00483616"/>
    <w:rsid w:val="004A14C0"/>
    <w:rsid w:val="004F6309"/>
    <w:rsid w:val="005B0C14"/>
    <w:rsid w:val="005C2E4F"/>
    <w:rsid w:val="00610B51"/>
    <w:rsid w:val="006C2CBF"/>
    <w:rsid w:val="0073CEF8"/>
    <w:rsid w:val="00AF1B84"/>
    <w:rsid w:val="00B011A8"/>
    <w:rsid w:val="00D34118"/>
    <w:rsid w:val="00E6741E"/>
    <w:rsid w:val="00ED384D"/>
    <w:rsid w:val="00F11675"/>
    <w:rsid w:val="0130D40E"/>
    <w:rsid w:val="02457AED"/>
    <w:rsid w:val="02548698"/>
    <w:rsid w:val="02C4DF22"/>
    <w:rsid w:val="04399BB6"/>
    <w:rsid w:val="04815272"/>
    <w:rsid w:val="04C597FD"/>
    <w:rsid w:val="059ECE8A"/>
    <w:rsid w:val="05D0BBEA"/>
    <w:rsid w:val="065D45EB"/>
    <w:rsid w:val="071D2C03"/>
    <w:rsid w:val="07633DFF"/>
    <w:rsid w:val="0819EBF6"/>
    <w:rsid w:val="08ECD93F"/>
    <w:rsid w:val="0AC0FFBA"/>
    <w:rsid w:val="0AECED3A"/>
    <w:rsid w:val="0B30B70E"/>
    <w:rsid w:val="0C8C6457"/>
    <w:rsid w:val="0CD474F5"/>
    <w:rsid w:val="0DBE12E6"/>
    <w:rsid w:val="0E2834B8"/>
    <w:rsid w:val="0F9470DD"/>
    <w:rsid w:val="10864EED"/>
    <w:rsid w:val="108CF14A"/>
    <w:rsid w:val="10AFDD40"/>
    <w:rsid w:val="13AF81F7"/>
    <w:rsid w:val="1437796C"/>
    <w:rsid w:val="14506190"/>
    <w:rsid w:val="14B8CA4C"/>
    <w:rsid w:val="158B392F"/>
    <w:rsid w:val="1746D4A1"/>
    <w:rsid w:val="1764F52C"/>
    <w:rsid w:val="19266DFC"/>
    <w:rsid w:val="19B2F7FD"/>
    <w:rsid w:val="19D3CDA7"/>
    <w:rsid w:val="1B25941A"/>
    <w:rsid w:val="1C34F720"/>
    <w:rsid w:val="1C70AA5B"/>
    <w:rsid w:val="1CC3DC31"/>
    <w:rsid w:val="1CD861C9"/>
    <w:rsid w:val="1E74322A"/>
    <w:rsid w:val="1E866920"/>
    <w:rsid w:val="1F1BFE12"/>
    <w:rsid w:val="1FA84B1D"/>
    <w:rsid w:val="1FB85704"/>
    <w:rsid w:val="1FCDDF36"/>
    <w:rsid w:val="20366F30"/>
    <w:rsid w:val="2298A478"/>
    <w:rsid w:val="237D4A3B"/>
    <w:rsid w:val="242D452F"/>
    <w:rsid w:val="243474D9"/>
    <w:rsid w:val="247BBC40"/>
    <w:rsid w:val="26D1A9C7"/>
    <w:rsid w:val="26EA9690"/>
    <w:rsid w:val="26F470C1"/>
    <w:rsid w:val="272BF283"/>
    <w:rsid w:val="2836C76B"/>
    <w:rsid w:val="29D297CC"/>
    <w:rsid w:val="2B6E682D"/>
    <w:rsid w:val="2BFF63A6"/>
    <w:rsid w:val="2D0A388E"/>
    <w:rsid w:val="2D40AFB7"/>
    <w:rsid w:val="2D9B3407"/>
    <w:rsid w:val="2DDDA797"/>
    <w:rsid w:val="2DE2625C"/>
    <w:rsid w:val="2EC4F510"/>
    <w:rsid w:val="2EFD391C"/>
    <w:rsid w:val="2F370468"/>
    <w:rsid w:val="2F74F004"/>
    <w:rsid w:val="2F772780"/>
    <w:rsid w:val="2FD672EC"/>
    <w:rsid w:val="320AC621"/>
    <w:rsid w:val="322B1C53"/>
    <w:rsid w:val="3266BA5E"/>
    <w:rsid w:val="332AE65B"/>
    <w:rsid w:val="3370F857"/>
    <w:rsid w:val="340A758B"/>
    <w:rsid w:val="353E5B96"/>
    <w:rsid w:val="3665C2A1"/>
    <w:rsid w:val="37978CF1"/>
    <w:rsid w:val="38917FC5"/>
    <w:rsid w:val="397D4A9A"/>
    <w:rsid w:val="3A3FEBC3"/>
    <w:rsid w:val="3B8D4513"/>
    <w:rsid w:val="3CF82850"/>
    <w:rsid w:val="3E70D486"/>
    <w:rsid w:val="3FF9ED7E"/>
    <w:rsid w:val="421AA722"/>
    <w:rsid w:val="423C0C5B"/>
    <w:rsid w:val="45B2C31A"/>
    <w:rsid w:val="45B3C034"/>
    <w:rsid w:val="4681286F"/>
    <w:rsid w:val="474E937B"/>
    <w:rsid w:val="47A1D934"/>
    <w:rsid w:val="47DE75A6"/>
    <w:rsid w:val="47EB1DF1"/>
    <w:rsid w:val="4819AC50"/>
    <w:rsid w:val="486D511A"/>
    <w:rsid w:val="488886E5"/>
    <w:rsid w:val="49155E88"/>
    <w:rsid w:val="49B57CB1"/>
    <w:rsid w:val="49DE26CF"/>
    <w:rsid w:val="4A4B9B9C"/>
    <w:rsid w:val="4AAEB733"/>
    <w:rsid w:val="4AD0F83B"/>
    <w:rsid w:val="4BB2860D"/>
    <w:rsid w:val="4BB7D84A"/>
    <w:rsid w:val="4BBFEC13"/>
    <w:rsid w:val="4DC5C285"/>
    <w:rsid w:val="4E55AF48"/>
    <w:rsid w:val="5035FBC6"/>
    <w:rsid w:val="51B3CF2F"/>
    <w:rsid w:val="523DD61B"/>
    <w:rsid w:val="54350409"/>
    <w:rsid w:val="54F82F58"/>
    <w:rsid w:val="562C4F35"/>
    <w:rsid w:val="56CE7C26"/>
    <w:rsid w:val="59C3B5AF"/>
    <w:rsid w:val="5A061CE8"/>
    <w:rsid w:val="5A2CD976"/>
    <w:rsid w:val="5ABF636E"/>
    <w:rsid w:val="5AD0A0FF"/>
    <w:rsid w:val="5B6770DC"/>
    <w:rsid w:val="5C83DDED"/>
    <w:rsid w:val="5CC07817"/>
    <w:rsid w:val="5CE818C4"/>
    <w:rsid w:val="5EF69EA7"/>
    <w:rsid w:val="5EF9575D"/>
    <w:rsid w:val="5F004A99"/>
    <w:rsid w:val="5F47FEF7"/>
    <w:rsid w:val="607BC2F3"/>
    <w:rsid w:val="6230F81F"/>
    <w:rsid w:val="624C210A"/>
    <w:rsid w:val="62FA1B70"/>
    <w:rsid w:val="636147EA"/>
    <w:rsid w:val="63D3BBBC"/>
    <w:rsid w:val="64A43150"/>
    <w:rsid w:val="64F59DB9"/>
    <w:rsid w:val="671E8326"/>
    <w:rsid w:val="672C3228"/>
    <w:rsid w:val="68BB628E"/>
    <w:rsid w:val="68FD3C0D"/>
    <w:rsid w:val="6913CF13"/>
    <w:rsid w:val="6946443B"/>
    <w:rsid w:val="6A9C18CB"/>
    <w:rsid w:val="6AE508F9"/>
    <w:rsid w:val="6BB021CE"/>
    <w:rsid w:val="6C24E618"/>
    <w:rsid w:val="6C6DB0DD"/>
    <w:rsid w:val="6CD99BD1"/>
    <w:rsid w:val="6D5BCEFA"/>
    <w:rsid w:val="6E2E7C0A"/>
    <w:rsid w:val="6E416278"/>
    <w:rsid w:val="6F3BEE99"/>
    <w:rsid w:val="70554C93"/>
    <w:rsid w:val="7179033A"/>
    <w:rsid w:val="71F4C3B0"/>
    <w:rsid w:val="730851B4"/>
    <w:rsid w:val="730F815E"/>
    <w:rsid w:val="742FF7FD"/>
    <w:rsid w:val="746B2EA7"/>
    <w:rsid w:val="765D00B7"/>
    <w:rsid w:val="769D1DF3"/>
    <w:rsid w:val="775818BD"/>
    <w:rsid w:val="7774FA1F"/>
    <w:rsid w:val="77B0BD93"/>
    <w:rsid w:val="77DBC2D7"/>
    <w:rsid w:val="77F9E362"/>
    <w:rsid w:val="78D973DE"/>
    <w:rsid w:val="79F1425E"/>
    <w:rsid w:val="7AB9CD3C"/>
    <w:rsid w:val="7B136399"/>
    <w:rsid w:val="7C3EBECA"/>
    <w:rsid w:val="7C76408C"/>
    <w:rsid w:val="7CB663A4"/>
    <w:rsid w:val="7D2ECCD5"/>
    <w:rsid w:val="7D58CA67"/>
    <w:rsid w:val="7ECE521E"/>
    <w:rsid w:val="7EF49AC8"/>
    <w:rsid w:val="7FEE0466"/>
    <w:rsid w:val="7FF4F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F14A"/>
  <w15:chartTrackingRefBased/>
  <w15:docId w15:val="{369542D6-1B6C-45B7-8941-D0EE8074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0B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B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6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61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090195/Relationships_Education_RSE_and_Health_Educ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090195/Relationships_Education_RSE_and_Health_Educati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Hegarty</dc:creator>
  <cp:keywords/>
  <dc:description/>
  <cp:lastModifiedBy>Lesley Gregory</cp:lastModifiedBy>
  <cp:revision>2</cp:revision>
  <dcterms:created xsi:type="dcterms:W3CDTF">2026-03-26T10:34:00Z</dcterms:created>
  <dcterms:modified xsi:type="dcterms:W3CDTF">2026-03-26T10:34:00Z</dcterms:modified>
</cp:coreProperties>
</file>