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55" w:type="dxa"/>
        <w:tblLayout w:type="fixed"/>
        <w:tblLook w:val="0000" w:firstRow="0" w:lastRow="0" w:firstColumn="0" w:lastColumn="0" w:noHBand="0" w:noVBand="0"/>
      </w:tblPr>
      <w:tblGrid>
        <w:gridCol w:w="1290"/>
        <w:gridCol w:w="12765"/>
      </w:tblGrid>
      <w:tr w:rsidR="1F1BFE12" w14:paraId="347E769D" w14:textId="77777777" w:rsidTr="008C43BB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1D5BF730" w14:textId="55F8302C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Sequenced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6CE94DFF" w14:textId="7777777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Core Theme 1</w:t>
            </w:r>
          </w:p>
          <w:p w14:paraId="455DD01C" w14:textId="097881D7" w:rsidR="00990AA9" w:rsidRDefault="00990AA9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Health and Wellbeing </w:t>
            </w:r>
          </w:p>
        </w:tc>
      </w:tr>
      <w:tr w:rsidR="1F1BFE12" w14:paraId="6949FD26" w14:textId="77777777" w:rsidTr="008C43BB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5C3035" w14:textId="0E21767A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7F2BFAD" w14:textId="243E14B4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0E7FBC3" w14:textId="2DF68A3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60D8A87E" w14:textId="4A11B6E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D8D1FD3" w14:textId="21A66D4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55502145" w14:textId="58CC5FEF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4571D0" w14:textId="66447126" w:rsidR="1F1BFE12" w:rsidRDefault="6BF6F9F0" w:rsidP="6BF6F9F0">
            <w:pPr>
              <w:spacing w:line="259" w:lineRule="auto"/>
            </w:pPr>
            <w:r>
              <w:t>To know:</w:t>
            </w:r>
          </w:p>
          <w:p w14:paraId="651172A2" w14:textId="77777777" w:rsidR="00990AA9" w:rsidRDefault="00990AA9" w:rsidP="00990AA9">
            <w:pPr>
              <w:pStyle w:val="ListParagraph"/>
              <w:numPr>
                <w:ilvl w:val="0"/>
                <w:numId w:val="1"/>
              </w:numPr>
            </w:pPr>
            <w:r>
              <w:t xml:space="preserve">What is mental health? </w:t>
            </w:r>
          </w:p>
          <w:p w14:paraId="6967A60A" w14:textId="77777777" w:rsidR="00990AA9" w:rsidRDefault="00990AA9" w:rsidP="00990AA9">
            <w:pPr>
              <w:pStyle w:val="ListParagraph"/>
              <w:numPr>
                <w:ilvl w:val="0"/>
                <w:numId w:val="1"/>
              </w:numPr>
            </w:pPr>
            <w:r>
              <w:t>Mindfulness</w:t>
            </w:r>
          </w:p>
          <w:p w14:paraId="4859AAC5" w14:textId="77777777" w:rsidR="00990AA9" w:rsidRDefault="00990AA9" w:rsidP="00990AA9">
            <w:pPr>
              <w:pStyle w:val="ListParagraph"/>
              <w:numPr>
                <w:ilvl w:val="0"/>
                <w:numId w:val="1"/>
              </w:numPr>
            </w:pPr>
            <w:r>
              <w:t>What pressures do teenagers face?</w:t>
            </w:r>
          </w:p>
          <w:p w14:paraId="32F918F1" w14:textId="77777777" w:rsidR="00990AA9" w:rsidRDefault="00990AA9" w:rsidP="00990AA9">
            <w:pPr>
              <w:pStyle w:val="ListParagraph"/>
              <w:numPr>
                <w:ilvl w:val="0"/>
                <w:numId w:val="1"/>
              </w:numPr>
            </w:pPr>
            <w:r>
              <w:t>What is body image?</w:t>
            </w:r>
          </w:p>
          <w:p w14:paraId="193E9312" w14:textId="77777777" w:rsidR="00990AA9" w:rsidRDefault="00990AA9" w:rsidP="00990AA9">
            <w:pPr>
              <w:pStyle w:val="ListParagraph"/>
              <w:numPr>
                <w:ilvl w:val="0"/>
                <w:numId w:val="1"/>
              </w:numPr>
            </w:pPr>
            <w:r>
              <w:t xml:space="preserve">Self esteem </w:t>
            </w:r>
          </w:p>
          <w:p w14:paraId="109CD1E3" w14:textId="77777777" w:rsidR="00990AA9" w:rsidRDefault="00990AA9" w:rsidP="00990AA9">
            <w:pPr>
              <w:pStyle w:val="ListParagraph"/>
              <w:numPr>
                <w:ilvl w:val="0"/>
                <w:numId w:val="1"/>
              </w:numPr>
            </w:pPr>
            <w:r>
              <w:t>Substance misuse</w:t>
            </w:r>
          </w:p>
          <w:p w14:paraId="6B2CBBB7" w14:textId="77777777" w:rsidR="00990AA9" w:rsidRDefault="00990AA9" w:rsidP="00990AA9">
            <w:pPr>
              <w:pStyle w:val="ListParagraph"/>
              <w:numPr>
                <w:ilvl w:val="0"/>
                <w:numId w:val="1"/>
              </w:numPr>
            </w:pPr>
            <w:r>
              <w:t>Drugs and the law</w:t>
            </w:r>
          </w:p>
          <w:p w14:paraId="2E2A5BE9" w14:textId="77777777" w:rsidR="00990AA9" w:rsidRDefault="00990AA9" w:rsidP="00990AA9">
            <w:pPr>
              <w:pStyle w:val="ListParagraph"/>
              <w:numPr>
                <w:ilvl w:val="0"/>
                <w:numId w:val="1"/>
              </w:numPr>
            </w:pPr>
            <w:r>
              <w:t>Alcohol and safety</w:t>
            </w:r>
          </w:p>
          <w:p w14:paraId="2A14BA02" w14:textId="77777777" w:rsidR="00990AA9" w:rsidRDefault="00990AA9" w:rsidP="00990AA9">
            <w:pPr>
              <w:pStyle w:val="ListParagraph"/>
              <w:numPr>
                <w:ilvl w:val="0"/>
                <w:numId w:val="1"/>
              </w:numPr>
            </w:pPr>
            <w:r>
              <w:t>Impacts of drug taking</w:t>
            </w:r>
          </w:p>
          <w:p w14:paraId="7830B9B0" w14:textId="77777777" w:rsidR="00990AA9" w:rsidRDefault="00990AA9" w:rsidP="00990AA9">
            <w:pPr>
              <w:pStyle w:val="ListParagraph"/>
              <w:numPr>
                <w:ilvl w:val="0"/>
                <w:numId w:val="1"/>
              </w:numPr>
            </w:pPr>
            <w:r>
              <w:t>Coming out what is it?</w:t>
            </w:r>
          </w:p>
          <w:p w14:paraId="00508269" w14:textId="77777777" w:rsidR="00990AA9" w:rsidRDefault="00990AA9" w:rsidP="00990AA9">
            <w:pPr>
              <w:pStyle w:val="ListParagraph"/>
              <w:numPr>
                <w:ilvl w:val="0"/>
                <w:numId w:val="1"/>
              </w:numPr>
            </w:pPr>
            <w:r>
              <w:t>Menstrual cycle</w:t>
            </w:r>
          </w:p>
          <w:p w14:paraId="2BA7B828" w14:textId="77777777" w:rsidR="00990AA9" w:rsidRDefault="00990AA9" w:rsidP="00990AA9">
            <w:pPr>
              <w:pStyle w:val="ListParagraph"/>
              <w:numPr>
                <w:ilvl w:val="0"/>
                <w:numId w:val="1"/>
              </w:numPr>
            </w:pPr>
            <w:r>
              <w:t xml:space="preserve">Healthy eating </w:t>
            </w:r>
          </w:p>
          <w:p w14:paraId="5C50B158" w14:textId="77777777" w:rsidR="00990AA9" w:rsidRDefault="00990AA9" w:rsidP="00990AA9">
            <w:pPr>
              <w:pStyle w:val="ListParagraph"/>
              <w:numPr>
                <w:ilvl w:val="0"/>
                <w:numId w:val="1"/>
              </w:numPr>
            </w:pPr>
            <w:r>
              <w:t xml:space="preserve">First aid </w:t>
            </w:r>
          </w:p>
          <w:p w14:paraId="0449E05F" w14:textId="6F19CB33" w:rsidR="1F1BFE12" w:rsidRDefault="1F1BFE12" w:rsidP="6BF6F9F0">
            <w:pPr>
              <w:spacing w:line="259" w:lineRule="auto"/>
            </w:pPr>
          </w:p>
        </w:tc>
      </w:tr>
      <w:tr w:rsidR="1F1BFE12" w14:paraId="4DDFF022" w14:textId="77777777" w:rsidTr="008C43BB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61E4DB" w14:textId="438D102A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9E95E1B" w14:textId="5CEDCFAF" w:rsidR="1F1BFE12" w:rsidRDefault="38E2392E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DF6D23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</w:t>
            </w:r>
            <w:r w:rsidR="1F1BFE12" w:rsidRPr="6DF6D23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ey Skills</w:t>
            </w:r>
          </w:p>
          <w:p w14:paraId="54D82C15" w14:textId="3477540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BD17055" w14:textId="36EBABE8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52546D08" w14:textId="6289C04E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16AD28BB" w14:textId="05CB293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7DA4C4" w14:textId="77777777" w:rsidR="1F1BFE12" w:rsidRDefault="00990AA9" w:rsidP="00990AA9">
            <w:r>
              <w:t>To understand:</w:t>
            </w:r>
          </w:p>
          <w:p w14:paraId="1B84BDE2" w14:textId="77777777" w:rsidR="00990AA9" w:rsidRDefault="00990AA9" w:rsidP="00990AA9">
            <w:pPr>
              <w:pStyle w:val="ListParagraph"/>
              <w:numPr>
                <w:ilvl w:val="0"/>
                <w:numId w:val="2"/>
              </w:numPr>
            </w:pPr>
            <w:r>
              <w:t>What mental health is and how we can cultivate a positive mindset</w:t>
            </w:r>
          </w:p>
          <w:p w14:paraId="5C88A3F1" w14:textId="77777777" w:rsidR="00990AA9" w:rsidRDefault="00990AA9" w:rsidP="00990AA9">
            <w:pPr>
              <w:pStyle w:val="ListParagraph"/>
              <w:numPr>
                <w:ilvl w:val="0"/>
                <w:numId w:val="2"/>
              </w:numPr>
            </w:pPr>
            <w:r>
              <w:t>To understand mindfulness and how we can all be mindful in our daily lives</w:t>
            </w:r>
          </w:p>
          <w:p w14:paraId="4142FE4B" w14:textId="77777777" w:rsidR="00990AA9" w:rsidRDefault="00990AA9" w:rsidP="00990AA9">
            <w:pPr>
              <w:pStyle w:val="ListParagraph"/>
              <w:numPr>
                <w:ilvl w:val="0"/>
                <w:numId w:val="2"/>
              </w:numPr>
            </w:pPr>
            <w:r>
              <w:t>To explore the different pressures that young people face and devise ways in which we can manage these pressures</w:t>
            </w:r>
          </w:p>
          <w:p w14:paraId="19974DDA" w14:textId="77777777" w:rsidR="00990AA9" w:rsidRDefault="00990AA9" w:rsidP="00990AA9">
            <w:pPr>
              <w:pStyle w:val="ListParagraph"/>
              <w:numPr>
                <w:ilvl w:val="0"/>
                <w:numId w:val="2"/>
              </w:numPr>
            </w:pPr>
            <w:r>
              <w:t>To understand the term body image and to identify where we get these concepts from and how social media is impacting us</w:t>
            </w:r>
          </w:p>
          <w:p w14:paraId="13E2238E" w14:textId="77777777" w:rsidR="00990AA9" w:rsidRDefault="00990AA9" w:rsidP="00990AA9">
            <w:pPr>
              <w:pStyle w:val="ListParagraph"/>
              <w:numPr>
                <w:ilvl w:val="0"/>
                <w:numId w:val="2"/>
              </w:numPr>
            </w:pPr>
            <w:r>
              <w:t>To study a range of drugs across different classifications and to explore the issues of drug misuse</w:t>
            </w:r>
          </w:p>
          <w:p w14:paraId="0AB58D2F" w14:textId="77777777" w:rsidR="00990AA9" w:rsidRDefault="00990AA9" w:rsidP="00990AA9">
            <w:pPr>
              <w:pStyle w:val="ListParagraph"/>
              <w:numPr>
                <w:ilvl w:val="0"/>
                <w:numId w:val="2"/>
              </w:numPr>
            </w:pPr>
            <w:r>
              <w:t>Research the law surrounding drugs and the punishments for each classification</w:t>
            </w:r>
          </w:p>
          <w:p w14:paraId="78BA3010" w14:textId="77777777" w:rsidR="00990AA9" w:rsidRDefault="00990AA9" w:rsidP="00990AA9">
            <w:pPr>
              <w:pStyle w:val="ListParagraph"/>
              <w:numPr>
                <w:ilvl w:val="0"/>
                <w:numId w:val="2"/>
              </w:numPr>
            </w:pPr>
            <w:r>
              <w:t>To identify the ways in which alcohol can impair our judgement and therefore prevent us from keeping safe</w:t>
            </w:r>
          </w:p>
          <w:p w14:paraId="1F24D038" w14:textId="77777777" w:rsidR="00990AA9" w:rsidRDefault="00990AA9" w:rsidP="00990AA9">
            <w:pPr>
              <w:pStyle w:val="ListParagraph"/>
              <w:numPr>
                <w:ilvl w:val="0"/>
                <w:numId w:val="2"/>
              </w:numPr>
            </w:pPr>
            <w:r>
              <w:t>To explore sexuality and how we can gain support with our sexual orientation</w:t>
            </w:r>
          </w:p>
          <w:p w14:paraId="256BE809" w14:textId="77777777" w:rsidR="00990AA9" w:rsidRDefault="00990AA9" w:rsidP="00990AA9">
            <w:pPr>
              <w:pStyle w:val="ListParagraph"/>
              <w:numPr>
                <w:ilvl w:val="0"/>
                <w:numId w:val="2"/>
              </w:numPr>
            </w:pPr>
            <w:r>
              <w:t>Identify the different stages of the menstrual cycle and study why women bleed</w:t>
            </w:r>
          </w:p>
          <w:p w14:paraId="744FA074" w14:textId="39284606" w:rsidR="00990AA9" w:rsidRDefault="00990AA9" w:rsidP="00990AA9">
            <w:pPr>
              <w:pStyle w:val="ListParagraph"/>
              <w:numPr>
                <w:ilvl w:val="0"/>
                <w:numId w:val="2"/>
              </w:numPr>
            </w:pPr>
            <w:r>
              <w:t xml:space="preserve">To identify what food groups, constitute a healthy balanced diet. </w:t>
            </w:r>
          </w:p>
          <w:p w14:paraId="64B54DF8" w14:textId="33E36E07" w:rsidR="00990AA9" w:rsidRDefault="00990AA9" w:rsidP="00990AA9">
            <w:pPr>
              <w:pStyle w:val="ListParagraph"/>
              <w:numPr>
                <w:ilvl w:val="0"/>
                <w:numId w:val="2"/>
              </w:numPr>
            </w:pPr>
            <w:r>
              <w:t xml:space="preserve">To identify a range of first aid methods to support with minor incidents. De fibs included. </w:t>
            </w:r>
          </w:p>
        </w:tc>
      </w:tr>
      <w:tr w:rsidR="1F1BFE12" w14:paraId="5E8EB3F4" w14:textId="77777777" w:rsidTr="008C43BB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C06063E" w14:textId="09806ABE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AB238F2" w14:textId="49C56F5E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</w:rPr>
              <w:t xml:space="preserve">Tier 3 key vocabulary </w:t>
            </w:r>
          </w:p>
          <w:p w14:paraId="34D84D6E" w14:textId="08C21BA9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1D06BF1D" w14:textId="77777777" w:rsidTr="008C43BB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268D39" w14:textId="5F74F642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A4A005C" w14:textId="463C2463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FADF91D" w14:textId="73217FB1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B9CBFA" w14:textId="77777777" w:rsidR="008C43BB" w:rsidRDefault="00990AA9" w:rsidP="00990AA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PTSD         anxiety            depression        physical         mental           wellbeing           stress           mental            illness           schizophrenia  </w:t>
            </w:r>
          </w:p>
          <w:p w14:paraId="192F4207" w14:textId="77777777" w:rsidR="008C43BB" w:rsidRDefault="00990AA9" w:rsidP="00990AA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     </w:t>
            </w:r>
          </w:p>
          <w:p w14:paraId="62E25228" w14:textId="77777777" w:rsidR="008C43BB" w:rsidRDefault="00990AA9" w:rsidP="00990AA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mindfulness          trait        postures             conscious           subconscious            mental chatter        social media           selfie           body image          </w:t>
            </w:r>
          </w:p>
          <w:p w14:paraId="28A9C0DF" w14:textId="77777777" w:rsidR="008C43BB" w:rsidRDefault="008C43BB" w:rsidP="00990AA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544DD18" w14:textId="77777777" w:rsidR="008C43BB" w:rsidRDefault="00990AA9" w:rsidP="00990AA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healthy ‘likes’            body confidence           editing         celebrities           filters           followers          attention         comments   </w:t>
            </w:r>
            <w:r w:rsidR="008C43BB">
              <w:rPr>
                <w:rFonts w:ascii="Calibri" w:eastAsia="Calibri" w:hAnsi="Calibri" w:cs="Calibri"/>
                <w:color w:val="000000" w:themeColor="text1"/>
              </w:rPr>
              <w:t>self-esteem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             </w:t>
            </w:r>
          </w:p>
          <w:p w14:paraId="126F7E84" w14:textId="77777777" w:rsidR="008C43BB" w:rsidRDefault="008C43BB" w:rsidP="00990AA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3E428D3" w14:textId="77777777" w:rsidR="008C43BB" w:rsidRDefault="008C43BB" w:rsidP="00990AA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self-talk</w:t>
            </w:r>
            <w:r w:rsidR="00990AA9">
              <w:rPr>
                <w:rFonts w:ascii="Calibri" w:eastAsia="Calibri" w:hAnsi="Calibri" w:cs="Calibri"/>
                <w:color w:val="000000" w:themeColor="text1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influencer             positivity         substance abuse            dependence            intoxication          withdrawal             impairment             </w:t>
            </w:r>
          </w:p>
          <w:p w14:paraId="78CBD596" w14:textId="77777777" w:rsidR="008C43BB" w:rsidRDefault="008C43BB" w:rsidP="00990AA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76B1F89A" w14:textId="77777777" w:rsidR="008C43BB" w:rsidRDefault="008C43BB" w:rsidP="00990AA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anxiety         possession           dealing             offences            penalties         trafficking        units         spirits         ethanol         beer         lager           </w:t>
            </w:r>
          </w:p>
          <w:p w14:paraId="70415C3E" w14:textId="77777777" w:rsidR="008C43BB" w:rsidRDefault="008C43BB" w:rsidP="00990AA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5789D90" w14:textId="77777777" w:rsidR="008C43BB" w:rsidRDefault="008C43BB" w:rsidP="00990AA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wine            binge drinking              shots         oestrogen        luteal           follicular               ovulation          menstruation         tampon        TSS          </w:t>
            </w:r>
          </w:p>
          <w:p w14:paraId="4BCD18A0" w14:textId="77777777" w:rsidR="008C43BB" w:rsidRDefault="008C43BB" w:rsidP="00990AA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8141857" w14:textId="77777777" w:rsidR="008C43BB" w:rsidRDefault="008C43BB" w:rsidP="00990AA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monosaturated fats            polyunsaturated fats            cholesterol           defibrillator         danger            response        airway           breathing          </w:t>
            </w:r>
          </w:p>
          <w:p w14:paraId="1EDBEB6D" w14:textId="77777777" w:rsidR="008C43BB" w:rsidRDefault="008C43BB" w:rsidP="00990AA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1EA2F2D" w14:textId="45F68F15" w:rsidR="1F1BFE12" w:rsidRDefault="008C43BB" w:rsidP="00990AA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compressions             unconscious             paramedics           chest compressions            rescue breaths            brain death </w:t>
            </w:r>
            <w:r w:rsidR="00990AA9">
              <w:rPr>
                <w:rFonts w:ascii="Calibri" w:eastAsia="Calibri" w:hAnsi="Calibri" w:cs="Calibri"/>
                <w:color w:val="000000" w:themeColor="text1"/>
              </w:rPr>
              <w:t xml:space="preserve">      </w:t>
            </w:r>
          </w:p>
        </w:tc>
      </w:tr>
      <w:tr w:rsidR="1F1BFE12" w14:paraId="307EC9E8" w14:textId="77777777" w:rsidTr="008C43BB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0B3779FA" w14:textId="4AD0965D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7BBF5C60" w14:textId="38544507" w:rsidR="1F1BFE12" w:rsidRDefault="008C43BB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Checking for understanding </w:t>
            </w:r>
          </w:p>
        </w:tc>
      </w:tr>
      <w:tr w:rsidR="1F1BFE12" w14:paraId="57A9CE02" w14:textId="77777777" w:rsidTr="008C43BB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E377C6" w14:textId="5E31FA82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2C07C13" w14:textId="118ECB94" w:rsidR="1F1BFE12" w:rsidRDefault="008C43BB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Opportunities to check for understanding </w:t>
            </w:r>
          </w:p>
          <w:p w14:paraId="1C1859AC" w14:textId="6246F96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9BBB503" w14:textId="6F186C7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38319AA" w14:textId="2E24A7A9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C7394D" w14:textId="77777777" w:rsidR="008C43BB" w:rsidRDefault="008C43BB" w:rsidP="008C43BB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48EE34FC" w14:textId="77777777" w:rsidR="008C43BB" w:rsidRDefault="008C43BB" w:rsidP="008C43BB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57384AE" w14:textId="77777777" w:rsidR="008C43BB" w:rsidRPr="00A04DD6" w:rsidRDefault="008C43BB" w:rsidP="008C43BB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6BB5FEF2" w14:textId="77777777" w:rsidR="008C43BB" w:rsidRPr="00A04DD6" w:rsidRDefault="008C43BB" w:rsidP="008C43BB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0026DF2" w14:textId="77777777" w:rsidR="008C43BB" w:rsidRPr="00A04DD6" w:rsidRDefault="008C43BB" w:rsidP="008C43BB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 Department for Education’s statutory guidance on assessment in the </w:t>
            </w:r>
            <w:hyperlink r:id="rId7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17FA7796" w14:textId="17B32911" w:rsidR="1F1BFE12" w:rsidRDefault="1F1BFE12" w:rsidP="008C43B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CA1E98F" w14:textId="4A1BEFCD" w:rsidR="1F1BFE12" w:rsidRDefault="1F1BFE12" w:rsidP="008C43B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32808446" w14:textId="39979B46" w:rsidR="00D12A2B" w:rsidRDefault="00AB5C99">
      <w:r>
        <w:br w:type="page"/>
      </w:r>
    </w:p>
    <w:tbl>
      <w:tblPr>
        <w:tblStyle w:val="TableGrid"/>
        <w:tblW w:w="13950" w:type="dxa"/>
        <w:tblLayout w:type="fixed"/>
        <w:tblLook w:val="0000" w:firstRow="0" w:lastRow="0" w:firstColumn="0" w:lastColumn="0" w:noHBand="0" w:noVBand="0"/>
      </w:tblPr>
      <w:tblGrid>
        <w:gridCol w:w="1305"/>
        <w:gridCol w:w="12645"/>
      </w:tblGrid>
      <w:tr w:rsidR="1F1BFE12" w14:paraId="044FEA53" w14:textId="77777777" w:rsidTr="6BF6F9F0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2C9D5CC1" w14:textId="55F8302C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Sequenced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22C47D69" w14:textId="7777777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Core Theme 2</w:t>
            </w:r>
          </w:p>
          <w:p w14:paraId="06F966D5" w14:textId="7B286B9A" w:rsidR="008C43BB" w:rsidRDefault="008C43BB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Relationships </w:t>
            </w:r>
          </w:p>
        </w:tc>
      </w:tr>
      <w:tr w:rsidR="1F1BFE12" w14:paraId="5A08E529" w14:textId="77777777" w:rsidTr="6BF6F9F0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52072B" w14:textId="0E21767A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7B47EA3" w14:textId="243E14B4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F4D85F2" w14:textId="2DF68A37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5EA8864D" w14:textId="4A11B6E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97A6A02" w14:textId="21A66D46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440DD6A4" w14:textId="58CC5FEF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CB087B" w14:textId="40CCBCEC" w:rsidR="1F1BFE12" w:rsidRDefault="36521481" w:rsidP="6BF6F9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BF6F9F0">
              <w:rPr>
                <w:rFonts w:ascii="Calibri" w:eastAsia="Calibri" w:hAnsi="Calibri" w:cs="Calibri"/>
                <w:color w:val="000000" w:themeColor="text1"/>
              </w:rPr>
              <w:t>To know:</w:t>
            </w:r>
          </w:p>
          <w:p w14:paraId="1C674E82" w14:textId="77777777" w:rsidR="008C43BB" w:rsidRDefault="008C43BB" w:rsidP="008C43BB">
            <w:pPr>
              <w:pStyle w:val="ListParagraph"/>
              <w:numPr>
                <w:ilvl w:val="0"/>
                <w:numId w:val="3"/>
              </w:numPr>
            </w:pPr>
            <w:r>
              <w:t>What does family mean?</w:t>
            </w:r>
          </w:p>
          <w:p w14:paraId="423B957D" w14:textId="77777777" w:rsidR="008C43BB" w:rsidRDefault="008C43BB" w:rsidP="008C43BB">
            <w:pPr>
              <w:pStyle w:val="ListParagraph"/>
              <w:numPr>
                <w:ilvl w:val="0"/>
                <w:numId w:val="3"/>
              </w:numPr>
            </w:pPr>
            <w:r>
              <w:t>How can I contribute to family life?</w:t>
            </w:r>
          </w:p>
          <w:p w14:paraId="02E2A219" w14:textId="77777777" w:rsidR="008C43BB" w:rsidRDefault="008C43BB" w:rsidP="008C43BB">
            <w:pPr>
              <w:pStyle w:val="ListParagraph"/>
              <w:numPr>
                <w:ilvl w:val="0"/>
                <w:numId w:val="3"/>
              </w:numPr>
            </w:pPr>
            <w:r>
              <w:t xml:space="preserve">Healthy relationships </w:t>
            </w:r>
          </w:p>
          <w:p w14:paraId="4B7149B6" w14:textId="2BB3841F" w:rsidR="008C43BB" w:rsidRDefault="008C43BB" w:rsidP="008C43BB">
            <w:pPr>
              <w:pStyle w:val="ListParagraph"/>
              <w:numPr>
                <w:ilvl w:val="0"/>
                <w:numId w:val="3"/>
              </w:numPr>
            </w:pPr>
            <w:r>
              <w:t>Faith and values</w:t>
            </w:r>
          </w:p>
          <w:p w14:paraId="5425A089" w14:textId="77777777" w:rsidR="008C43BB" w:rsidRDefault="008C43BB" w:rsidP="008C43BB">
            <w:pPr>
              <w:pStyle w:val="ListParagraph"/>
              <w:numPr>
                <w:ilvl w:val="0"/>
                <w:numId w:val="3"/>
              </w:numPr>
            </w:pPr>
            <w:r>
              <w:t xml:space="preserve">How do I feel about difference? </w:t>
            </w:r>
          </w:p>
          <w:p w14:paraId="428C9B4F" w14:textId="77777777" w:rsidR="008C43BB" w:rsidRDefault="008C43BB" w:rsidP="008C43BB">
            <w:pPr>
              <w:pStyle w:val="ListParagraph"/>
              <w:numPr>
                <w:ilvl w:val="0"/>
                <w:numId w:val="3"/>
              </w:numPr>
            </w:pPr>
            <w:r>
              <w:t>Racism</w:t>
            </w:r>
          </w:p>
          <w:p w14:paraId="272F02FD" w14:textId="77777777" w:rsidR="008C43BB" w:rsidRDefault="008C43BB" w:rsidP="008C43BB">
            <w:pPr>
              <w:pStyle w:val="ListParagraph"/>
              <w:numPr>
                <w:ilvl w:val="0"/>
                <w:numId w:val="3"/>
              </w:numPr>
            </w:pPr>
            <w:r>
              <w:t>Hate crime</w:t>
            </w:r>
          </w:p>
          <w:p w14:paraId="51925CDB" w14:textId="77777777" w:rsidR="008C43BB" w:rsidRDefault="008C43BB" w:rsidP="008C43BB">
            <w:pPr>
              <w:pStyle w:val="ListParagraph"/>
              <w:numPr>
                <w:ilvl w:val="0"/>
                <w:numId w:val="3"/>
              </w:numPr>
            </w:pPr>
            <w:r>
              <w:t>What is bullying?</w:t>
            </w:r>
          </w:p>
          <w:p w14:paraId="77011931" w14:textId="77777777" w:rsidR="008C43BB" w:rsidRDefault="008C43BB" w:rsidP="008C43BB">
            <w:pPr>
              <w:pStyle w:val="ListParagraph"/>
              <w:numPr>
                <w:ilvl w:val="0"/>
                <w:numId w:val="3"/>
              </w:numPr>
            </w:pPr>
            <w:r>
              <w:t>Homophobia and challenging it</w:t>
            </w:r>
          </w:p>
          <w:p w14:paraId="003072A0" w14:textId="77777777" w:rsidR="008C43BB" w:rsidRDefault="008C43BB" w:rsidP="008C43BB">
            <w:pPr>
              <w:pStyle w:val="ListParagraph"/>
              <w:numPr>
                <w:ilvl w:val="0"/>
                <w:numId w:val="3"/>
              </w:numPr>
            </w:pPr>
            <w:r>
              <w:t>LGBTQ+</w:t>
            </w:r>
          </w:p>
          <w:p w14:paraId="5DAA277C" w14:textId="77777777" w:rsidR="008C43BB" w:rsidRDefault="008C43BB" w:rsidP="008C43BB">
            <w:pPr>
              <w:pStyle w:val="ListParagraph"/>
              <w:numPr>
                <w:ilvl w:val="0"/>
                <w:numId w:val="3"/>
              </w:numPr>
            </w:pPr>
            <w:r>
              <w:t>Cyber bullying/ trolling</w:t>
            </w:r>
          </w:p>
          <w:p w14:paraId="63B9A533" w14:textId="77777777" w:rsidR="008C43BB" w:rsidRDefault="008C43BB" w:rsidP="008C43BB">
            <w:pPr>
              <w:pStyle w:val="ListParagraph"/>
              <w:numPr>
                <w:ilvl w:val="0"/>
                <w:numId w:val="3"/>
              </w:numPr>
            </w:pPr>
            <w:r>
              <w:t>Grooming</w:t>
            </w:r>
          </w:p>
          <w:p w14:paraId="640385FE" w14:textId="77777777" w:rsidR="008C43BB" w:rsidRDefault="008C43BB" w:rsidP="008C43BB">
            <w:pPr>
              <w:pStyle w:val="ListParagraph"/>
              <w:numPr>
                <w:ilvl w:val="0"/>
                <w:numId w:val="3"/>
              </w:numPr>
            </w:pPr>
            <w:r>
              <w:t>Child abuse</w:t>
            </w:r>
          </w:p>
          <w:p w14:paraId="763853C3" w14:textId="77777777" w:rsidR="008C43BB" w:rsidRDefault="008C43BB" w:rsidP="008C43BB">
            <w:pPr>
              <w:pStyle w:val="ListParagraph"/>
              <w:numPr>
                <w:ilvl w:val="0"/>
                <w:numId w:val="3"/>
              </w:numPr>
            </w:pPr>
            <w:r>
              <w:t>County lines</w:t>
            </w:r>
          </w:p>
          <w:p w14:paraId="69F24EA8" w14:textId="77777777" w:rsidR="008C43BB" w:rsidRDefault="008C43BB" w:rsidP="008C43BB">
            <w:pPr>
              <w:pStyle w:val="ListParagraph"/>
              <w:numPr>
                <w:ilvl w:val="0"/>
                <w:numId w:val="3"/>
              </w:numPr>
            </w:pPr>
            <w:r>
              <w:t>What is love?</w:t>
            </w:r>
          </w:p>
          <w:p w14:paraId="0FC075C0" w14:textId="77777777" w:rsidR="008C43BB" w:rsidRDefault="008C43BB" w:rsidP="008C43BB">
            <w:pPr>
              <w:pStyle w:val="ListParagraph"/>
              <w:numPr>
                <w:ilvl w:val="0"/>
                <w:numId w:val="3"/>
              </w:numPr>
            </w:pPr>
            <w:r>
              <w:t>contraception</w:t>
            </w:r>
          </w:p>
          <w:p w14:paraId="527E0AC7" w14:textId="3A1E923D" w:rsidR="1F1BFE12" w:rsidRDefault="1F1BFE12" w:rsidP="008C43B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6EADF6E2" w14:textId="77777777" w:rsidTr="6BF6F9F0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7FEB6E" w14:textId="438D102A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B0C1C5E" w14:textId="78399A75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9B4CEB5" w14:textId="0304E7F0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224B159" w14:textId="5B3A2FA7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Skills</w:t>
            </w:r>
          </w:p>
          <w:p w14:paraId="170CA895" w14:textId="3477540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A2F6C3A" w14:textId="36EBABE8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7318F0B9" w14:textId="6289C04E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43C8BF41" w14:textId="05CB2936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D6B488" w14:textId="77777777" w:rsidR="1F1BFE12" w:rsidRDefault="00DF16F0" w:rsidP="6BF6F9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To understand:</w:t>
            </w:r>
          </w:p>
          <w:p w14:paraId="37590AC3" w14:textId="77777777" w:rsidR="00DF16F0" w:rsidRDefault="00DF16F0" w:rsidP="00DF16F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What constitutes a family and to explore the different roles that each member plays</w:t>
            </w:r>
          </w:p>
          <w:p w14:paraId="74C76EF9" w14:textId="77777777" w:rsidR="00DF16F0" w:rsidRDefault="00DF16F0" w:rsidP="00DF16F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To explore how we can contribute to family life and the impact that this has</w:t>
            </w:r>
          </w:p>
          <w:p w14:paraId="7E11A5B8" w14:textId="77777777" w:rsidR="00DF16F0" w:rsidRDefault="00DF16F0" w:rsidP="00DF16F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To discuss what a healthy relationship is and to identify any warning signs of a toxic relationship </w:t>
            </w:r>
          </w:p>
          <w:p w14:paraId="6933DAEE" w14:textId="77777777" w:rsidR="00DF16F0" w:rsidRDefault="00DF16F0" w:rsidP="00DF16F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To explore what having faith is and to research inspirational figures that have used their faith to survive.</w:t>
            </w:r>
          </w:p>
          <w:p w14:paraId="79BE83B3" w14:textId="77777777" w:rsidR="00DF16F0" w:rsidRDefault="00DF16F0" w:rsidP="00DF16F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Explore the way in which we are different and how this is to be celebrated not criticised.</w:t>
            </w:r>
          </w:p>
          <w:p w14:paraId="5F6350F9" w14:textId="77777777" w:rsidR="00DF16F0" w:rsidRDefault="00DF16F0" w:rsidP="00DF16F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To define racism and to explore the different ways in which racism occurs. </w:t>
            </w:r>
            <w:r w:rsidR="00C07D67">
              <w:rPr>
                <w:rFonts w:ascii="Calibri" w:eastAsia="Calibri" w:hAnsi="Calibri" w:cs="Calibri"/>
                <w:color w:val="000000" w:themeColor="text1"/>
              </w:rPr>
              <w:t>E</w:t>
            </w:r>
            <w:r>
              <w:rPr>
                <w:rFonts w:ascii="Calibri" w:eastAsia="Calibri" w:hAnsi="Calibri" w:cs="Calibri"/>
                <w:color w:val="000000" w:themeColor="text1"/>
              </w:rPr>
              <w:t>xam</w:t>
            </w:r>
            <w:r w:rsidR="00C07D67">
              <w:rPr>
                <w:rFonts w:ascii="Calibri" w:eastAsia="Calibri" w:hAnsi="Calibri" w:cs="Calibri"/>
                <w:color w:val="000000" w:themeColor="text1"/>
              </w:rPr>
              <w:t xml:space="preserve">ple in sports etc. </w:t>
            </w:r>
          </w:p>
          <w:p w14:paraId="180D3F3C" w14:textId="77777777" w:rsidR="00C07D67" w:rsidRDefault="00C07D67" w:rsidP="00DF16F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To identify what a hate crime is and how we can prevent these from occurring; where to go for support etc. </w:t>
            </w:r>
          </w:p>
          <w:p w14:paraId="46FA3690" w14:textId="77777777" w:rsidR="00C07D67" w:rsidRDefault="00C07D67" w:rsidP="00DF16F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To research ways in which we ‘bully’ people and why this should not happen </w:t>
            </w:r>
          </w:p>
          <w:p w14:paraId="3F342880" w14:textId="77777777" w:rsidR="00C07D67" w:rsidRDefault="00C07D67" w:rsidP="00DF16F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To identify what homophobia is and to explore the ways in which we can challenge this behaviour.</w:t>
            </w:r>
          </w:p>
          <w:p w14:paraId="0D7C5B20" w14:textId="77777777" w:rsidR="00C07D67" w:rsidRDefault="00C07D67" w:rsidP="00DF16F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To define LGBTQ+ how we celebrate this in our society </w:t>
            </w:r>
          </w:p>
          <w:p w14:paraId="118E3298" w14:textId="77777777" w:rsidR="00E578AF" w:rsidRDefault="00E578AF" w:rsidP="00DF16F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To identify what cyber bullying is and look at where we can go for support</w:t>
            </w:r>
          </w:p>
          <w:p w14:paraId="1DE0AE0E" w14:textId="77777777" w:rsidR="00717769" w:rsidRDefault="00717769" w:rsidP="00DF16F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To explore what constitutes grooming and they ways in which this occurs</w:t>
            </w:r>
          </w:p>
          <w:p w14:paraId="7CE64BEF" w14:textId="77777777" w:rsidR="00717769" w:rsidRDefault="00717769" w:rsidP="00DF16F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Research the different ways that abuse can take place and explore the impact of this both short and long term </w:t>
            </w:r>
          </w:p>
          <w:p w14:paraId="74D22483" w14:textId="77777777" w:rsidR="00717769" w:rsidRDefault="00717769" w:rsidP="00DF16F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To fully understand the term ‘county lines’ and how this impacts those of us in Blackpool. </w:t>
            </w:r>
          </w:p>
          <w:p w14:paraId="40BDE409" w14:textId="77777777" w:rsidR="00717769" w:rsidRDefault="00717769" w:rsidP="00DF16F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Explore the term ‘love’ and discover all of the ways in which we can demonstrate this quality in a safe environment </w:t>
            </w:r>
          </w:p>
          <w:p w14:paraId="1BEB6C5E" w14:textId="45CF67F7" w:rsidR="00C07D67" w:rsidRPr="00DF16F0" w:rsidRDefault="00717769" w:rsidP="00DF16F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Introduce contraception- look at what it is and why it is important; make links to conception, STIs etc</w:t>
            </w:r>
            <w:r w:rsidR="00C07D6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1F1BFE12" w14:paraId="2954266E" w14:textId="77777777" w:rsidTr="6BF6F9F0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1C45622" w14:textId="09806ABE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5A9C528" w14:textId="6DE6ED2C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</w:rPr>
              <w:t>Tier 3 key vocabulary</w:t>
            </w:r>
          </w:p>
        </w:tc>
      </w:tr>
      <w:tr w:rsidR="1F1BFE12" w14:paraId="46CC267C" w14:textId="77777777" w:rsidTr="6BF6F9F0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D6E36A" w14:textId="5F74F642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E041597" w14:textId="463C2463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05404A1" w14:textId="73217FB1" w:rsidR="1F1BFE12" w:rsidRDefault="1F1BFE12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0B31EF" w14:textId="77777777" w:rsidR="00531901" w:rsidRDefault="00D85DE1" w:rsidP="0071776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responsibility        contribute         communication           compromise          faith          ethos          value           ethnic cleansing            genocide         </w:t>
            </w:r>
          </w:p>
          <w:p w14:paraId="60265084" w14:textId="77777777" w:rsidR="00531901" w:rsidRDefault="00531901" w:rsidP="0071776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72CF21B" w14:textId="77777777" w:rsidR="00531901" w:rsidRDefault="00D85DE1" w:rsidP="0071776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prejudice        ignorance           tolerance            diversity           racism           discrimination            equality           EHRC            inequality           </w:t>
            </w:r>
          </w:p>
          <w:p w14:paraId="100A32B0" w14:textId="77777777" w:rsidR="00531901" w:rsidRDefault="00531901" w:rsidP="0071776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433C45A" w14:textId="77777777" w:rsidR="00531901" w:rsidRDefault="00D85DE1" w:rsidP="0071776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execrate         loather            hate crime              despise            detest          banter          bullying          homophobic           verbal   </w:t>
            </w:r>
            <w:r w:rsidR="00531901">
              <w:rPr>
                <w:rFonts w:ascii="Calibri" w:eastAsia="Calibri" w:hAnsi="Calibri" w:cs="Calibri"/>
                <w:color w:val="000000" w:themeColor="text1"/>
              </w:rPr>
              <w:t xml:space="preserve">      passive          </w:t>
            </w:r>
          </w:p>
          <w:p w14:paraId="492C2558" w14:textId="77777777" w:rsidR="00531901" w:rsidRDefault="00531901" w:rsidP="0071776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75C07694" w14:textId="77777777" w:rsidR="00531901" w:rsidRDefault="00531901" w:rsidP="0071776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assertive         aggression           lesbian           bisexual          queer         questioning           trans          gay          trolling            abuse         contact         </w:t>
            </w:r>
          </w:p>
          <w:p w14:paraId="414A243A" w14:textId="77777777" w:rsidR="00531901" w:rsidRDefault="00531901" w:rsidP="0071776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7DAE4051" w14:textId="77777777" w:rsidR="00531901" w:rsidRDefault="00531901" w:rsidP="0071776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conduct              harassment            strategies       exploitation         grooming        catfishing         fake profile         deception           anonymous       </w:t>
            </w:r>
          </w:p>
          <w:p w14:paraId="4104AF2F" w14:textId="77777777" w:rsidR="00531901" w:rsidRDefault="00531901" w:rsidP="0071776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78C5F64E" w14:textId="77777777" w:rsidR="00531901" w:rsidRDefault="00531901" w:rsidP="0071776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CEOP          trust         neglect            safeguarding          maltreatment         intervention        policy         welfare         county lines          trap </w:t>
            </w:r>
          </w:p>
          <w:p w14:paraId="20821EAD" w14:textId="77777777" w:rsidR="00531901" w:rsidRDefault="00531901" w:rsidP="0071776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EEB7066" w14:textId="77777777" w:rsidR="00531901" w:rsidRDefault="00531901" w:rsidP="0071776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house         modern slavery            elders          soldiers             teenier drug mule         feelings        love         relationships         friendships       </w:t>
            </w:r>
          </w:p>
          <w:p w14:paraId="5954D47E" w14:textId="77777777" w:rsidR="00531901" w:rsidRDefault="00531901" w:rsidP="0071776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82D268F" w14:textId="1943CE7A" w:rsidR="1F1BFE12" w:rsidRDefault="00531901" w:rsidP="0071776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jealousy         religion         abstinence         barrier       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supress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       oestrogen        progesterone       copper       IUS         IUD        contraception        </w:t>
            </w:r>
            <w:r w:rsidR="00D85DE1">
              <w:rPr>
                <w:rFonts w:ascii="Calibri" w:eastAsia="Calibri" w:hAnsi="Calibri" w:cs="Calibri"/>
                <w:color w:val="000000" w:themeColor="text1"/>
              </w:rPr>
              <w:t xml:space="preserve">        </w:t>
            </w:r>
          </w:p>
        </w:tc>
      </w:tr>
      <w:tr w:rsidR="1F1BFE12" w14:paraId="6C11A90A" w14:textId="77777777" w:rsidTr="6BF6F9F0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730EE87D" w14:textId="4AD0965D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4BBF1E25" w14:textId="6F67EA6A" w:rsidR="1F1BFE12" w:rsidRDefault="00717769" w:rsidP="0071776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Checking for understanding</w:t>
            </w:r>
          </w:p>
        </w:tc>
      </w:tr>
      <w:tr w:rsidR="1F1BFE12" w14:paraId="572134F1" w14:textId="77777777" w:rsidTr="6BF6F9F0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6928422" w14:textId="5E31FA82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0B6910E" w14:textId="61D936F0" w:rsidR="1F1BFE12" w:rsidRDefault="00717769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Opportunities to check for understanding 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E3869CC" w14:textId="6B7BC7D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724BB1A" w14:textId="77777777" w:rsidR="00717769" w:rsidRDefault="00717769" w:rsidP="007177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172A9FAD" w14:textId="77777777" w:rsidR="00717769" w:rsidRDefault="00717769" w:rsidP="007177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93C7169" w14:textId="77777777" w:rsidR="00717769" w:rsidRPr="00A04DD6" w:rsidRDefault="00717769" w:rsidP="007177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7ED7A082" w14:textId="77777777" w:rsidR="00717769" w:rsidRPr="00A04DD6" w:rsidRDefault="00717769" w:rsidP="007177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135937D" w14:textId="77777777" w:rsidR="00717769" w:rsidRPr="00A04DD6" w:rsidRDefault="00717769" w:rsidP="00717769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he Department for Education’s statutory guidance on assessment in the </w:t>
            </w:r>
            <w:hyperlink r:id="rId8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20F39244" w14:textId="651D7BD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FE7FE76" w14:textId="6DD0E94A" w:rsidR="00D12A2B" w:rsidRDefault="00AB5C99" w:rsidP="320AC621">
      <w:r>
        <w:lastRenderedPageBreak/>
        <w:br w:type="page"/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364"/>
        <w:gridCol w:w="12578"/>
      </w:tblGrid>
      <w:tr w:rsidR="320AC621" w14:paraId="37DE9C45" w14:textId="77777777" w:rsidTr="00B22536">
        <w:tc>
          <w:tcPr>
            <w:tcW w:w="13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04E3007D" w14:textId="55F8302C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Sequenced</w:t>
            </w:r>
          </w:p>
        </w:tc>
        <w:tc>
          <w:tcPr>
            <w:tcW w:w="12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0970C54E" w14:textId="72BB7424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20AC6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Core Theme 3</w:t>
            </w:r>
            <w:r w:rsidR="0053190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Wider world </w:t>
            </w:r>
          </w:p>
          <w:p w14:paraId="363613BA" w14:textId="4DBDB10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320AC621" w14:paraId="516E0D5E" w14:textId="77777777" w:rsidTr="00B22536">
        <w:tc>
          <w:tcPr>
            <w:tcW w:w="13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A39CB0" w14:textId="0E21767A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54489B1" w14:textId="243E14B4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046C957" w14:textId="2DF68A37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5CEA09B1" w14:textId="4A11B6E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DABAF8E" w14:textId="21A66D46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1785A014" w14:textId="58CC5FEF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7A9988" w14:textId="20E04638" w:rsidR="320AC621" w:rsidRDefault="3652148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BF6F9F0">
              <w:rPr>
                <w:rFonts w:ascii="Calibri" w:eastAsia="Calibri" w:hAnsi="Calibri" w:cs="Calibri"/>
                <w:color w:val="000000" w:themeColor="text1"/>
              </w:rPr>
              <w:t>To know:</w:t>
            </w:r>
          </w:p>
          <w:p w14:paraId="4EB3E273" w14:textId="77777777" w:rsidR="00531901" w:rsidRPr="00531901" w:rsidRDefault="00531901" w:rsidP="0053190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lang w:eastAsia="en-GB"/>
              </w:rPr>
            </w:pPr>
            <w:r w:rsidRPr="00531901">
              <w:rPr>
                <w:rFonts w:ascii="Calibri" w:eastAsia="Calibri" w:hAnsi="Calibri" w:cs="Calibri"/>
                <w:lang w:eastAsia="en-GB"/>
              </w:rPr>
              <w:t>Neurodiversity</w:t>
            </w:r>
          </w:p>
          <w:p w14:paraId="66033768" w14:textId="77777777" w:rsidR="00531901" w:rsidRPr="00531901" w:rsidRDefault="00531901" w:rsidP="0053190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lang w:eastAsia="en-GB"/>
              </w:rPr>
            </w:pPr>
            <w:r w:rsidRPr="00531901">
              <w:rPr>
                <w:rFonts w:ascii="Calibri" w:eastAsia="Calibri" w:hAnsi="Calibri" w:cs="Calibri"/>
                <w:lang w:eastAsia="en-GB"/>
              </w:rPr>
              <w:t>How do I save?</w:t>
            </w:r>
          </w:p>
          <w:p w14:paraId="2471849F" w14:textId="77777777" w:rsidR="00531901" w:rsidRPr="00531901" w:rsidRDefault="00531901" w:rsidP="0053190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lang w:eastAsia="en-GB"/>
              </w:rPr>
            </w:pPr>
            <w:r w:rsidRPr="00531901">
              <w:rPr>
                <w:rFonts w:ascii="Calibri" w:eastAsia="Calibri" w:hAnsi="Calibri" w:cs="Calibri"/>
                <w:lang w:eastAsia="en-GB"/>
              </w:rPr>
              <w:t>How enterprising am I?</w:t>
            </w:r>
          </w:p>
          <w:p w14:paraId="31F99A8F" w14:textId="77777777" w:rsidR="00531901" w:rsidRPr="00531901" w:rsidRDefault="00531901" w:rsidP="0053190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lang w:eastAsia="en-GB"/>
              </w:rPr>
            </w:pPr>
            <w:r w:rsidRPr="00531901">
              <w:rPr>
                <w:rFonts w:ascii="Calibri" w:eastAsia="Calibri" w:hAnsi="Calibri" w:cs="Calibri"/>
                <w:lang w:eastAsia="en-GB"/>
              </w:rPr>
              <w:t>What do I need to plan for?</w:t>
            </w:r>
          </w:p>
          <w:p w14:paraId="4FAB2EC6" w14:textId="77777777" w:rsidR="00531901" w:rsidRPr="00531901" w:rsidRDefault="00531901" w:rsidP="0053190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lang w:eastAsia="en-GB"/>
              </w:rPr>
            </w:pPr>
            <w:r w:rsidRPr="00531901">
              <w:rPr>
                <w:rFonts w:ascii="Calibri" w:eastAsia="Calibri" w:hAnsi="Calibri" w:cs="Calibri"/>
                <w:lang w:eastAsia="en-GB"/>
              </w:rPr>
              <w:t>How do I improve my prospects?</w:t>
            </w:r>
          </w:p>
          <w:p w14:paraId="752E3F10" w14:textId="77777777" w:rsidR="00531901" w:rsidRPr="00531901" w:rsidRDefault="00531901" w:rsidP="0053190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lang w:eastAsia="en-GB"/>
              </w:rPr>
            </w:pPr>
            <w:r w:rsidRPr="00531901">
              <w:rPr>
                <w:rFonts w:ascii="Calibri" w:eastAsia="Calibri" w:hAnsi="Calibri" w:cs="Calibri"/>
                <w:lang w:eastAsia="en-GB"/>
              </w:rPr>
              <w:t>What are my aspirations?</w:t>
            </w:r>
          </w:p>
          <w:p w14:paraId="0A36408D" w14:textId="77777777" w:rsidR="00531901" w:rsidRPr="00531901" w:rsidRDefault="00531901" w:rsidP="0053190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lang w:eastAsia="en-GB"/>
              </w:rPr>
            </w:pPr>
            <w:r w:rsidRPr="00531901">
              <w:rPr>
                <w:rFonts w:ascii="Calibri" w:eastAsia="Calibri" w:hAnsi="Calibri" w:cs="Calibri"/>
                <w:lang w:eastAsia="en-GB"/>
              </w:rPr>
              <w:t>What are my strengths?</w:t>
            </w:r>
          </w:p>
          <w:p w14:paraId="5E571EE3" w14:textId="77777777" w:rsidR="00531901" w:rsidRPr="00531901" w:rsidRDefault="00531901" w:rsidP="0053190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lang w:eastAsia="en-GB"/>
              </w:rPr>
            </w:pPr>
            <w:r w:rsidRPr="00531901">
              <w:rPr>
                <w:rFonts w:ascii="Calibri" w:eastAsia="Calibri" w:hAnsi="Calibri" w:cs="Calibri"/>
                <w:lang w:eastAsia="en-GB"/>
              </w:rPr>
              <w:t>Nature vs nurture</w:t>
            </w:r>
          </w:p>
          <w:p w14:paraId="4F48D71C" w14:textId="77777777" w:rsidR="00531901" w:rsidRPr="00531901" w:rsidRDefault="00531901" w:rsidP="0053190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lang w:eastAsia="en-GB"/>
              </w:rPr>
            </w:pPr>
            <w:r w:rsidRPr="00531901">
              <w:rPr>
                <w:rFonts w:ascii="Calibri" w:eastAsia="Calibri" w:hAnsi="Calibri" w:cs="Calibri"/>
                <w:lang w:eastAsia="en-GB"/>
              </w:rPr>
              <w:t>Stereotypes</w:t>
            </w:r>
          </w:p>
          <w:p w14:paraId="3871358C" w14:textId="77777777" w:rsidR="00531901" w:rsidRPr="00531901" w:rsidRDefault="00531901" w:rsidP="0053190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lang w:eastAsia="en-GB"/>
              </w:rPr>
            </w:pPr>
            <w:r w:rsidRPr="00531901">
              <w:rPr>
                <w:rFonts w:ascii="Calibri" w:eastAsia="Calibri" w:hAnsi="Calibri" w:cs="Calibri"/>
                <w:lang w:eastAsia="en-GB"/>
              </w:rPr>
              <w:t>What is money?</w:t>
            </w:r>
          </w:p>
          <w:p w14:paraId="2BA86686" w14:textId="1C6383F7" w:rsidR="320AC621" w:rsidRDefault="320AC621" w:rsidP="6BF6F9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20AC621" w14:paraId="7232E0CC" w14:textId="77777777" w:rsidTr="00B22536">
        <w:tc>
          <w:tcPr>
            <w:tcW w:w="13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A41A5E" w14:textId="438D102A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3A7DFB1" w14:textId="78399A75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A6F613E" w14:textId="0304E7F0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0AFF77C" w14:textId="5B3A2FA7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Skills</w:t>
            </w:r>
          </w:p>
          <w:p w14:paraId="29FBC028" w14:textId="3477540D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5BB78CA" w14:textId="36EBABE8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49B27CD3" w14:textId="6289C04E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446C22E4" w14:textId="05CB2936" w:rsidR="320AC621" w:rsidRDefault="320AC621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AAF3B9" w14:textId="10ED09B7" w:rsidR="00531901" w:rsidRDefault="00531901" w:rsidP="0053190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To understand:</w:t>
            </w:r>
          </w:p>
          <w:p w14:paraId="0105FF14" w14:textId="1D1CFC9A" w:rsidR="00531901" w:rsidRDefault="00531901" w:rsidP="00531901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Research the different </w:t>
            </w:r>
            <w:r w:rsidR="00B22536">
              <w:rPr>
                <w:rFonts w:ascii="Calibri" w:eastAsia="Calibri" w:hAnsi="Calibri" w:cs="Calibri"/>
                <w:color w:val="000000" w:themeColor="text1"/>
              </w:rPr>
              <w:t xml:space="preserve">types of cognitive conditions that can impact a person </w:t>
            </w:r>
          </w:p>
          <w:p w14:paraId="7C13530B" w14:textId="383E19CE" w:rsidR="00B22536" w:rsidRDefault="00B22536" w:rsidP="00531901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To explore the world of finances and to look at ways in which we can save up money for certain things/ days </w:t>
            </w:r>
          </w:p>
          <w:p w14:paraId="4170D4DE" w14:textId="7CDBA430" w:rsidR="00B22536" w:rsidRDefault="00B22536" w:rsidP="00531901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To explore our own qualities and to put our best self forward </w:t>
            </w:r>
          </w:p>
          <w:p w14:paraId="1136C365" w14:textId="1BEC0DA0" w:rsidR="00B22536" w:rsidRDefault="00B22536" w:rsidP="00531901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Understand the options that we have available to us in the future and how we can work towards these </w:t>
            </w:r>
          </w:p>
          <w:p w14:paraId="49D36600" w14:textId="6E1E970C" w:rsidR="00B22536" w:rsidRDefault="00B22536" w:rsidP="00531901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Identify where we need to improve and look at ways in which we can do this both in and out of school </w:t>
            </w:r>
          </w:p>
          <w:p w14:paraId="26958672" w14:textId="1398E783" w:rsidR="00B22536" w:rsidRDefault="00B22536" w:rsidP="00531901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Map out the positives of oneself </w:t>
            </w:r>
          </w:p>
          <w:p w14:paraId="6BF63F3D" w14:textId="5D5934A4" w:rsidR="00B22536" w:rsidRDefault="00B22536" w:rsidP="00531901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To explore the idea of nature vs nature and what makes us ‘us.</w:t>
            </w:r>
          </w:p>
          <w:p w14:paraId="54B49257" w14:textId="424556D0" w:rsidR="00B22536" w:rsidRDefault="00B22536" w:rsidP="00531901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Understand the term ‘stereotypes’ and how people consciously and unconsciously do this</w:t>
            </w:r>
          </w:p>
          <w:p w14:paraId="79203E3A" w14:textId="03203E0E" w:rsidR="00B22536" w:rsidRPr="00531901" w:rsidRDefault="00B22536" w:rsidP="00531901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To study financial education but also philosophical ideas such as money making one happy</w:t>
            </w:r>
          </w:p>
          <w:p w14:paraId="1186BBD7" w14:textId="790EB719" w:rsidR="320AC621" w:rsidRDefault="320AC621" w:rsidP="6BF6F9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20AC621" w14:paraId="493B1CCD" w14:textId="77777777" w:rsidTr="00B22536">
        <w:tc>
          <w:tcPr>
            <w:tcW w:w="13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E39E766" w14:textId="09806ABE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CEB1954" w14:textId="3FB515C8" w:rsidR="1F1BFE12" w:rsidRDefault="1F1BFE12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</w:rPr>
              <w:t>Tier 3 key vocabulary</w:t>
            </w:r>
          </w:p>
        </w:tc>
      </w:tr>
      <w:tr w:rsidR="320AC621" w14:paraId="1B816118" w14:textId="77777777" w:rsidTr="00B22536">
        <w:tc>
          <w:tcPr>
            <w:tcW w:w="13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CEAE06" w14:textId="5F74F642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A9C586D" w14:textId="463C2463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01C6AB30" w14:textId="73217FB1" w:rsidR="1F1BFE12" w:rsidRDefault="1F1BFE12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20AC6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9033FF" w14:textId="77777777" w:rsidR="005456FC" w:rsidRDefault="00B22536" w:rsidP="00B2253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Diverse          neurodiversity           neurological          dyslexia          ADHD        autism             dyspraxia         budget         finances           </w:t>
            </w:r>
          </w:p>
          <w:p w14:paraId="47673D79" w14:textId="77777777" w:rsidR="005456FC" w:rsidRDefault="005456FC" w:rsidP="00B2253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78A7184" w14:textId="77777777" w:rsidR="005456FC" w:rsidRDefault="005456FC" w:rsidP="00B2253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enterprise      personal development         deadlines         manage         negotiate        flexibility         problem solve          self-fulfilment       </w:t>
            </w:r>
          </w:p>
          <w:p w14:paraId="1024FB3D" w14:textId="77777777" w:rsidR="005456FC" w:rsidRDefault="005456FC" w:rsidP="00B2253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EC6B35A" w14:textId="77777777" w:rsidR="005456FC" w:rsidRDefault="005456FC" w:rsidP="00B2253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material comfort          pharmacist        jeweller         optometrist          barista       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Maitre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d’         forensics        self-realisation         nature        </w:t>
            </w:r>
          </w:p>
          <w:p w14:paraId="17B10AB9" w14:textId="77777777" w:rsidR="005456FC" w:rsidRDefault="005456FC" w:rsidP="00B2253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F94267A" w14:textId="77777777" w:rsidR="005456FC" w:rsidRDefault="005456FC" w:rsidP="00B2253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nurture           genes        environment        psychological          DNA             epigenetics             socialisation        actualisation         injustice        </w:t>
            </w:r>
          </w:p>
          <w:p w14:paraId="3863F6DD" w14:textId="77777777" w:rsidR="005456FC" w:rsidRDefault="005456FC" w:rsidP="00B2253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016AF99" w14:textId="3194E6B8" w:rsidR="320AC621" w:rsidRDefault="005456FC" w:rsidP="00B2253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color w:val="000000" w:themeColor="text1"/>
              </w:rPr>
              <w:t xml:space="preserve">persecution            bartering           finances       </w:t>
            </w:r>
          </w:p>
        </w:tc>
      </w:tr>
      <w:tr w:rsidR="320AC621" w14:paraId="5E84C014" w14:textId="77777777" w:rsidTr="00B22536">
        <w:tc>
          <w:tcPr>
            <w:tcW w:w="13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302D78E7" w14:textId="4AD0965D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46E97E55" w14:textId="43799CE5" w:rsidR="1F1BFE12" w:rsidRDefault="00B22536" w:rsidP="00B2253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Checking for understanding</w:t>
            </w:r>
          </w:p>
        </w:tc>
      </w:tr>
      <w:tr w:rsidR="320AC621" w14:paraId="1FDECBE1" w14:textId="77777777" w:rsidTr="00B22536">
        <w:tc>
          <w:tcPr>
            <w:tcW w:w="13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D571C5D" w14:textId="5E31FA82" w:rsidR="320AC621" w:rsidRDefault="320AC621" w:rsidP="320AC62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1052EE9" w14:textId="24AD5662" w:rsidR="1F1BFE12" w:rsidRDefault="00B22536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Opportunities to check for understanding </w:t>
            </w:r>
          </w:p>
        </w:tc>
        <w:tc>
          <w:tcPr>
            <w:tcW w:w="12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1396D3A" w14:textId="77777777" w:rsidR="00B22536" w:rsidRDefault="00B22536" w:rsidP="00B2253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23203931" w14:textId="77777777" w:rsidR="00B22536" w:rsidRDefault="00B22536" w:rsidP="00B2253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63ECE97" w14:textId="77777777" w:rsidR="00B22536" w:rsidRPr="00A04DD6" w:rsidRDefault="00B22536" w:rsidP="00B2253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52883CC3" w14:textId="77777777" w:rsidR="00B22536" w:rsidRPr="00A04DD6" w:rsidRDefault="00B22536" w:rsidP="00B2253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468629F" w14:textId="4F8FF0BC" w:rsidR="320AC621" w:rsidRDefault="00B22536" w:rsidP="00B2253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 Department for Education’s statutory guidance on assessment in the </w:t>
            </w:r>
            <w:hyperlink r:id="rId9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</w:p>
          <w:p w14:paraId="2B3DFEA0" w14:textId="2B84DF0D" w:rsidR="1F1BFE12" w:rsidRDefault="1F1BFE12" w:rsidP="320AC62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D2CDD65" w14:textId="1B7742AE" w:rsidR="00D12A2B" w:rsidRDefault="00D12A2B" w:rsidP="320AC621"/>
    <w:sectPr w:rsidR="00D12A2B">
      <w:headerReference w:type="default" r:id="rId10"/>
      <w:footerReference w:type="default" r:id="rId11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1F410" w14:textId="77777777" w:rsidR="00221BA5" w:rsidRDefault="00221BA5">
      <w:pPr>
        <w:spacing w:after="0" w:line="240" w:lineRule="auto"/>
      </w:pPr>
      <w:r>
        <w:separator/>
      </w:r>
    </w:p>
  </w:endnote>
  <w:endnote w:type="continuationSeparator" w:id="0">
    <w:p w14:paraId="3F1F312B" w14:textId="77777777" w:rsidR="00221BA5" w:rsidRDefault="0022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EA7375" w14:paraId="30D21DFD" w14:textId="77777777" w:rsidTr="6BF6F9F0">
      <w:tc>
        <w:tcPr>
          <w:tcW w:w="4650" w:type="dxa"/>
        </w:tcPr>
        <w:p w14:paraId="379F3C8F" w14:textId="17CB4221" w:rsidR="00EA7375" w:rsidRDefault="00EA7375" w:rsidP="6BF6F9F0">
          <w:pPr>
            <w:pStyle w:val="Header"/>
            <w:ind w:left="-115"/>
          </w:pPr>
        </w:p>
      </w:tc>
      <w:tc>
        <w:tcPr>
          <w:tcW w:w="4650" w:type="dxa"/>
        </w:tcPr>
        <w:p w14:paraId="3264D921" w14:textId="3C15C778" w:rsidR="00EA7375" w:rsidRDefault="00EA7375" w:rsidP="6BF6F9F0">
          <w:pPr>
            <w:pStyle w:val="Header"/>
            <w:jc w:val="center"/>
          </w:pPr>
        </w:p>
      </w:tc>
      <w:tc>
        <w:tcPr>
          <w:tcW w:w="4650" w:type="dxa"/>
        </w:tcPr>
        <w:p w14:paraId="691ECBB6" w14:textId="56CD7460" w:rsidR="00EA7375" w:rsidRDefault="00EA7375" w:rsidP="6BF6F9F0">
          <w:pPr>
            <w:pStyle w:val="Header"/>
            <w:ind w:right="-115"/>
            <w:jc w:val="right"/>
          </w:pPr>
        </w:p>
      </w:tc>
    </w:tr>
  </w:tbl>
  <w:p w14:paraId="0242798D" w14:textId="25BA256B" w:rsidR="00EA7375" w:rsidRDefault="00EA7375" w:rsidP="6BF6F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1FA6C" w14:textId="77777777" w:rsidR="00221BA5" w:rsidRDefault="00221BA5">
      <w:pPr>
        <w:spacing w:after="0" w:line="240" w:lineRule="auto"/>
      </w:pPr>
      <w:r>
        <w:separator/>
      </w:r>
    </w:p>
  </w:footnote>
  <w:footnote w:type="continuationSeparator" w:id="0">
    <w:p w14:paraId="24EC6831" w14:textId="77777777" w:rsidR="00221BA5" w:rsidRDefault="0022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065"/>
      <w:gridCol w:w="2235"/>
      <w:gridCol w:w="4650"/>
    </w:tblGrid>
    <w:tr w:rsidR="00EA7375" w14:paraId="51FA9C33" w14:textId="77777777" w:rsidTr="6BF6F9F0">
      <w:tc>
        <w:tcPr>
          <w:tcW w:w="7065" w:type="dxa"/>
        </w:tcPr>
        <w:p w14:paraId="7ECE50CD" w14:textId="1AC5B9A8" w:rsidR="00EA7375" w:rsidRDefault="00EA7375" w:rsidP="6BF6F9F0">
          <w:pPr>
            <w:pStyle w:val="Header"/>
            <w:ind w:left="-115"/>
            <w:rPr>
              <w:b/>
              <w:bCs/>
              <w:sz w:val="28"/>
              <w:szCs w:val="28"/>
              <w:u w:val="single"/>
            </w:rPr>
          </w:pPr>
          <w:r w:rsidRPr="6BF6F9F0">
            <w:rPr>
              <w:b/>
              <w:bCs/>
              <w:sz w:val="28"/>
              <w:szCs w:val="28"/>
              <w:u w:val="single"/>
            </w:rPr>
            <w:t xml:space="preserve">Year 8 PSHE </w:t>
          </w:r>
        </w:p>
        <w:p w14:paraId="04CAAC87" w14:textId="37EA58CD" w:rsidR="00EA7375" w:rsidRDefault="00EA7375" w:rsidP="6BF6F9F0">
          <w:pPr>
            <w:pStyle w:val="Header"/>
            <w:ind w:left="-115"/>
            <w:rPr>
              <w:b/>
              <w:bCs/>
              <w:sz w:val="28"/>
              <w:szCs w:val="28"/>
              <w:u w:val="single"/>
            </w:rPr>
          </w:pPr>
          <w:r w:rsidRPr="6BF6F9F0">
            <w:rPr>
              <w:b/>
              <w:bCs/>
              <w:sz w:val="28"/>
              <w:szCs w:val="28"/>
              <w:u w:val="single"/>
            </w:rPr>
            <w:t>Knowledge and Skills Mapping</w:t>
          </w:r>
        </w:p>
      </w:tc>
      <w:tc>
        <w:tcPr>
          <w:tcW w:w="2235" w:type="dxa"/>
        </w:tcPr>
        <w:p w14:paraId="1F05EF7C" w14:textId="675259FA" w:rsidR="00EA7375" w:rsidRDefault="00EA7375" w:rsidP="6BF6F9F0">
          <w:pPr>
            <w:pStyle w:val="Header"/>
            <w:jc w:val="center"/>
            <w:rPr>
              <w:b/>
              <w:bCs/>
              <w:sz w:val="28"/>
              <w:szCs w:val="28"/>
              <w:u w:val="single"/>
            </w:rPr>
          </w:pPr>
        </w:p>
      </w:tc>
      <w:tc>
        <w:tcPr>
          <w:tcW w:w="4650" w:type="dxa"/>
        </w:tcPr>
        <w:p w14:paraId="23E07944" w14:textId="6B2E225B" w:rsidR="00EA7375" w:rsidRDefault="00EA7375" w:rsidP="6BF6F9F0">
          <w:pPr>
            <w:pStyle w:val="Header"/>
            <w:ind w:right="-115"/>
            <w:jc w:val="right"/>
            <w:rPr>
              <w:b/>
              <w:bCs/>
              <w:sz w:val="28"/>
              <w:szCs w:val="28"/>
              <w:u w:val="single"/>
            </w:rPr>
          </w:pPr>
        </w:p>
      </w:tc>
    </w:tr>
  </w:tbl>
  <w:p w14:paraId="4450014B" w14:textId="0E653282" w:rsidR="00EA7375" w:rsidRDefault="00EA7375" w:rsidP="6BF6F9F0">
    <w:pPr>
      <w:pStyle w:val="Header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07100"/>
    <w:multiLevelType w:val="hybridMultilevel"/>
    <w:tmpl w:val="BF0C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42325"/>
    <w:multiLevelType w:val="hybridMultilevel"/>
    <w:tmpl w:val="10E0D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64160"/>
    <w:multiLevelType w:val="hybridMultilevel"/>
    <w:tmpl w:val="656E8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1611F"/>
    <w:multiLevelType w:val="hybridMultilevel"/>
    <w:tmpl w:val="6882D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73026"/>
    <w:multiLevelType w:val="hybridMultilevel"/>
    <w:tmpl w:val="ADA66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F6C11"/>
    <w:multiLevelType w:val="hybridMultilevel"/>
    <w:tmpl w:val="4454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8CF14A"/>
    <w:rsid w:val="000C0543"/>
    <w:rsid w:val="00221BA5"/>
    <w:rsid w:val="003D3954"/>
    <w:rsid w:val="00531901"/>
    <w:rsid w:val="005456FC"/>
    <w:rsid w:val="00717769"/>
    <w:rsid w:val="007228F5"/>
    <w:rsid w:val="0073CEF8"/>
    <w:rsid w:val="008C43BB"/>
    <w:rsid w:val="00990AA9"/>
    <w:rsid w:val="00AB5C99"/>
    <w:rsid w:val="00B22536"/>
    <w:rsid w:val="00C07D67"/>
    <w:rsid w:val="00D12A2B"/>
    <w:rsid w:val="00D85DE1"/>
    <w:rsid w:val="00DF16F0"/>
    <w:rsid w:val="00E578AF"/>
    <w:rsid w:val="00EA7375"/>
    <w:rsid w:val="0130D40E"/>
    <w:rsid w:val="0151D5AC"/>
    <w:rsid w:val="02457AED"/>
    <w:rsid w:val="02548698"/>
    <w:rsid w:val="02C4DF22"/>
    <w:rsid w:val="03C557D9"/>
    <w:rsid w:val="04399BB6"/>
    <w:rsid w:val="04C597FD"/>
    <w:rsid w:val="059ECE8A"/>
    <w:rsid w:val="05D0BBEA"/>
    <w:rsid w:val="065D45EB"/>
    <w:rsid w:val="07057C9E"/>
    <w:rsid w:val="071D2C03"/>
    <w:rsid w:val="07633DFF"/>
    <w:rsid w:val="0819EBF6"/>
    <w:rsid w:val="08A14CFF"/>
    <w:rsid w:val="08ECD93F"/>
    <w:rsid w:val="09E1FE3F"/>
    <w:rsid w:val="0AC0FFBA"/>
    <w:rsid w:val="0AE980EC"/>
    <w:rsid w:val="0AECED3A"/>
    <w:rsid w:val="0B30B70E"/>
    <w:rsid w:val="0C1431BD"/>
    <w:rsid w:val="0CD474F5"/>
    <w:rsid w:val="0D9E89DE"/>
    <w:rsid w:val="0DBE12E6"/>
    <w:rsid w:val="0EAFA218"/>
    <w:rsid w:val="0F9470DD"/>
    <w:rsid w:val="0FEB2919"/>
    <w:rsid w:val="10864EED"/>
    <w:rsid w:val="108CF14A"/>
    <w:rsid w:val="10AFDD40"/>
    <w:rsid w:val="10D62AA0"/>
    <w:rsid w:val="13AF81F7"/>
    <w:rsid w:val="1437796C"/>
    <w:rsid w:val="14506190"/>
    <w:rsid w:val="14B8CA4C"/>
    <w:rsid w:val="14BE9A3C"/>
    <w:rsid w:val="14EEE725"/>
    <w:rsid w:val="1508EE00"/>
    <w:rsid w:val="165A6A9D"/>
    <w:rsid w:val="16A4BE61"/>
    <w:rsid w:val="1746D4A1"/>
    <w:rsid w:val="1764F52C"/>
    <w:rsid w:val="19266DFC"/>
    <w:rsid w:val="19B2F7FD"/>
    <w:rsid w:val="19D3CDA7"/>
    <w:rsid w:val="19D6F7B6"/>
    <w:rsid w:val="1B25941A"/>
    <w:rsid w:val="1C34F720"/>
    <w:rsid w:val="1C70AA5B"/>
    <w:rsid w:val="1CC3DC31"/>
    <w:rsid w:val="1CD861C9"/>
    <w:rsid w:val="1E74322A"/>
    <w:rsid w:val="1E866920"/>
    <w:rsid w:val="1F1BFE12"/>
    <w:rsid w:val="1F26B24D"/>
    <w:rsid w:val="1FA84B1D"/>
    <w:rsid w:val="1FB85704"/>
    <w:rsid w:val="1FCDDF36"/>
    <w:rsid w:val="20366F30"/>
    <w:rsid w:val="224980D0"/>
    <w:rsid w:val="2298A478"/>
    <w:rsid w:val="2340DB2B"/>
    <w:rsid w:val="237D4A3B"/>
    <w:rsid w:val="238B2EEF"/>
    <w:rsid w:val="23D1493B"/>
    <w:rsid w:val="242D452F"/>
    <w:rsid w:val="243474D9"/>
    <w:rsid w:val="247BBC40"/>
    <w:rsid w:val="26D1A9C7"/>
    <w:rsid w:val="26EA9690"/>
    <w:rsid w:val="26F470C1"/>
    <w:rsid w:val="2836C76B"/>
    <w:rsid w:val="29BBBC4D"/>
    <w:rsid w:val="29D297CC"/>
    <w:rsid w:val="2B6E682D"/>
    <w:rsid w:val="2BA3A6DA"/>
    <w:rsid w:val="2C9A041B"/>
    <w:rsid w:val="2D0A388E"/>
    <w:rsid w:val="2D3F773B"/>
    <w:rsid w:val="2D40AFB7"/>
    <w:rsid w:val="2DDDA797"/>
    <w:rsid w:val="2DE2625C"/>
    <w:rsid w:val="2E8C43AB"/>
    <w:rsid w:val="2EC4F510"/>
    <w:rsid w:val="2EFD391C"/>
    <w:rsid w:val="2F74F004"/>
    <w:rsid w:val="2F772780"/>
    <w:rsid w:val="2FD672EC"/>
    <w:rsid w:val="31A20637"/>
    <w:rsid w:val="31BB2E94"/>
    <w:rsid w:val="320AC621"/>
    <w:rsid w:val="322B1C53"/>
    <w:rsid w:val="3266BA5E"/>
    <w:rsid w:val="328D07BE"/>
    <w:rsid w:val="328DDBA4"/>
    <w:rsid w:val="332AE65B"/>
    <w:rsid w:val="3370F857"/>
    <w:rsid w:val="3428D81F"/>
    <w:rsid w:val="347BED4F"/>
    <w:rsid w:val="34C2079B"/>
    <w:rsid w:val="353E5B96"/>
    <w:rsid w:val="36521481"/>
    <w:rsid w:val="3665C2A1"/>
    <w:rsid w:val="37978CF1"/>
    <w:rsid w:val="38917FC5"/>
    <w:rsid w:val="38E2392E"/>
    <w:rsid w:val="397D4A9A"/>
    <w:rsid w:val="3A3FEBC3"/>
    <w:rsid w:val="3AD0CCEE"/>
    <w:rsid w:val="3AEB2ED3"/>
    <w:rsid w:val="3B8D4513"/>
    <w:rsid w:val="3C34BDEA"/>
    <w:rsid w:val="3C6C9D4F"/>
    <w:rsid w:val="3CF82850"/>
    <w:rsid w:val="3DD08E4B"/>
    <w:rsid w:val="3E70D486"/>
    <w:rsid w:val="3FF9ED7E"/>
    <w:rsid w:val="408BE599"/>
    <w:rsid w:val="41082F0D"/>
    <w:rsid w:val="41E1F5BD"/>
    <w:rsid w:val="421AA722"/>
    <w:rsid w:val="423C0C5B"/>
    <w:rsid w:val="443FCFCF"/>
    <w:rsid w:val="45B2C31A"/>
    <w:rsid w:val="45B3C034"/>
    <w:rsid w:val="45E38DB6"/>
    <w:rsid w:val="4681286F"/>
    <w:rsid w:val="474E937B"/>
    <w:rsid w:val="47777091"/>
    <w:rsid w:val="47A1D934"/>
    <w:rsid w:val="47DE75A6"/>
    <w:rsid w:val="47EB1DF1"/>
    <w:rsid w:val="484093E2"/>
    <w:rsid w:val="48513741"/>
    <w:rsid w:val="486D511A"/>
    <w:rsid w:val="488886E5"/>
    <w:rsid w:val="4896F77E"/>
    <w:rsid w:val="491340F2"/>
    <w:rsid w:val="49155E88"/>
    <w:rsid w:val="49DE26CF"/>
    <w:rsid w:val="4A4B9B9C"/>
    <w:rsid w:val="4AAEB733"/>
    <w:rsid w:val="4AD0F83B"/>
    <w:rsid w:val="4B4F5A6F"/>
    <w:rsid w:val="4BB2860D"/>
    <w:rsid w:val="4BB7D84A"/>
    <w:rsid w:val="4BBFEC13"/>
    <w:rsid w:val="4DC5C285"/>
    <w:rsid w:val="4E55AF48"/>
    <w:rsid w:val="5022CB92"/>
    <w:rsid w:val="5035FBC6"/>
    <w:rsid w:val="504BA5C7"/>
    <w:rsid w:val="51B3CF2F"/>
    <w:rsid w:val="54350409"/>
    <w:rsid w:val="545DE11F"/>
    <w:rsid w:val="56CE7C26"/>
    <w:rsid w:val="571E9FDA"/>
    <w:rsid w:val="57752017"/>
    <w:rsid w:val="58BA703B"/>
    <w:rsid w:val="596A6B2F"/>
    <w:rsid w:val="59C3B5AF"/>
    <w:rsid w:val="5A061CE8"/>
    <w:rsid w:val="5A2CD976"/>
    <w:rsid w:val="5ACD22A3"/>
    <w:rsid w:val="5AD0A0FF"/>
    <w:rsid w:val="5C83DDED"/>
    <w:rsid w:val="5CC07817"/>
    <w:rsid w:val="5E646AB5"/>
    <w:rsid w:val="5EF9575D"/>
    <w:rsid w:val="5F004A99"/>
    <w:rsid w:val="5F29B1BF"/>
    <w:rsid w:val="5F47FEF7"/>
    <w:rsid w:val="607BC2F3"/>
    <w:rsid w:val="6230F81F"/>
    <w:rsid w:val="624C210A"/>
    <w:rsid w:val="62FA1B70"/>
    <w:rsid w:val="6319F8B6"/>
    <w:rsid w:val="63D3BBBC"/>
    <w:rsid w:val="63E122CE"/>
    <w:rsid w:val="647404E9"/>
    <w:rsid w:val="64A43150"/>
    <w:rsid w:val="64F59DB9"/>
    <w:rsid w:val="671E8326"/>
    <w:rsid w:val="672C3228"/>
    <w:rsid w:val="67ABA5AB"/>
    <w:rsid w:val="68BB628E"/>
    <w:rsid w:val="6913CF13"/>
    <w:rsid w:val="69363B35"/>
    <w:rsid w:val="6946443B"/>
    <w:rsid w:val="69AB2403"/>
    <w:rsid w:val="69AB2E9B"/>
    <w:rsid w:val="6A9C18CB"/>
    <w:rsid w:val="6AE508F9"/>
    <w:rsid w:val="6BF6F9F0"/>
    <w:rsid w:val="6C24E618"/>
    <w:rsid w:val="6C6DB0DD"/>
    <w:rsid w:val="6C6DDBF7"/>
    <w:rsid w:val="6CD99BD1"/>
    <w:rsid w:val="6D5BCEFA"/>
    <w:rsid w:val="6DF6D230"/>
    <w:rsid w:val="6E01BED2"/>
    <w:rsid w:val="6E2E7C0A"/>
    <w:rsid w:val="6E416278"/>
    <w:rsid w:val="6F3BEE99"/>
    <w:rsid w:val="701508B2"/>
    <w:rsid w:val="70554C93"/>
    <w:rsid w:val="70915226"/>
    <w:rsid w:val="7110855F"/>
    <w:rsid w:val="7179033A"/>
    <w:rsid w:val="71B0D913"/>
    <w:rsid w:val="72AC55C0"/>
    <w:rsid w:val="730851B4"/>
    <w:rsid w:val="730F815E"/>
    <w:rsid w:val="734CA974"/>
    <w:rsid w:val="742FF7FD"/>
    <w:rsid w:val="74E879D5"/>
    <w:rsid w:val="75C46A99"/>
    <w:rsid w:val="765D00B7"/>
    <w:rsid w:val="766FAAC8"/>
    <w:rsid w:val="769D1DF3"/>
    <w:rsid w:val="775818BD"/>
    <w:rsid w:val="7774FA1F"/>
    <w:rsid w:val="77B0BD93"/>
    <w:rsid w:val="77DBC2D7"/>
    <w:rsid w:val="77F9E362"/>
    <w:rsid w:val="78201A97"/>
    <w:rsid w:val="789C640B"/>
    <w:rsid w:val="78D973DE"/>
    <w:rsid w:val="79F1425E"/>
    <w:rsid w:val="7A26F995"/>
    <w:rsid w:val="7A714D59"/>
    <w:rsid w:val="7AB9CD3C"/>
    <w:rsid w:val="7B136399"/>
    <w:rsid w:val="7C3EBECA"/>
    <w:rsid w:val="7CB663A4"/>
    <w:rsid w:val="7D00E0AD"/>
    <w:rsid w:val="7D2ECCD5"/>
    <w:rsid w:val="7D58CA67"/>
    <w:rsid w:val="7ECE521E"/>
    <w:rsid w:val="7EF49AC8"/>
    <w:rsid w:val="7FEE0466"/>
    <w:rsid w:val="7FF4F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F14A"/>
  <w15:chartTrackingRefBased/>
  <w15:docId w15:val="{369542D6-1B6C-45B7-8941-D0EE8074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0A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C4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1090195/Relationships_Education_RSE_and_Health_Edu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Hegarty</dc:creator>
  <cp:keywords/>
  <dc:description/>
  <cp:lastModifiedBy>Lesley Gregory</cp:lastModifiedBy>
  <cp:revision>2</cp:revision>
  <dcterms:created xsi:type="dcterms:W3CDTF">2023-08-15T08:41:00Z</dcterms:created>
  <dcterms:modified xsi:type="dcterms:W3CDTF">2023-08-15T08:41:00Z</dcterms:modified>
</cp:coreProperties>
</file>