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5" w:type="dxa"/>
        <w:tblLayout w:type="fixed"/>
        <w:tblLook w:val="0000" w:firstRow="0" w:lastRow="0" w:firstColumn="0" w:lastColumn="0" w:noHBand="0" w:noVBand="0"/>
      </w:tblPr>
      <w:tblGrid>
        <w:gridCol w:w="1290"/>
        <w:gridCol w:w="12765"/>
      </w:tblGrid>
      <w:tr w:rsidR="1F1BFE12" w14:paraId="347E769D" w14:textId="77777777" w:rsidTr="008C43BB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</w:tcPr>
          <w:p w14:paraId="1D5BF730" w14:textId="55F8302C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Sequenced</w:t>
            </w:r>
          </w:p>
        </w:tc>
        <w:tc>
          <w:tcPr>
            <w:tcW w:w="12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</w:tcPr>
          <w:p w14:paraId="6CE94DFF" w14:textId="77777777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F1BFE12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Core Theme 1</w:t>
            </w:r>
          </w:p>
          <w:p w14:paraId="455DD01C" w14:textId="097881D7" w:rsidR="00990AA9" w:rsidRDefault="00990AA9" w:rsidP="1F1BFE1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Health and Wellbeing </w:t>
            </w:r>
          </w:p>
        </w:tc>
      </w:tr>
      <w:tr w:rsidR="1F1BFE12" w14:paraId="6949FD26" w14:textId="77777777" w:rsidTr="008C43BB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5C3035" w14:textId="0E21767A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67F2BFAD" w14:textId="243E14B4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0E7FBC3" w14:textId="2DF68A37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Key Knowledge</w:t>
            </w:r>
          </w:p>
          <w:p w14:paraId="60D8A87E" w14:textId="4A11B6ED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D8D1FD3" w14:textId="21A66D46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(minimum)</w:t>
            </w:r>
          </w:p>
          <w:p w14:paraId="55502145" w14:textId="58CC5FEF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(Re-visited)</w:t>
            </w:r>
          </w:p>
        </w:tc>
        <w:tc>
          <w:tcPr>
            <w:tcW w:w="12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4571D0" w14:textId="66447126" w:rsidR="1F1BFE12" w:rsidRPr="00CA0979" w:rsidRDefault="6BF6F9F0" w:rsidP="6BF6F9F0">
            <w:pPr>
              <w:spacing w:line="259" w:lineRule="auto"/>
            </w:pPr>
            <w:r w:rsidRPr="00CA0979">
              <w:t>To know:</w:t>
            </w:r>
          </w:p>
          <w:p w14:paraId="0446DE0E" w14:textId="77777777" w:rsidR="00AB7166" w:rsidRPr="00CA0979" w:rsidRDefault="00AB7166" w:rsidP="00AB7166">
            <w:pPr>
              <w:pStyle w:val="ListParagraph"/>
            </w:pPr>
            <w:proofErr w:type="gramStart"/>
            <w:r w:rsidRPr="00CA0979">
              <w:t>  Understand</w:t>
            </w:r>
            <w:proofErr w:type="gramEnd"/>
            <w:r w:rsidRPr="00CA0979">
              <w:t xml:space="preserve"> the similarities and differences between online and offline worlds, including behaviours and risks.</w:t>
            </w:r>
          </w:p>
          <w:p w14:paraId="2DC17D94" w14:textId="77777777" w:rsidR="00AB7166" w:rsidRPr="00CA0979" w:rsidRDefault="00AB7166" w:rsidP="00AB7166">
            <w:pPr>
              <w:pStyle w:val="ListParagraph"/>
            </w:pPr>
            <w:proofErr w:type="gramStart"/>
            <w:r w:rsidRPr="00CA0979">
              <w:t>  Recognise</w:t>
            </w:r>
            <w:proofErr w:type="gramEnd"/>
            <w:r w:rsidRPr="00CA0979">
              <w:t xml:space="preserve"> how social media can promote unrealistic body expectations.</w:t>
            </w:r>
          </w:p>
          <w:p w14:paraId="72FB5CF8" w14:textId="77777777" w:rsidR="00AB7166" w:rsidRPr="00CA0979" w:rsidRDefault="00AB7166" w:rsidP="00AB7166">
            <w:pPr>
              <w:pStyle w:val="ListParagraph"/>
            </w:pPr>
            <w:proofErr w:type="gramStart"/>
            <w:r w:rsidRPr="00CA0979">
              <w:t>  Know</w:t>
            </w:r>
            <w:proofErr w:type="gramEnd"/>
            <w:r w:rsidRPr="00CA0979">
              <w:t xml:space="preserve"> the benefits of healthy eating and regular exercise on physical and mental wellbeing.</w:t>
            </w:r>
          </w:p>
          <w:p w14:paraId="302A9DDD" w14:textId="77777777" w:rsidR="00AB7166" w:rsidRPr="00CA0979" w:rsidRDefault="00AB7166" w:rsidP="00AB7166">
            <w:pPr>
              <w:pStyle w:val="ListParagraph"/>
            </w:pPr>
            <w:proofErr w:type="gramStart"/>
            <w:r w:rsidRPr="00CA0979">
              <w:t>  Understand</w:t>
            </w:r>
            <w:proofErr w:type="gramEnd"/>
            <w:r w:rsidRPr="00CA0979">
              <w:t xml:space="preserve"> what makes up a healthy lifestyle and how to maintain a healthy weight.</w:t>
            </w:r>
          </w:p>
          <w:p w14:paraId="6DF70638" w14:textId="77777777" w:rsidR="00AB7166" w:rsidRPr="00CA0979" w:rsidRDefault="00AB7166" w:rsidP="00AB7166">
            <w:pPr>
              <w:pStyle w:val="ListParagraph"/>
            </w:pPr>
            <w:proofErr w:type="gramStart"/>
            <w:r w:rsidRPr="00CA0979">
              <w:t>  Learn</w:t>
            </w:r>
            <w:proofErr w:type="gramEnd"/>
            <w:r w:rsidRPr="00CA0979">
              <w:t xml:space="preserve"> basic treatment for common injuries (e.g., cuts, burns, sprains).</w:t>
            </w:r>
          </w:p>
          <w:p w14:paraId="38B67181" w14:textId="77777777" w:rsidR="00AB7166" w:rsidRPr="00CA0979" w:rsidRDefault="00AB7166" w:rsidP="00AB7166">
            <w:pPr>
              <w:pStyle w:val="ListParagraph"/>
            </w:pPr>
            <w:proofErr w:type="gramStart"/>
            <w:r w:rsidRPr="00CA0979">
              <w:t>  Know</w:t>
            </w:r>
            <w:proofErr w:type="gramEnd"/>
            <w:r w:rsidRPr="00CA0979">
              <w:t xml:space="preserve"> essential life-saving skills, including CPR.</w:t>
            </w:r>
          </w:p>
          <w:p w14:paraId="4A2D2FB7" w14:textId="77777777" w:rsidR="00AB7166" w:rsidRPr="00CA0979" w:rsidRDefault="00AB7166" w:rsidP="00AB7166">
            <w:pPr>
              <w:pStyle w:val="ListParagraph"/>
            </w:pPr>
            <w:proofErr w:type="gramStart"/>
            <w:r w:rsidRPr="00CA0979">
              <w:t>  Understand</w:t>
            </w:r>
            <w:proofErr w:type="gramEnd"/>
            <w:r w:rsidRPr="00CA0979">
              <w:t xml:space="preserve"> the purpose and use of defibrillators (defibs) in emergencies.</w:t>
            </w:r>
          </w:p>
          <w:p w14:paraId="0449E05F" w14:textId="6F19CB33" w:rsidR="1F1BFE12" w:rsidRPr="00CA0979" w:rsidRDefault="1F1BFE12" w:rsidP="00AB7166">
            <w:pPr>
              <w:pStyle w:val="ListParagraph"/>
            </w:pPr>
          </w:p>
        </w:tc>
      </w:tr>
      <w:tr w:rsidR="1F1BFE12" w14:paraId="4DDFF022" w14:textId="77777777" w:rsidTr="008C43BB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61E4DB" w14:textId="438D102A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9E95E1B" w14:textId="5CEDCFAF" w:rsidR="1F1BFE12" w:rsidRDefault="38E2392E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DF6D23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</w:t>
            </w:r>
            <w:r w:rsidR="1F1BFE12" w:rsidRPr="6DF6D23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ey Skills</w:t>
            </w:r>
          </w:p>
          <w:p w14:paraId="54D82C15" w14:textId="3477540D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5BD17055" w14:textId="36EBABE8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(minimum)</w:t>
            </w:r>
          </w:p>
          <w:p w14:paraId="52546D08" w14:textId="6289C04E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(Re-visited)</w:t>
            </w:r>
          </w:p>
          <w:p w14:paraId="16AD28BB" w14:textId="05CB2936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7DA4C4" w14:textId="77777777" w:rsidR="1F1BFE12" w:rsidRPr="00CA0979" w:rsidRDefault="00990AA9" w:rsidP="00990AA9">
            <w:r w:rsidRPr="00CA0979">
              <w:t>To understand:</w:t>
            </w:r>
          </w:p>
          <w:p w14:paraId="2F4FA874" w14:textId="77777777" w:rsidR="00AB7166" w:rsidRPr="00CA0979" w:rsidRDefault="00990AA9" w:rsidP="00AB7166">
            <w:pPr>
              <w:pStyle w:val="ListParagraph"/>
            </w:pPr>
            <w:r w:rsidRPr="00CA0979">
              <w:t xml:space="preserve"> </w:t>
            </w:r>
            <w:proofErr w:type="gramStart"/>
            <w:r w:rsidR="00AB7166" w:rsidRPr="00CA0979">
              <w:t>  Compare</w:t>
            </w:r>
            <w:proofErr w:type="gramEnd"/>
            <w:r w:rsidR="00AB7166" w:rsidRPr="00CA0979">
              <w:t xml:space="preserve"> online and offline behaviours to make safe, respectful choices in both spaces</w:t>
            </w:r>
          </w:p>
          <w:p w14:paraId="1DFE3A9E" w14:textId="77777777" w:rsidR="00AB7166" w:rsidRPr="00CA0979" w:rsidRDefault="00AB7166" w:rsidP="00AB7166">
            <w:pPr>
              <w:pStyle w:val="ListParagraph"/>
            </w:pPr>
            <w:proofErr w:type="gramStart"/>
            <w:r w:rsidRPr="00CA0979">
              <w:t>  Critically</w:t>
            </w:r>
            <w:proofErr w:type="gramEnd"/>
            <w:r w:rsidRPr="00CA0979">
              <w:t xml:space="preserve"> evaluate social media content, including body image messages</w:t>
            </w:r>
          </w:p>
          <w:p w14:paraId="3D1B7606" w14:textId="77777777" w:rsidR="00AB7166" w:rsidRPr="00CA0979" w:rsidRDefault="00AB7166" w:rsidP="00AB7166">
            <w:pPr>
              <w:pStyle w:val="ListParagraph"/>
            </w:pPr>
            <w:proofErr w:type="gramStart"/>
            <w:r w:rsidRPr="00CA0979">
              <w:t>  Make</w:t>
            </w:r>
            <w:proofErr w:type="gramEnd"/>
            <w:r w:rsidRPr="00CA0979">
              <w:t xml:space="preserve"> informed choices about food and physical activity to support overall health</w:t>
            </w:r>
          </w:p>
          <w:p w14:paraId="618B879D" w14:textId="77777777" w:rsidR="00AB7166" w:rsidRPr="00CA0979" w:rsidRDefault="00AB7166" w:rsidP="00AB7166">
            <w:pPr>
              <w:pStyle w:val="ListParagraph"/>
            </w:pPr>
            <w:proofErr w:type="gramStart"/>
            <w:r w:rsidRPr="00CA0979">
              <w:t>  Apply</w:t>
            </w:r>
            <w:proofErr w:type="gramEnd"/>
            <w:r w:rsidRPr="00CA0979">
              <w:t xml:space="preserve"> healthy lifestyle habits to maintain a balanced weight and wellbeing</w:t>
            </w:r>
          </w:p>
          <w:p w14:paraId="40DE7E28" w14:textId="77777777" w:rsidR="00AB7166" w:rsidRPr="00CA0979" w:rsidRDefault="00AB7166" w:rsidP="00AB7166">
            <w:pPr>
              <w:pStyle w:val="ListParagraph"/>
            </w:pPr>
            <w:proofErr w:type="gramStart"/>
            <w:r w:rsidRPr="00CA0979">
              <w:t>  Administer</w:t>
            </w:r>
            <w:proofErr w:type="gramEnd"/>
            <w:r w:rsidRPr="00CA0979">
              <w:t xml:space="preserve"> basic first aid for common injuries</w:t>
            </w:r>
          </w:p>
          <w:p w14:paraId="329AA27E" w14:textId="77777777" w:rsidR="00AB7166" w:rsidRPr="00CA0979" w:rsidRDefault="00AB7166" w:rsidP="00AB7166">
            <w:pPr>
              <w:pStyle w:val="ListParagraph"/>
            </w:pPr>
            <w:proofErr w:type="gramStart"/>
            <w:r w:rsidRPr="00CA0979">
              <w:t>  Perform</w:t>
            </w:r>
            <w:proofErr w:type="gramEnd"/>
            <w:r w:rsidRPr="00CA0979">
              <w:t xml:space="preserve"> CPR confidently in emergency situations</w:t>
            </w:r>
          </w:p>
          <w:p w14:paraId="71588D11" w14:textId="77777777" w:rsidR="00AB7166" w:rsidRPr="00CA0979" w:rsidRDefault="00AB7166" w:rsidP="00AB7166">
            <w:pPr>
              <w:pStyle w:val="ListParagraph"/>
            </w:pPr>
            <w:proofErr w:type="gramStart"/>
            <w:r w:rsidRPr="00CA0979">
              <w:t>  Use</w:t>
            </w:r>
            <w:proofErr w:type="gramEnd"/>
            <w:r w:rsidRPr="00CA0979">
              <w:t xml:space="preserve"> a defibrillator (AED) appropriately and understand when it's needed</w:t>
            </w:r>
          </w:p>
          <w:p w14:paraId="64B54DF8" w14:textId="6D28C873" w:rsidR="00990AA9" w:rsidRPr="00CA0979" w:rsidRDefault="00990AA9" w:rsidP="00AB7166">
            <w:pPr>
              <w:pStyle w:val="ListParagraph"/>
            </w:pPr>
          </w:p>
        </w:tc>
      </w:tr>
      <w:tr w:rsidR="1F1BFE12" w14:paraId="5E8EB3F4" w14:textId="77777777" w:rsidTr="008C43BB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7C06063E" w14:textId="09806ABE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4AB238F2" w14:textId="49C56F5E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</w:rPr>
              <w:t xml:space="preserve">Tier 3 key vocabulary </w:t>
            </w:r>
          </w:p>
          <w:p w14:paraId="34D84D6E" w14:textId="08C21BA9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F1BFE12" w14:paraId="1D06BF1D" w14:textId="77777777" w:rsidTr="008C43BB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268D39" w14:textId="5F74F642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3A4A005C" w14:textId="463C2463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5FADF91D" w14:textId="73217FB1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Subject specific </w:t>
            </w:r>
          </w:p>
        </w:tc>
        <w:tc>
          <w:tcPr>
            <w:tcW w:w="12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0ED011" w14:textId="77777777" w:rsidR="00AB7166" w:rsidRPr="00AB7166" w:rsidRDefault="00AB7166" w:rsidP="00AB716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B7166">
              <w:rPr>
                <w:rFonts w:ascii="Calibri" w:eastAsia="Calibri" w:hAnsi="Calibri" w:cs="Calibri"/>
                <w:color w:val="000000" w:themeColor="text1"/>
              </w:rPr>
              <w:t>Digital footprint</w:t>
            </w:r>
          </w:p>
          <w:p w14:paraId="0F51162A" w14:textId="77777777" w:rsidR="00AB7166" w:rsidRPr="00AB7166" w:rsidRDefault="00AB7166" w:rsidP="00AB7166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34CBF1A5" w14:textId="77777777" w:rsidR="00AB7166" w:rsidRPr="00AB7166" w:rsidRDefault="00AB7166" w:rsidP="00AB716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B7166">
              <w:rPr>
                <w:rFonts w:ascii="Calibri" w:eastAsia="Calibri" w:hAnsi="Calibri" w:cs="Calibri"/>
                <w:color w:val="000000" w:themeColor="text1"/>
              </w:rPr>
              <w:t>Cyber behaviour</w:t>
            </w:r>
          </w:p>
          <w:p w14:paraId="0F021D1D" w14:textId="77777777" w:rsidR="00AB7166" w:rsidRPr="00AB7166" w:rsidRDefault="00AB7166" w:rsidP="00AB7166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F2390AA" w14:textId="77777777" w:rsidR="00AB7166" w:rsidRPr="00AB7166" w:rsidRDefault="00AB7166" w:rsidP="00AB716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B7166">
              <w:rPr>
                <w:rFonts w:ascii="Calibri" w:eastAsia="Calibri" w:hAnsi="Calibri" w:cs="Calibri"/>
                <w:color w:val="000000" w:themeColor="text1"/>
              </w:rPr>
              <w:t>Media literacy</w:t>
            </w:r>
          </w:p>
          <w:p w14:paraId="7271AD43" w14:textId="77777777" w:rsidR="00AB7166" w:rsidRPr="00AB7166" w:rsidRDefault="00AB7166" w:rsidP="00AB7166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E10C593" w14:textId="77777777" w:rsidR="00AB7166" w:rsidRPr="00AB7166" w:rsidRDefault="00AB7166" w:rsidP="00AB716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B7166">
              <w:rPr>
                <w:rFonts w:ascii="Calibri" w:eastAsia="Calibri" w:hAnsi="Calibri" w:cs="Calibri"/>
                <w:color w:val="000000" w:themeColor="text1"/>
              </w:rPr>
              <w:t>Body image</w:t>
            </w:r>
          </w:p>
          <w:p w14:paraId="347850F9" w14:textId="77777777" w:rsidR="00AB7166" w:rsidRPr="00AB7166" w:rsidRDefault="00AB7166" w:rsidP="00AB7166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6C73F9F" w14:textId="77777777" w:rsidR="00AB7166" w:rsidRPr="00AB7166" w:rsidRDefault="00AB7166" w:rsidP="00AB716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B7166">
              <w:rPr>
                <w:rFonts w:ascii="Calibri" w:eastAsia="Calibri" w:hAnsi="Calibri" w:cs="Calibri"/>
                <w:color w:val="000000" w:themeColor="text1"/>
              </w:rPr>
              <w:t>Nutritional value</w:t>
            </w:r>
          </w:p>
          <w:p w14:paraId="24E05E1A" w14:textId="77777777" w:rsidR="00AB7166" w:rsidRPr="00AB7166" w:rsidRDefault="00AB7166" w:rsidP="00AB7166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4E86CCC8" w14:textId="77777777" w:rsidR="00AB7166" w:rsidRPr="00AB7166" w:rsidRDefault="00AB7166" w:rsidP="00AB716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B7166">
              <w:rPr>
                <w:rFonts w:ascii="Calibri" w:eastAsia="Calibri" w:hAnsi="Calibri" w:cs="Calibri"/>
                <w:color w:val="000000" w:themeColor="text1"/>
              </w:rPr>
              <w:t>Balanced diet</w:t>
            </w:r>
          </w:p>
          <w:p w14:paraId="246AFD7C" w14:textId="77777777" w:rsidR="00AB7166" w:rsidRPr="00AB7166" w:rsidRDefault="00AB7166" w:rsidP="00AB7166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378B35F2" w14:textId="77777777" w:rsidR="00AB7166" w:rsidRPr="00AB7166" w:rsidRDefault="00AB7166" w:rsidP="00AB716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B7166">
              <w:rPr>
                <w:rFonts w:ascii="Calibri" w:eastAsia="Calibri" w:hAnsi="Calibri" w:cs="Calibri"/>
                <w:color w:val="000000" w:themeColor="text1"/>
              </w:rPr>
              <w:t>Physical activity</w:t>
            </w:r>
          </w:p>
          <w:p w14:paraId="72A14BB8" w14:textId="77777777" w:rsidR="00AB7166" w:rsidRPr="00AB7166" w:rsidRDefault="00AB7166" w:rsidP="00AB7166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30E2C4A3" w14:textId="77777777" w:rsidR="00AB7166" w:rsidRPr="00AB7166" w:rsidRDefault="00AB7166" w:rsidP="00AB716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B7166">
              <w:rPr>
                <w:rFonts w:ascii="Calibri" w:eastAsia="Calibri" w:hAnsi="Calibri" w:cs="Calibri"/>
                <w:color w:val="000000" w:themeColor="text1"/>
              </w:rPr>
              <w:t>Healthy lifestyle</w:t>
            </w:r>
          </w:p>
          <w:p w14:paraId="069E5F2F" w14:textId="77777777" w:rsidR="00AB7166" w:rsidRPr="00AB7166" w:rsidRDefault="00AB7166" w:rsidP="00AB7166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4B649DF" w14:textId="77777777" w:rsidR="00AB7166" w:rsidRPr="00AB7166" w:rsidRDefault="00AB7166" w:rsidP="00AB716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B7166">
              <w:rPr>
                <w:rFonts w:ascii="Calibri" w:eastAsia="Calibri" w:hAnsi="Calibri" w:cs="Calibri"/>
                <w:color w:val="000000" w:themeColor="text1"/>
              </w:rPr>
              <w:t>Body mass index (BMI)</w:t>
            </w:r>
          </w:p>
          <w:p w14:paraId="603CA18A" w14:textId="77777777" w:rsidR="00AB7166" w:rsidRPr="00AB7166" w:rsidRDefault="00AB7166" w:rsidP="00AB7166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110E0773" w14:textId="77777777" w:rsidR="00AB7166" w:rsidRPr="00AB7166" w:rsidRDefault="00AB7166" w:rsidP="00AB716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B7166">
              <w:rPr>
                <w:rFonts w:ascii="Calibri" w:eastAsia="Calibri" w:hAnsi="Calibri" w:cs="Calibri"/>
                <w:color w:val="000000" w:themeColor="text1"/>
              </w:rPr>
              <w:t>First aid</w:t>
            </w:r>
          </w:p>
          <w:p w14:paraId="624071DC" w14:textId="77777777" w:rsidR="00AB7166" w:rsidRPr="00AB7166" w:rsidRDefault="00AB7166" w:rsidP="00AB7166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D5CEFC5" w14:textId="77777777" w:rsidR="00AB7166" w:rsidRPr="00AB7166" w:rsidRDefault="00AB7166" w:rsidP="00AB716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B7166">
              <w:rPr>
                <w:rFonts w:ascii="Calibri" w:eastAsia="Calibri" w:hAnsi="Calibri" w:cs="Calibri"/>
                <w:color w:val="000000" w:themeColor="text1"/>
              </w:rPr>
              <w:t>Cardiopulmonary resuscitation (CPR)</w:t>
            </w:r>
          </w:p>
          <w:p w14:paraId="51673327" w14:textId="77777777" w:rsidR="00AB7166" w:rsidRPr="00AB7166" w:rsidRDefault="00AB7166" w:rsidP="00AB7166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7F225028" w14:textId="77777777" w:rsidR="00AB7166" w:rsidRPr="00AB7166" w:rsidRDefault="00AB7166" w:rsidP="00AB716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B7166">
              <w:rPr>
                <w:rFonts w:ascii="Calibri" w:eastAsia="Calibri" w:hAnsi="Calibri" w:cs="Calibri"/>
                <w:color w:val="000000" w:themeColor="text1"/>
              </w:rPr>
              <w:t>Defibrillator (AED)</w:t>
            </w:r>
          </w:p>
          <w:p w14:paraId="626A0B6F" w14:textId="77777777" w:rsidR="00AB7166" w:rsidRPr="00AB7166" w:rsidRDefault="00AB7166" w:rsidP="00AB7166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194599BD" w14:textId="77777777" w:rsidR="00AB7166" w:rsidRPr="00AB7166" w:rsidRDefault="00AB7166" w:rsidP="00AB716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B7166">
              <w:rPr>
                <w:rFonts w:ascii="Calibri" w:eastAsia="Calibri" w:hAnsi="Calibri" w:cs="Calibri"/>
                <w:color w:val="000000" w:themeColor="text1"/>
              </w:rPr>
              <w:t>Emergency response</w:t>
            </w:r>
          </w:p>
          <w:p w14:paraId="1E27972B" w14:textId="77777777" w:rsidR="00AB7166" w:rsidRPr="00AB7166" w:rsidRDefault="00AB7166" w:rsidP="00AB7166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6FDF063D" w14:textId="77777777" w:rsidR="00AB7166" w:rsidRPr="00AB7166" w:rsidRDefault="00AB7166" w:rsidP="00AB716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B7166">
              <w:rPr>
                <w:rFonts w:ascii="Calibri" w:eastAsia="Calibri" w:hAnsi="Calibri" w:cs="Calibri"/>
                <w:color w:val="000000" w:themeColor="text1"/>
              </w:rPr>
              <w:t>Automated external defibrillator</w:t>
            </w:r>
          </w:p>
          <w:p w14:paraId="59FF4626" w14:textId="77777777" w:rsidR="00AB7166" w:rsidRPr="00AB7166" w:rsidRDefault="00AB7166" w:rsidP="00AB7166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61EA2F2D" w14:textId="3133008A" w:rsidR="1F1BFE12" w:rsidRDefault="00AB7166" w:rsidP="00AB716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B7166">
              <w:rPr>
                <w:rFonts w:ascii="Calibri" w:eastAsia="Calibri" w:hAnsi="Calibri" w:cs="Calibri"/>
                <w:color w:val="000000" w:themeColor="text1"/>
              </w:rPr>
              <w:t>Injury management</w:t>
            </w:r>
          </w:p>
        </w:tc>
      </w:tr>
      <w:tr w:rsidR="1F1BFE12" w14:paraId="307EC9E8" w14:textId="77777777" w:rsidTr="008C43BB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7EE"/>
          </w:tcPr>
          <w:p w14:paraId="0B3779FA" w14:textId="4AD0965D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7EE"/>
          </w:tcPr>
          <w:p w14:paraId="7BBF5C60" w14:textId="38544507" w:rsidR="1F1BFE12" w:rsidRDefault="008C43BB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Checking for understanding </w:t>
            </w:r>
          </w:p>
        </w:tc>
      </w:tr>
      <w:tr w:rsidR="1F1BFE12" w14:paraId="57A9CE02" w14:textId="77777777" w:rsidTr="008C43BB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E377C6" w14:textId="5E31FA82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62C07C13" w14:textId="118ECB94" w:rsidR="1F1BFE12" w:rsidRDefault="008C43BB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Opportunities to check for understanding </w:t>
            </w:r>
          </w:p>
          <w:p w14:paraId="1C1859AC" w14:textId="6246F96D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49BBB503" w14:textId="6F186C76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138319AA" w14:textId="2E24A7A9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C7394D" w14:textId="77777777" w:rsidR="008C43BB" w:rsidRDefault="008C43BB" w:rsidP="008C43BB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Each lesson includes many opportunities to check for understanding. </w:t>
            </w:r>
          </w:p>
          <w:p w14:paraId="48EE34FC" w14:textId="77777777" w:rsidR="008C43BB" w:rsidRDefault="008C43BB" w:rsidP="008C43BB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757384AE" w14:textId="77777777" w:rsidR="008C43BB" w:rsidRPr="00A04DD6" w:rsidRDefault="008C43BB" w:rsidP="008C43BB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PSHE education is different to other areas of the curriculum as the learning is so strongly related to the student’s personal identity – their attitudes, skills, experiences and influences. </w:t>
            </w: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The most common form of assessment is ipsative assessment where you review the beginning and then again at the end of each unit, to see which knowledge has been acquired.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Please see my training video for information on this. </w:t>
            </w:r>
          </w:p>
          <w:p w14:paraId="6BB5FEF2" w14:textId="77777777" w:rsidR="008C43BB" w:rsidRPr="00A04DD6" w:rsidRDefault="008C43BB" w:rsidP="008C43BB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40026DF2" w14:textId="77777777" w:rsidR="008C43BB" w:rsidRPr="00A04DD6" w:rsidRDefault="008C43BB" w:rsidP="008C43BB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he Department for Education’s statutory guidance on assessment in the </w:t>
            </w:r>
            <w:hyperlink r:id="rId7" w:tgtFrame="_blank" w:history="1">
              <w:r w:rsidRPr="00A04DD6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shd w:val="clear" w:color="auto" w:fill="FFFFFF"/>
                </w:rPr>
                <w:t>Relationships, Sex and Health Education (p.43)</w:t>
              </w:r>
            </w:hyperlink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does emphasise that </w:t>
            </w:r>
            <w:r w:rsidRPr="00A04DD6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“Schools should have the same high expectations of the quality of pupils’ work in these subjects as for other curriculum areas…”  </w:t>
            </w: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Staff are expected to give written feedback for a piece of work, each half term.</w:t>
            </w:r>
            <w:r w:rsidRPr="00A04DD6">
              <w:rPr>
                <w:rFonts w:ascii="Arial" w:eastAsia="Calibri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A04DD6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The focus is on ensuring teachers are able to gauge progress, that teaching builds on what they already know, and that there are opportunities for ‘</w:t>
            </w:r>
            <w:r w:rsidRPr="00A04DD6">
              <w:rPr>
                <w:rFonts w:ascii="Arial" w:hAnsi="Arial" w:cs="Arial"/>
                <w:i/>
                <w:iCs/>
                <w:color w:val="222222"/>
                <w:sz w:val="20"/>
                <w:shd w:val="clear" w:color="auto" w:fill="FFFFFF"/>
              </w:rPr>
              <w:t>regular feedback on pupil progress’</w:t>
            </w:r>
            <w:r w:rsidRPr="00A04DD6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.</w:t>
            </w:r>
          </w:p>
          <w:p w14:paraId="17FA7796" w14:textId="17B32911" w:rsidR="1F1BFE12" w:rsidRDefault="1F1BFE12" w:rsidP="008C43B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CA1E98F" w14:textId="4A1BEFCD" w:rsidR="1F1BFE12" w:rsidRDefault="1F1BFE12" w:rsidP="008C43BB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32808446" w14:textId="39979B46" w:rsidR="00D12A2B" w:rsidRDefault="00AB5C99">
      <w:r>
        <w:lastRenderedPageBreak/>
        <w:br w:type="page"/>
      </w:r>
    </w:p>
    <w:tbl>
      <w:tblPr>
        <w:tblStyle w:val="TableGrid"/>
        <w:tblW w:w="13950" w:type="dxa"/>
        <w:tblLayout w:type="fixed"/>
        <w:tblLook w:val="0000" w:firstRow="0" w:lastRow="0" w:firstColumn="0" w:lastColumn="0" w:noHBand="0" w:noVBand="0"/>
      </w:tblPr>
      <w:tblGrid>
        <w:gridCol w:w="1305"/>
        <w:gridCol w:w="12645"/>
      </w:tblGrid>
      <w:tr w:rsidR="1F1BFE12" w14:paraId="044FEA53" w14:textId="77777777" w:rsidTr="6BF6F9F0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C3E5"/>
          </w:tcPr>
          <w:p w14:paraId="2C9D5CC1" w14:textId="55F8302C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Sequenced</w:t>
            </w: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C3E5"/>
          </w:tcPr>
          <w:p w14:paraId="22C47D69" w14:textId="77777777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F1BFE12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Core Theme 2</w:t>
            </w:r>
          </w:p>
          <w:p w14:paraId="06F966D5" w14:textId="7B286B9A" w:rsidR="008C43BB" w:rsidRDefault="008C43BB" w:rsidP="1F1BFE1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Relationships </w:t>
            </w:r>
          </w:p>
        </w:tc>
      </w:tr>
      <w:tr w:rsidR="1F1BFE12" w14:paraId="5A08E529" w14:textId="77777777" w:rsidTr="6BF6F9F0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52072B" w14:textId="0E21767A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7B47EA3" w14:textId="243E14B4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F4D85F2" w14:textId="2DF68A37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Key Knowledge</w:t>
            </w:r>
          </w:p>
          <w:p w14:paraId="5EA8864D" w14:textId="4A11B6ED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97A6A02" w14:textId="21A66D46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(minimum)</w:t>
            </w:r>
          </w:p>
          <w:p w14:paraId="440DD6A4" w14:textId="58CC5FEF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(Re-visited)</w:t>
            </w: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CB087B" w14:textId="40CCBCEC" w:rsidR="1F1BFE12" w:rsidRPr="00CA0979" w:rsidRDefault="36521481" w:rsidP="6BF6F9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CA0979">
              <w:rPr>
                <w:rFonts w:ascii="Calibri" w:eastAsia="Calibri" w:hAnsi="Calibri" w:cs="Calibri"/>
                <w:color w:val="000000" w:themeColor="text1"/>
              </w:rPr>
              <w:t>To know:</w:t>
            </w:r>
          </w:p>
          <w:p w14:paraId="50F9CB59" w14:textId="77777777" w:rsidR="00CA0979" w:rsidRPr="00CA0979" w:rsidRDefault="00CA0979" w:rsidP="00CA0979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CA0979">
              <w:rPr>
                <w:rFonts w:ascii="Calibri" w:eastAsia="Calibri" w:hAnsi="Calibri" w:cs="Calibri"/>
                <w:color w:val="000000" w:themeColor="text1"/>
              </w:rPr>
              <w:t>  Understand</w:t>
            </w:r>
            <w:proofErr w:type="gramEnd"/>
            <w:r w:rsidRPr="00CA0979">
              <w:rPr>
                <w:rFonts w:ascii="Calibri" w:eastAsia="Calibri" w:hAnsi="Calibri" w:cs="Calibri"/>
                <w:color w:val="000000" w:themeColor="text1"/>
              </w:rPr>
              <w:t xml:space="preserve"> consent and its legal importance.</w:t>
            </w:r>
          </w:p>
          <w:p w14:paraId="19FB02A8" w14:textId="77777777" w:rsidR="00CA0979" w:rsidRPr="00CA0979" w:rsidRDefault="00CA0979" w:rsidP="00CA0979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CA0979">
              <w:rPr>
                <w:rFonts w:ascii="Calibri" w:eastAsia="Calibri" w:hAnsi="Calibri" w:cs="Calibri"/>
                <w:color w:val="000000" w:themeColor="text1"/>
              </w:rPr>
              <w:t>  Know</w:t>
            </w:r>
            <w:proofErr w:type="gramEnd"/>
            <w:r w:rsidRPr="00CA0979">
              <w:rPr>
                <w:rFonts w:ascii="Calibri" w:eastAsia="Calibri" w:hAnsi="Calibri" w:cs="Calibri"/>
                <w:color w:val="000000" w:themeColor="text1"/>
              </w:rPr>
              <w:t xml:space="preserve"> the risks and legal issues surrounding youth-produced sexual imagery.</w:t>
            </w:r>
          </w:p>
          <w:p w14:paraId="4DA19B08" w14:textId="77777777" w:rsidR="00CA0979" w:rsidRPr="00CA0979" w:rsidRDefault="00CA0979" w:rsidP="00CA0979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CA0979">
              <w:rPr>
                <w:rFonts w:ascii="Calibri" w:eastAsia="Calibri" w:hAnsi="Calibri" w:cs="Calibri"/>
                <w:color w:val="000000" w:themeColor="text1"/>
              </w:rPr>
              <w:t>  Be</w:t>
            </w:r>
            <w:proofErr w:type="gramEnd"/>
            <w:r w:rsidRPr="00CA0979">
              <w:rPr>
                <w:rFonts w:ascii="Calibri" w:eastAsia="Calibri" w:hAnsi="Calibri" w:cs="Calibri"/>
                <w:color w:val="000000" w:themeColor="text1"/>
              </w:rPr>
              <w:t xml:space="preserve"> aware of forced marriage, its harms, and related laws.</w:t>
            </w:r>
          </w:p>
          <w:p w14:paraId="4BC55DFE" w14:textId="77777777" w:rsidR="00CA0979" w:rsidRPr="00CA0979" w:rsidRDefault="00CA0979" w:rsidP="00CA0979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CA0979">
              <w:rPr>
                <w:rFonts w:ascii="Calibri" w:eastAsia="Calibri" w:hAnsi="Calibri" w:cs="Calibri"/>
                <w:color w:val="000000" w:themeColor="text1"/>
              </w:rPr>
              <w:t>  Understand</w:t>
            </w:r>
            <w:proofErr w:type="gramEnd"/>
            <w:r w:rsidRPr="00CA0979">
              <w:rPr>
                <w:rFonts w:ascii="Calibri" w:eastAsia="Calibri" w:hAnsi="Calibri" w:cs="Calibri"/>
                <w:color w:val="000000" w:themeColor="text1"/>
              </w:rPr>
              <w:t xml:space="preserve"> what honour-based violence is and its consequences.</w:t>
            </w:r>
          </w:p>
          <w:p w14:paraId="6DB3BC2D" w14:textId="77777777" w:rsidR="00CA0979" w:rsidRPr="00CA0979" w:rsidRDefault="00CA0979" w:rsidP="00CA0979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CA0979">
              <w:rPr>
                <w:rFonts w:ascii="Calibri" w:eastAsia="Calibri" w:hAnsi="Calibri" w:cs="Calibri"/>
                <w:color w:val="000000" w:themeColor="text1"/>
              </w:rPr>
              <w:t>  Recognise</w:t>
            </w:r>
            <w:proofErr w:type="gramEnd"/>
            <w:r w:rsidRPr="00CA0979">
              <w:rPr>
                <w:rFonts w:ascii="Calibri" w:eastAsia="Calibri" w:hAnsi="Calibri" w:cs="Calibri"/>
                <w:color w:val="000000" w:themeColor="text1"/>
              </w:rPr>
              <w:t xml:space="preserve"> online risks including dangers posed by social media platforms.</w:t>
            </w:r>
          </w:p>
          <w:p w14:paraId="23470190" w14:textId="77777777" w:rsidR="00CA0979" w:rsidRPr="00CA0979" w:rsidRDefault="00CA0979" w:rsidP="00CA0979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CA0979">
              <w:rPr>
                <w:rFonts w:ascii="Calibri" w:eastAsia="Calibri" w:hAnsi="Calibri" w:cs="Calibri"/>
                <w:color w:val="000000" w:themeColor="text1"/>
              </w:rPr>
              <w:t>  Understand</w:t>
            </w:r>
            <w:proofErr w:type="gramEnd"/>
            <w:r w:rsidRPr="00CA0979">
              <w:rPr>
                <w:rFonts w:ascii="Calibri" w:eastAsia="Calibri" w:hAnsi="Calibri" w:cs="Calibri"/>
                <w:color w:val="000000" w:themeColor="text1"/>
              </w:rPr>
              <w:t xml:space="preserve"> how algorithms influence online content and behaviour.</w:t>
            </w:r>
          </w:p>
          <w:p w14:paraId="7613A47C" w14:textId="77777777" w:rsidR="00CA0979" w:rsidRPr="00CA0979" w:rsidRDefault="00CA0979" w:rsidP="00CA0979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CA0979">
              <w:rPr>
                <w:rFonts w:ascii="Calibri" w:eastAsia="Calibri" w:hAnsi="Calibri" w:cs="Calibri"/>
                <w:color w:val="000000" w:themeColor="text1"/>
              </w:rPr>
              <w:t>  Be</w:t>
            </w:r>
            <w:proofErr w:type="gramEnd"/>
            <w:r w:rsidRPr="00CA0979">
              <w:rPr>
                <w:rFonts w:ascii="Calibri" w:eastAsia="Calibri" w:hAnsi="Calibri" w:cs="Calibri"/>
                <w:color w:val="000000" w:themeColor="text1"/>
              </w:rPr>
              <w:t xml:space="preserve"> aware of the risks and impacts of online gaming.</w:t>
            </w:r>
          </w:p>
          <w:p w14:paraId="6A9A2B92" w14:textId="77777777" w:rsidR="00CA0979" w:rsidRPr="00CA0979" w:rsidRDefault="00CA0979" w:rsidP="00CA0979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CA0979">
              <w:rPr>
                <w:rFonts w:ascii="Calibri" w:eastAsia="Calibri" w:hAnsi="Calibri" w:cs="Calibri"/>
                <w:color w:val="000000" w:themeColor="text1"/>
              </w:rPr>
              <w:t>  Know</w:t>
            </w:r>
            <w:proofErr w:type="gramEnd"/>
            <w:r w:rsidRPr="00CA0979">
              <w:rPr>
                <w:rFonts w:ascii="Calibri" w:eastAsia="Calibri" w:hAnsi="Calibri" w:cs="Calibri"/>
                <w:color w:val="000000" w:themeColor="text1"/>
              </w:rPr>
              <w:t xml:space="preserve"> about extremism and radicalisation and their effects on individuals and communities.</w:t>
            </w:r>
          </w:p>
          <w:p w14:paraId="527E0AC7" w14:textId="3A1E923D" w:rsidR="1F1BFE12" w:rsidRPr="00CA0979" w:rsidRDefault="1F1BFE12" w:rsidP="00CA0979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F1BFE12" w14:paraId="6EADF6E2" w14:textId="77777777" w:rsidTr="6BF6F9F0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7FEB6E" w14:textId="438D102A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B0C1C5E" w14:textId="78399A75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9B4CEB5" w14:textId="0304E7F0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224B159" w14:textId="5B3A2FA7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Key Skills</w:t>
            </w:r>
          </w:p>
          <w:p w14:paraId="170CA895" w14:textId="3477540D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A2F6C3A" w14:textId="36EBABE8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(minimum)</w:t>
            </w:r>
          </w:p>
          <w:p w14:paraId="7318F0B9" w14:textId="6289C04E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(Re-visited)</w:t>
            </w:r>
          </w:p>
          <w:p w14:paraId="43C8BF41" w14:textId="05CB2936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D6B488" w14:textId="77777777" w:rsidR="1F1BFE12" w:rsidRPr="00CA0979" w:rsidRDefault="00DF16F0" w:rsidP="6BF6F9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CA0979">
              <w:rPr>
                <w:rFonts w:ascii="Calibri" w:eastAsia="Calibri" w:hAnsi="Calibri" w:cs="Calibri"/>
                <w:color w:val="000000" w:themeColor="text1"/>
              </w:rPr>
              <w:t>To understand:</w:t>
            </w:r>
          </w:p>
          <w:p w14:paraId="36FE93B9" w14:textId="77777777" w:rsidR="00CA0979" w:rsidRPr="00CA0979" w:rsidRDefault="00C07D67" w:rsidP="00CA0979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  <w:r w:rsidRPr="00CA097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gramStart"/>
            <w:r w:rsidR="00CA0979" w:rsidRPr="00CA0979">
              <w:rPr>
                <w:rFonts w:ascii="Calibri" w:eastAsia="Calibri" w:hAnsi="Calibri" w:cs="Calibri"/>
                <w:color w:val="000000" w:themeColor="text1"/>
              </w:rPr>
              <w:t>  Understand</w:t>
            </w:r>
            <w:proofErr w:type="gramEnd"/>
            <w:r w:rsidR="00CA0979" w:rsidRPr="00CA0979">
              <w:rPr>
                <w:rFonts w:ascii="Calibri" w:eastAsia="Calibri" w:hAnsi="Calibri" w:cs="Calibri"/>
                <w:color w:val="000000" w:themeColor="text1"/>
              </w:rPr>
              <w:t xml:space="preserve"> and respect consent in all relationships</w:t>
            </w:r>
          </w:p>
          <w:p w14:paraId="5F75E956" w14:textId="77777777" w:rsidR="00CA0979" w:rsidRPr="00CA0979" w:rsidRDefault="00CA0979" w:rsidP="00CA0979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CA0979">
              <w:rPr>
                <w:rFonts w:ascii="Calibri" w:eastAsia="Calibri" w:hAnsi="Calibri" w:cs="Calibri"/>
                <w:color w:val="000000" w:themeColor="text1"/>
              </w:rPr>
              <w:t>  Recognise</w:t>
            </w:r>
            <w:proofErr w:type="gramEnd"/>
            <w:r w:rsidRPr="00CA0979">
              <w:rPr>
                <w:rFonts w:ascii="Calibri" w:eastAsia="Calibri" w:hAnsi="Calibri" w:cs="Calibri"/>
                <w:color w:val="000000" w:themeColor="text1"/>
              </w:rPr>
              <w:t xml:space="preserve"> risks and legal issues related to youth-produced sexual imagery</w:t>
            </w:r>
          </w:p>
          <w:p w14:paraId="49856CDF" w14:textId="77777777" w:rsidR="00CA0979" w:rsidRPr="00CA0979" w:rsidRDefault="00CA0979" w:rsidP="00CA0979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CA0979">
              <w:rPr>
                <w:rFonts w:ascii="Calibri" w:eastAsia="Calibri" w:hAnsi="Calibri" w:cs="Calibri"/>
                <w:color w:val="000000" w:themeColor="text1"/>
              </w:rPr>
              <w:t>  Identify</w:t>
            </w:r>
            <w:proofErr w:type="gramEnd"/>
            <w:r w:rsidRPr="00CA0979">
              <w:rPr>
                <w:rFonts w:ascii="Calibri" w:eastAsia="Calibri" w:hAnsi="Calibri" w:cs="Calibri"/>
                <w:color w:val="000000" w:themeColor="text1"/>
              </w:rPr>
              <w:t xml:space="preserve"> and report forced marriage and understand legal protections</w:t>
            </w:r>
          </w:p>
          <w:p w14:paraId="1EAE7EAE" w14:textId="77777777" w:rsidR="00CA0979" w:rsidRPr="00CA0979" w:rsidRDefault="00CA0979" w:rsidP="00CA0979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CA0979">
              <w:rPr>
                <w:rFonts w:ascii="Calibri" w:eastAsia="Calibri" w:hAnsi="Calibri" w:cs="Calibri"/>
                <w:color w:val="000000" w:themeColor="text1"/>
              </w:rPr>
              <w:t>  Recognise</w:t>
            </w:r>
            <w:proofErr w:type="gramEnd"/>
            <w:r w:rsidRPr="00CA0979">
              <w:rPr>
                <w:rFonts w:ascii="Calibri" w:eastAsia="Calibri" w:hAnsi="Calibri" w:cs="Calibri"/>
                <w:color w:val="000000" w:themeColor="text1"/>
              </w:rPr>
              <w:t xml:space="preserve"> signs of honour-based violence and know how to seek help</w:t>
            </w:r>
          </w:p>
          <w:p w14:paraId="273EA09F" w14:textId="77777777" w:rsidR="00CA0979" w:rsidRPr="00CA0979" w:rsidRDefault="00CA0979" w:rsidP="00CA0979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CA0979">
              <w:rPr>
                <w:rFonts w:ascii="Calibri" w:eastAsia="Calibri" w:hAnsi="Calibri" w:cs="Calibri"/>
                <w:color w:val="000000" w:themeColor="text1"/>
              </w:rPr>
              <w:t>  Navigate</w:t>
            </w:r>
            <w:proofErr w:type="gramEnd"/>
            <w:r w:rsidRPr="00CA0979">
              <w:rPr>
                <w:rFonts w:ascii="Calibri" w:eastAsia="Calibri" w:hAnsi="Calibri" w:cs="Calibri"/>
                <w:color w:val="000000" w:themeColor="text1"/>
              </w:rPr>
              <w:t xml:space="preserve"> online spaces safely, identifying risks and protecting personal information</w:t>
            </w:r>
          </w:p>
          <w:p w14:paraId="28A4AB36" w14:textId="77777777" w:rsidR="00CA0979" w:rsidRPr="00CA0979" w:rsidRDefault="00CA0979" w:rsidP="00CA0979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CA0979">
              <w:rPr>
                <w:rFonts w:ascii="Calibri" w:eastAsia="Calibri" w:hAnsi="Calibri" w:cs="Calibri"/>
                <w:color w:val="000000" w:themeColor="text1"/>
              </w:rPr>
              <w:t>  Understand</w:t>
            </w:r>
            <w:proofErr w:type="gramEnd"/>
            <w:r w:rsidRPr="00CA0979">
              <w:rPr>
                <w:rFonts w:ascii="Calibri" w:eastAsia="Calibri" w:hAnsi="Calibri" w:cs="Calibri"/>
                <w:color w:val="000000" w:themeColor="text1"/>
              </w:rPr>
              <w:t xml:space="preserve"> how algorithms influence online experiences and develop critical thinking</w:t>
            </w:r>
          </w:p>
          <w:p w14:paraId="5048F9FA" w14:textId="77777777" w:rsidR="00CA0979" w:rsidRPr="00CA0979" w:rsidRDefault="00CA0979" w:rsidP="00CA0979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CA0979">
              <w:rPr>
                <w:rFonts w:ascii="Calibri" w:eastAsia="Calibri" w:hAnsi="Calibri" w:cs="Calibri"/>
                <w:color w:val="000000" w:themeColor="text1"/>
              </w:rPr>
              <w:t>  Manage</w:t>
            </w:r>
            <w:proofErr w:type="gramEnd"/>
            <w:r w:rsidRPr="00CA0979">
              <w:rPr>
                <w:rFonts w:ascii="Calibri" w:eastAsia="Calibri" w:hAnsi="Calibri" w:cs="Calibri"/>
                <w:color w:val="000000" w:themeColor="text1"/>
              </w:rPr>
              <w:t xml:space="preserve"> time and behaviour in online gaming responsibly</w:t>
            </w:r>
          </w:p>
          <w:p w14:paraId="1AAAD0FA" w14:textId="77777777" w:rsidR="00CA0979" w:rsidRPr="00CA0979" w:rsidRDefault="00CA0979" w:rsidP="00CA0979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CA0979">
              <w:rPr>
                <w:rFonts w:ascii="Calibri" w:eastAsia="Calibri" w:hAnsi="Calibri" w:cs="Calibri"/>
                <w:color w:val="000000" w:themeColor="text1"/>
              </w:rPr>
              <w:t>  Identify</w:t>
            </w:r>
            <w:proofErr w:type="gramEnd"/>
            <w:r w:rsidRPr="00CA0979">
              <w:rPr>
                <w:rFonts w:ascii="Calibri" w:eastAsia="Calibri" w:hAnsi="Calibri" w:cs="Calibri"/>
                <w:color w:val="000000" w:themeColor="text1"/>
              </w:rPr>
              <w:t xml:space="preserve"> signs of extremism and radicalisation and know how to respond or seek support</w:t>
            </w:r>
          </w:p>
          <w:p w14:paraId="1BEB6C5E" w14:textId="261FC28A" w:rsidR="00C07D67" w:rsidRPr="00CA0979" w:rsidRDefault="00C07D67" w:rsidP="00CA0979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F1BFE12" w14:paraId="2954266E" w14:textId="77777777" w:rsidTr="6BF6F9F0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51C45622" w14:textId="09806ABE" w:rsidR="320AC621" w:rsidRDefault="320AC621" w:rsidP="320AC6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65A9C528" w14:textId="6DE6ED2C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</w:rPr>
              <w:t>Tier 3 key vocabulary</w:t>
            </w:r>
          </w:p>
        </w:tc>
      </w:tr>
      <w:tr w:rsidR="1F1BFE12" w14:paraId="46CC267C" w14:textId="77777777" w:rsidTr="6BF6F9F0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D6E36A" w14:textId="5F74F642" w:rsidR="320AC621" w:rsidRDefault="320AC621" w:rsidP="320AC6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1E041597" w14:textId="463C2463" w:rsidR="320AC621" w:rsidRDefault="320AC621" w:rsidP="320AC6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205404A1" w14:textId="73217FB1" w:rsidR="1F1BFE12" w:rsidRDefault="1F1BFE12" w:rsidP="320AC6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Subject specific </w:t>
            </w: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0F5AA9" w14:textId="77777777" w:rsidR="00CA0979" w:rsidRPr="00CA0979" w:rsidRDefault="00CA0979" w:rsidP="00CA097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CA0979">
              <w:rPr>
                <w:rFonts w:ascii="Calibri" w:eastAsia="Calibri" w:hAnsi="Calibri" w:cs="Calibri"/>
                <w:color w:val="000000" w:themeColor="text1"/>
              </w:rPr>
              <w:t>Consent</w:t>
            </w:r>
          </w:p>
          <w:p w14:paraId="1015CE27" w14:textId="77777777" w:rsidR="00CA0979" w:rsidRPr="00CA0979" w:rsidRDefault="00CA0979" w:rsidP="00CA097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2F926FF5" w14:textId="77777777" w:rsidR="00CA0979" w:rsidRPr="00CA0979" w:rsidRDefault="00CA0979" w:rsidP="00CA097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CA0979">
              <w:rPr>
                <w:rFonts w:ascii="Calibri" w:eastAsia="Calibri" w:hAnsi="Calibri" w:cs="Calibri"/>
                <w:color w:val="000000" w:themeColor="text1"/>
              </w:rPr>
              <w:t>Legislation</w:t>
            </w:r>
          </w:p>
          <w:p w14:paraId="1FDDCFEA" w14:textId="77777777" w:rsidR="00CA0979" w:rsidRPr="00CA0979" w:rsidRDefault="00CA0979" w:rsidP="00CA097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1B7E098B" w14:textId="77777777" w:rsidR="00CA0979" w:rsidRPr="00CA0979" w:rsidRDefault="00CA0979" w:rsidP="00CA097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CA0979">
              <w:rPr>
                <w:rFonts w:ascii="Calibri" w:eastAsia="Calibri" w:hAnsi="Calibri" w:cs="Calibri"/>
                <w:color w:val="000000" w:themeColor="text1"/>
              </w:rPr>
              <w:t>Youth-produced sexual imagery</w:t>
            </w:r>
          </w:p>
          <w:p w14:paraId="4D40E28D" w14:textId="77777777" w:rsidR="00CA0979" w:rsidRPr="00CA0979" w:rsidRDefault="00CA0979" w:rsidP="00CA097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4D4018E2" w14:textId="77777777" w:rsidR="00CA0979" w:rsidRPr="00CA0979" w:rsidRDefault="00CA0979" w:rsidP="00CA097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CA0979">
              <w:rPr>
                <w:rFonts w:ascii="Calibri" w:eastAsia="Calibri" w:hAnsi="Calibri" w:cs="Calibri"/>
                <w:color w:val="000000" w:themeColor="text1"/>
              </w:rPr>
              <w:t>Forced marriage</w:t>
            </w:r>
          </w:p>
          <w:p w14:paraId="2F0771E4" w14:textId="77777777" w:rsidR="00CA0979" w:rsidRPr="00CA0979" w:rsidRDefault="00CA0979" w:rsidP="00CA097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4BA8FEDC" w14:textId="77777777" w:rsidR="00CA0979" w:rsidRPr="00CA0979" w:rsidRDefault="00CA0979" w:rsidP="00CA097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CA0979">
              <w:rPr>
                <w:rFonts w:ascii="Calibri" w:eastAsia="Calibri" w:hAnsi="Calibri" w:cs="Calibri"/>
                <w:color w:val="000000" w:themeColor="text1"/>
              </w:rPr>
              <w:lastRenderedPageBreak/>
              <w:t>Honour-based violence (HBV)</w:t>
            </w:r>
          </w:p>
          <w:p w14:paraId="2D461F41" w14:textId="77777777" w:rsidR="00CA0979" w:rsidRPr="00CA0979" w:rsidRDefault="00CA0979" w:rsidP="00CA097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7629D893" w14:textId="77777777" w:rsidR="00CA0979" w:rsidRPr="00CA0979" w:rsidRDefault="00CA0979" w:rsidP="00CA097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CA0979">
              <w:rPr>
                <w:rFonts w:ascii="Calibri" w:eastAsia="Calibri" w:hAnsi="Calibri" w:cs="Calibri"/>
                <w:color w:val="000000" w:themeColor="text1"/>
              </w:rPr>
              <w:t>Online safety</w:t>
            </w:r>
          </w:p>
          <w:p w14:paraId="3E66890C" w14:textId="77777777" w:rsidR="00CA0979" w:rsidRPr="00CA0979" w:rsidRDefault="00CA0979" w:rsidP="00CA097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7EA45EC2" w14:textId="77777777" w:rsidR="00CA0979" w:rsidRPr="00CA0979" w:rsidRDefault="00CA0979" w:rsidP="00CA097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CA0979">
              <w:rPr>
                <w:rFonts w:ascii="Calibri" w:eastAsia="Calibri" w:hAnsi="Calibri" w:cs="Calibri"/>
                <w:color w:val="000000" w:themeColor="text1"/>
              </w:rPr>
              <w:t>Algorithms</w:t>
            </w:r>
          </w:p>
          <w:p w14:paraId="02D42AAC" w14:textId="77777777" w:rsidR="00CA0979" w:rsidRPr="00CA0979" w:rsidRDefault="00CA0979" w:rsidP="00CA097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2075B512" w14:textId="77777777" w:rsidR="00CA0979" w:rsidRPr="00CA0979" w:rsidRDefault="00CA0979" w:rsidP="00CA097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CA0979">
              <w:rPr>
                <w:rFonts w:ascii="Calibri" w:eastAsia="Calibri" w:hAnsi="Calibri" w:cs="Calibri"/>
                <w:color w:val="000000" w:themeColor="text1"/>
              </w:rPr>
              <w:t>Online gaming</w:t>
            </w:r>
          </w:p>
          <w:p w14:paraId="5EB029F0" w14:textId="77777777" w:rsidR="00CA0979" w:rsidRPr="00CA0979" w:rsidRDefault="00CA0979" w:rsidP="00CA097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2745C816" w14:textId="77777777" w:rsidR="00CA0979" w:rsidRPr="00CA0979" w:rsidRDefault="00CA0979" w:rsidP="00CA097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CA0979">
              <w:rPr>
                <w:rFonts w:ascii="Calibri" w:eastAsia="Calibri" w:hAnsi="Calibri" w:cs="Calibri"/>
                <w:color w:val="000000" w:themeColor="text1"/>
              </w:rPr>
              <w:t>Extremism</w:t>
            </w:r>
          </w:p>
          <w:p w14:paraId="3B19BD0C" w14:textId="77777777" w:rsidR="00CA0979" w:rsidRPr="00CA0979" w:rsidRDefault="00CA0979" w:rsidP="00CA097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65765305" w14:textId="77777777" w:rsidR="00CA0979" w:rsidRPr="00CA0979" w:rsidRDefault="00CA0979" w:rsidP="00CA097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CA0979">
              <w:rPr>
                <w:rFonts w:ascii="Calibri" w:eastAsia="Calibri" w:hAnsi="Calibri" w:cs="Calibri"/>
                <w:color w:val="000000" w:themeColor="text1"/>
              </w:rPr>
              <w:t>Radicalisation</w:t>
            </w:r>
          </w:p>
          <w:p w14:paraId="075BC29B" w14:textId="77777777" w:rsidR="00CA0979" w:rsidRPr="00CA0979" w:rsidRDefault="00CA0979" w:rsidP="00CA097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66457B57" w14:textId="77777777" w:rsidR="00CA0979" w:rsidRPr="00CA0979" w:rsidRDefault="00CA0979" w:rsidP="00CA097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CA0979">
              <w:rPr>
                <w:rFonts w:ascii="Calibri" w:eastAsia="Calibri" w:hAnsi="Calibri" w:cs="Calibri"/>
                <w:color w:val="000000" w:themeColor="text1"/>
              </w:rPr>
              <w:t>Digital footprint</w:t>
            </w:r>
          </w:p>
          <w:p w14:paraId="129999F1" w14:textId="77777777" w:rsidR="00CA0979" w:rsidRPr="00CA0979" w:rsidRDefault="00CA0979" w:rsidP="00CA097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29B36428" w14:textId="77777777" w:rsidR="00CA0979" w:rsidRPr="00CA0979" w:rsidRDefault="00CA0979" w:rsidP="00CA097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CA0979">
              <w:rPr>
                <w:rFonts w:ascii="Calibri" w:eastAsia="Calibri" w:hAnsi="Calibri" w:cs="Calibri"/>
                <w:color w:val="000000" w:themeColor="text1"/>
              </w:rPr>
              <w:t>Cybersecurity</w:t>
            </w:r>
          </w:p>
          <w:p w14:paraId="62160F72" w14:textId="77777777" w:rsidR="00CA0979" w:rsidRPr="00CA0979" w:rsidRDefault="00CA0979" w:rsidP="00CA097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035B7C1B" w14:textId="77777777" w:rsidR="00CA0979" w:rsidRPr="00CA0979" w:rsidRDefault="00CA0979" w:rsidP="00CA097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CA0979">
              <w:rPr>
                <w:rFonts w:ascii="Calibri" w:eastAsia="Calibri" w:hAnsi="Calibri" w:cs="Calibri"/>
                <w:color w:val="000000" w:themeColor="text1"/>
              </w:rPr>
              <w:t>Grooming</w:t>
            </w:r>
          </w:p>
          <w:p w14:paraId="67B4DCAA" w14:textId="77777777" w:rsidR="00CA0979" w:rsidRPr="00CA0979" w:rsidRDefault="00CA0979" w:rsidP="00CA097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20826331" w14:textId="77777777" w:rsidR="00CA0979" w:rsidRPr="00CA0979" w:rsidRDefault="00CA0979" w:rsidP="00CA097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CA0979">
              <w:rPr>
                <w:rFonts w:ascii="Calibri" w:eastAsia="Calibri" w:hAnsi="Calibri" w:cs="Calibri"/>
                <w:color w:val="000000" w:themeColor="text1"/>
              </w:rPr>
              <w:t>Reporting mechanisms</w:t>
            </w:r>
          </w:p>
          <w:p w14:paraId="452404D3" w14:textId="77777777" w:rsidR="00CA0979" w:rsidRPr="00CA0979" w:rsidRDefault="00CA0979" w:rsidP="00CA097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182D268F" w14:textId="11D9EB12" w:rsidR="1F1BFE12" w:rsidRDefault="00CA0979" w:rsidP="00CA097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CA0979">
              <w:rPr>
                <w:rFonts w:ascii="Calibri" w:eastAsia="Calibri" w:hAnsi="Calibri" w:cs="Calibri"/>
                <w:color w:val="000000" w:themeColor="text1"/>
              </w:rPr>
              <w:t>Protective measures</w:t>
            </w:r>
            <w:r w:rsidR="00D85DE1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1F1BFE12" w14:paraId="6C11A90A" w14:textId="77777777" w:rsidTr="6BF6F9F0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7EE"/>
          </w:tcPr>
          <w:p w14:paraId="730EE87D" w14:textId="4AD0965D" w:rsidR="320AC621" w:rsidRDefault="320AC621" w:rsidP="320AC6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7EE"/>
          </w:tcPr>
          <w:p w14:paraId="4BBF1E25" w14:textId="6F67EA6A" w:rsidR="1F1BFE12" w:rsidRDefault="00717769" w:rsidP="0071776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Checking for understanding</w:t>
            </w:r>
          </w:p>
        </w:tc>
      </w:tr>
      <w:tr w:rsidR="1F1BFE12" w14:paraId="572134F1" w14:textId="77777777" w:rsidTr="6BF6F9F0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6928422" w14:textId="5E31FA82" w:rsidR="320AC621" w:rsidRDefault="320AC621" w:rsidP="320AC6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40B6910E" w14:textId="61D936F0" w:rsidR="1F1BFE12" w:rsidRDefault="00717769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Opportunities to check for understanding </w:t>
            </w: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E3869CC" w14:textId="6B7BC7DD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724BB1A" w14:textId="77777777" w:rsidR="00717769" w:rsidRDefault="00717769" w:rsidP="00717769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Each lesson includes many opportunities to check for understanding. </w:t>
            </w:r>
          </w:p>
          <w:p w14:paraId="172A9FAD" w14:textId="77777777" w:rsidR="00717769" w:rsidRDefault="00717769" w:rsidP="00717769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593C7169" w14:textId="77777777" w:rsidR="00717769" w:rsidRPr="00A04DD6" w:rsidRDefault="00717769" w:rsidP="00717769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PSHE education is different to other areas of the curriculum as the learning is so strongly related to the student’s personal identity – their attitudes, skills, experiences and influences. </w:t>
            </w: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The most common form of assessment is ipsative assessment where you review the beginning and then again at the end of each unit, to see which knowledge has been acquired.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Please see my training video for information on this. </w:t>
            </w:r>
          </w:p>
          <w:p w14:paraId="7ED7A082" w14:textId="77777777" w:rsidR="00717769" w:rsidRPr="00A04DD6" w:rsidRDefault="00717769" w:rsidP="00717769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3135937D" w14:textId="77777777" w:rsidR="00717769" w:rsidRPr="00A04DD6" w:rsidRDefault="00717769" w:rsidP="00717769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he Department for Education’s statutory guidance on assessment in the </w:t>
            </w:r>
            <w:hyperlink r:id="rId8" w:tgtFrame="_blank" w:history="1">
              <w:r w:rsidRPr="00A04DD6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shd w:val="clear" w:color="auto" w:fill="FFFFFF"/>
                </w:rPr>
                <w:t>Relationships, Sex and Health Education (p.43)</w:t>
              </w:r>
            </w:hyperlink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does emphasise that </w:t>
            </w:r>
            <w:r w:rsidRPr="00A04DD6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“Schools should have the same high expectations of the quality of pupils’ work in these subjects as for other curriculum areas…”  </w:t>
            </w: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Staff </w:t>
            </w: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>are expected to give written feedback for a piece of work, each half term.</w:t>
            </w:r>
            <w:r w:rsidRPr="00A04DD6">
              <w:rPr>
                <w:rFonts w:ascii="Arial" w:eastAsia="Calibri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A04DD6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The focus is on ensuring teachers are able to gauge progress, that teaching builds on what they already know, and that there are opportunities for ‘</w:t>
            </w:r>
            <w:r w:rsidRPr="00A04DD6">
              <w:rPr>
                <w:rFonts w:ascii="Arial" w:hAnsi="Arial" w:cs="Arial"/>
                <w:i/>
                <w:iCs/>
                <w:color w:val="222222"/>
                <w:sz w:val="20"/>
                <w:shd w:val="clear" w:color="auto" w:fill="FFFFFF"/>
              </w:rPr>
              <w:t>regular feedback on pupil progress’</w:t>
            </w:r>
            <w:r w:rsidRPr="00A04DD6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.</w:t>
            </w:r>
          </w:p>
          <w:p w14:paraId="20F39244" w14:textId="651D7BD6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6D2CDD65" w14:textId="2EEF25AC" w:rsidR="00D12A2B" w:rsidRDefault="00D12A2B" w:rsidP="320AC621"/>
    <w:sectPr w:rsidR="00D12A2B">
      <w:headerReference w:type="default" r:id="rId9"/>
      <w:footerReference w:type="default" r:id="rId10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2451E" w14:textId="77777777" w:rsidR="0064120C" w:rsidRDefault="0064120C">
      <w:pPr>
        <w:spacing w:after="0" w:line="240" w:lineRule="auto"/>
      </w:pPr>
      <w:r>
        <w:separator/>
      </w:r>
    </w:p>
  </w:endnote>
  <w:endnote w:type="continuationSeparator" w:id="0">
    <w:p w14:paraId="6F8DC9CA" w14:textId="77777777" w:rsidR="0064120C" w:rsidRDefault="00641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0EA7375" w14:paraId="30D21DFD" w14:textId="77777777" w:rsidTr="6BF6F9F0">
      <w:tc>
        <w:tcPr>
          <w:tcW w:w="4650" w:type="dxa"/>
        </w:tcPr>
        <w:p w14:paraId="379F3C8F" w14:textId="17CB4221" w:rsidR="00EA7375" w:rsidRDefault="00EA7375" w:rsidP="6BF6F9F0">
          <w:pPr>
            <w:pStyle w:val="Header"/>
            <w:ind w:left="-115"/>
          </w:pPr>
        </w:p>
      </w:tc>
      <w:tc>
        <w:tcPr>
          <w:tcW w:w="4650" w:type="dxa"/>
        </w:tcPr>
        <w:p w14:paraId="3264D921" w14:textId="3C15C778" w:rsidR="00EA7375" w:rsidRDefault="00EA7375" w:rsidP="6BF6F9F0">
          <w:pPr>
            <w:pStyle w:val="Header"/>
            <w:jc w:val="center"/>
          </w:pPr>
        </w:p>
      </w:tc>
      <w:tc>
        <w:tcPr>
          <w:tcW w:w="4650" w:type="dxa"/>
        </w:tcPr>
        <w:p w14:paraId="691ECBB6" w14:textId="56CD7460" w:rsidR="00EA7375" w:rsidRDefault="00EA7375" w:rsidP="6BF6F9F0">
          <w:pPr>
            <w:pStyle w:val="Header"/>
            <w:ind w:right="-115"/>
            <w:jc w:val="right"/>
          </w:pPr>
        </w:p>
      </w:tc>
    </w:tr>
  </w:tbl>
  <w:p w14:paraId="0242798D" w14:textId="25BA256B" w:rsidR="00EA7375" w:rsidRDefault="00EA7375" w:rsidP="6BF6F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FB625" w14:textId="77777777" w:rsidR="0064120C" w:rsidRDefault="0064120C">
      <w:pPr>
        <w:spacing w:after="0" w:line="240" w:lineRule="auto"/>
      </w:pPr>
      <w:r>
        <w:separator/>
      </w:r>
    </w:p>
  </w:footnote>
  <w:footnote w:type="continuationSeparator" w:id="0">
    <w:p w14:paraId="338C30F7" w14:textId="77777777" w:rsidR="0064120C" w:rsidRDefault="00641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7065"/>
      <w:gridCol w:w="2235"/>
      <w:gridCol w:w="4650"/>
    </w:tblGrid>
    <w:tr w:rsidR="00EA7375" w14:paraId="51FA9C33" w14:textId="77777777" w:rsidTr="6BF6F9F0">
      <w:tc>
        <w:tcPr>
          <w:tcW w:w="7065" w:type="dxa"/>
        </w:tcPr>
        <w:p w14:paraId="7ECE50CD" w14:textId="1AC5B9A8" w:rsidR="00EA7375" w:rsidRDefault="00EA7375" w:rsidP="6BF6F9F0">
          <w:pPr>
            <w:pStyle w:val="Header"/>
            <w:ind w:left="-115"/>
            <w:rPr>
              <w:b/>
              <w:bCs/>
              <w:sz w:val="28"/>
              <w:szCs w:val="28"/>
              <w:u w:val="single"/>
            </w:rPr>
          </w:pPr>
          <w:r w:rsidRPr="6BF6F9F0">
            <w:rPr>
              <w:b/>
              <w:bCs/>
              <w:sz w:val="28"/>
              <w:szCs w:val="28"/>
              <w:u w:val="single"/>
            </w:rPr>
            <w:t xml:space="preserve">Year 8 PSHE </w:t>
          </w:r>
        </w:p>
        <w:p w14:paraId="04CAAC87" w14:textId="37EA58CD" w:rsidR="00EA7375" w:rsidRDefault="00EA7375" w:rsidP="6BF6F9F0">
          <w:pPr>
            <w:pStyle w:val="Header"/>
            <w:ind w:left="-115"/>
            <w:rPr>
              <w:b/>
              <w:bCs/>
              <w:sz w:val="28"/>
              <w:szCs w:val="28"/>
              <w:u w:val="single"/>
            </w:rPr>
          </w:pPr>
          <w:r w:rsidRPr="6BF6F9F0">
            <w:rPr>
              <w:b/>
              <w:bCs/>
              <w:sz w:val="28"/>
              <w:szCs w:val="28"/>
              <w:u w:val="single"/>
            </w:rPr>
            <w:t>Knowledge and Skills Mapping</w:t>
          </w:r>
        </w:p>
      </w:tc>
      <w:tc>
        <w:tcPr>
          <w:tcW w:w="2235" w:type="dxa"/>
        </w:tcPr>
        <w:p w14:paraId="1F05EF7C" w14:textId="675259FA" w:rsidR="00EA7375" w:rsidRDefault="00EA7375" w:rsidP="6BF6F9F0">
          <w:pPr>
            <w:pStyle w:val="Header"/>
            <w:jc w:val="center"/>
            <w:rPr>
              <w:b/>
              <w:bCs/>
              <w:sz w:val="28"/>
              <w:szCs w:val="28"/>
              <w:u w:val="single"/>
            </w:rPr>
          </w:pPr>
        </w:p>
      </w:tc>
      <w:tc>
        <w:tcPr>
          <w:tcW w:w="4650" w:type="dxa"/>
        </w:tcPr>
        <w:p w14:paraId="23E07944" w14:textId="6B2E225B" w:rsidR="00EA7375" w:rsidRDefault="00EA7375" w:rsidP="6BF6F9F0">
          <w:pPr>
            <w:pStyle w:val="Header"/>
            <w:ind w:right="-115"/>
            <w:jc w:val="right"/>
            <w:rPr>
              <w:b/>
              <w:bCs/>
              <w:sz w:val="28"/>
              <w:szCs w:val="28"/>
              <w:u w:val="single"/>
            </w:rPr>
          </w:pPr>
        </w:p>
      </w:tc>
    </w:tr>
  </w:tbl>
  <w:p w14:paraId="4450014B" w14:textId="0E653282" w:rsidR="00EA7375" w:rsidRDefault="00EA7375" w:rsidP="6BF6F9F0">
    <w:pPr>
      <w:pStyle w:val="Header"/>
      <w:rPr>
        <w:b/>
        <w:bCs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07100"/>
    <w:multiLevelType w:val="hybridMultilevel"/>
    <w:tmpl w:val="BF0CC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33B0A"/>
    <w:multiLevelType w:val="hybridMultilevel"/>
    <w:tmpl w:val="40AED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42325"/>
    <w:multiLevelType w:val="hybridMultilevel"/>
    <w:tmpl w:val="10E0D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64160"/>
    <w:multiLevelType w:val="hybridMultilevel"/>
    <w:tmpl w:val="656E8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1611F"/>
    <w:multiLevelType w:val="hybridMultilevel"/>
    <w:tmpl w:val="6882D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73026"/>
    <w:multiLevelType w:val="hybridMultilevel"/>
    <w:tmpl w:val="ADA66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F6C11"/>
    <w:multiLevelType w:val="hybridMultilevel"/>
    <w:tmpl w:val="52E0D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8CF14A"/>
    <w:rsid w:val="000C0543"/>
    <w:rsid w:val="001A7283"/>
    <w:rsid w:val="00221BA5"/>
    <w:rsid w:val="003D3954"/>
    <w:rsid w:val="00531901"/>
    <w:rsid w:val="005456FC"/>
    <w:rsid w:val="0064120C"/>
    <w:rsid w:val="00717769"/>
    <w:rsid w:val="007228F5"/>
    <w:rsid w:val="0073CEF8"/>
    <w:rsid w:val="007C0792"/>
    <w:rsid w:val="008C43BB"/>
    <w:rsid w:val="00990AA9"/>
    <w:rsid w:val="00AB5C99"/>
    <w:rsid w:val="00AB7166"/>
    <w:rsid w:val="00B22536"/>
    <w:rsid w:val="00C07D67"/>
    <w:rsid w:val="00C74ED0"/>
    <w:rsid w:val="00CA0979"/>
    <w:rsid w:val="00D12A2B"/>
    <w:rsid w:val="00D85DE1"/>
    <w:rsid w:val="00DF16F0"/>
    <w:rsid w:val="00E578AF"/>
    <w:rsid w:val="00EA7375"/>
    <w:rsid w:val="0130D40E"/>
    <w:rsid w:val="0151D5AC"/>
    <w:rsid w:val="02457AED"/>
    <w:rsid w:val="02548698"/>
    <w:rsid w:val="02C4DF22"/>
    <w:rsid w:val="03C557D9"/>
    <w:rsid w:val="04399BB6"/>
    <w:rsid w:val="04C597FD"/>
    <w:rsid w:val="059ECE8A"/>
    <w:rsid w:val="05D0BBEA"/>
    <w:rsid w:val="065D45EB"/>
    <w:rsid w:val="07057C9E"/>
    <w:rsid w:val="071D2C03"/>
    <w:rsid w:val="07633DFF"/>
    <w:rsid w:val="0819EBF6"/>
    <w:rsid w:val="08A14CFF"/>
    <w:rsid w:val="08ECD93F"/>
    <w:rsid w:val="09E1FE3F"/>
    <w:rsid w:val="0AC0FFBA"/>
    <w:rsid w:val="0AE980EC"/>
    <w:rsid w:val="0AECED3A"/>
    <w:rsid w:val="0B30B70E"/>
    <w:rsid w:val="0C1431BD"/>
    <w:rsid w:val="0CD474F5"/>
    <w:rsid w:val="0D9E89DE"/>
    <w:rsid w:val="0DBE12E6"/>
    <w:rsid w:val="0EAFA218"/>
    <w:rsid w:val="0F9470DD"/>
    <w:rsid w:val="0FEB2919"/>
    <w:rsid w:val="10864EED"/>
    <w:rsid w:val="108CF14A"/>
    <w:rsid w:val="10AFDD40"/>
    <w:rsid w:val="10D62AA0"/>
    <w:rsid w:val="13AF81F7"/>
    <w:rsid w:val="1437796C"/>
    <w:rsid w:val="14506190"/>
    <w:rsid w:val="14B8CA4C"/>
    <w:rsid w:val="14BE9A3C"/>
    <w:rsid w:val="14EEE725"/>
    <w:rsid w:val="1508EE00"/>
    <w:rsid w:val="165A6A9D"/>
    <w:rsid w:val="16A4BE61"/>
    <w:rsid w:val="1746D4A1"/>
    <w:rsid w:val="1764F52C"/>
    <w:rsid w:val="19266DFC"/>
    <w:rsid w:val="19B2F7FD"/>
    <w:rsid w:val="19D3CDA7"/>
    <w:rsid w:val="19D6F7B6"/>
    <w:rsid w:val="1B25941A"/>
    <w:rsid w:val="1C34F720"/>
    <w:rsid w:val="1C70AA5B"/>
    <w:rsid w:val="1CC3DC31"/>
    <w:rsid w:val="1CD861C9"/>
    <w:rsid w:val="1E74322A"/>
    <w:rsid w:val="1E866920"/>
    <w:rsid w:val="1F1BFE12"/>
    <w:rsid w:val="1F26B24D"/>
    <w:rsid w:val="1FA84B1D"/>
    <w:rsid w:val="1FB85704"/>
    <w:rsid w:val="1FCDDF36"/>
    <w:rsid w:val="20366F30"/>
    <w:rsid w:val="224980D0"/>
    <w:rsid w:val="2298A478"/>
    <w:rsid w:val="2340DB2B"/>
    <w:rsid w:val="237D4A3B"/>
    <w:rsid w:val="238B2EEF"/>
    <w:rsid w:val="23D1493B"/>
    <w:rsid w:val="242D452F"/>
    <w:rsid w:val="243474D9"/>
    <w:rsid w:val="247BBC40"/>
    <w:rsid w:val="26D1A9C7"/>
    <w:rsid w:val="26EA9690"/>
    <w:rsid w:val="26F470C1"/>
    <w:rsid w:val="2836C76B"/>
    <w:rsid w:val="29BBBC4D"/>
    <w:rsid w:val="29D297CC"/>
    <w:rsid w:val="2B6E682D"/>
    <w:rsid w:val="2BA3A6DA"/>
    <w:rsid w:val="2C9A041B"/>
    <w:rsid w:val="2D0A388E"/>
    <w:rsid w:val="2D3F773B"/>
    <w:rsid w:val="2D40AFB7"/>
    <w:rsid w:val="2DDDA797"/>
    <w:rsid w:val="2DE2625C"/>
    <w:rsid w:val="2E8C43AB"/>
    <w:rsid w:val="2EC4F510"/>
    <w:rsid w:val="2EFD391C"/>
    <w:rsid w:val="2F74F004"/>
    <w:rsid w:val="2F772780"/>
    <w:rsid w:val="2FD672EC"/>
    <w:rsid w:val="31A20637"/>
    <w:rsid w:val="31BB2E94"/>
    <w:rsid w:val="320AC621"/>
    <w:rsid w:val="322B1C53"/>
    <w:rsid w:val="3266BA5E"/>
    <w:rsid w:val="328D07BE"/>
    <w:rsid w:val="328DDBA4"/>
    <w:rsid w:val="332AE65B"/>
    <w:rsid w:val="3370F857"/>
    <w:rsid w:val="3428D81F"/>
    <w:rsid w:val="347BED4F"/>
    <w:rsid w:val="34C2079B"/>
    <w:rsid w:val="353E5B96"/>
    <w:rsid w:val="36521481"/>
    <w:rsid w:val="3665C2A1"/>
    <w:rsid w:val="37978CF1"/>
    <w:rsid w:val="38917FC5"/>
    <w:rsid w:val="38E2392E"/>
    <w:rsid w:val="397D4A9A"/>
    <w:rsid w:val="3A3FEBC3"/>
    <w:rsid w:val="3AD0CCEE"/>
    <w:rsid w:val="3AEB2ED3"/>
    <w:rsid w:val="3B8D4513"/>
    <w:rsid w:val="3C34BDEA"/>
    <w:rsid w:val="3C6C9D4F"/>
    <w:rsid w:val="3CF82850"/>
    <w:rsid w:val="3DD08E4B"/>
    <w:rsid w:val="3E70D486"/>
    <w:rsid w:val="3FF9ED7E"/>
    <w:rsid w:val="408BE599"/>
    <w:rsid w:val="41082F0D"/>
    <w:rsid w:val="41E1F5BD"/>
    <w:rsid w:val="421AA722"/>
    <w:rsid w:val="423C0C5B"/>
    <w:rsid w:val="443FCFCF"/>
    <w:rsid w:val="45B2C31A"/>
    <w:rsid w:val="45B3C034"/>
    <w:rsid w:val="45E38DB6"/>
    <w:rsid w:val="4681286F"/>
    <w:rsid w:val="474E937B"/>
    <w:rsid w:val="47777091"/>
    <w:rsid w:val="47A1D934"/>
    <w:rsid w:val="47DE75A6"/>
    <w:rsid w:val="47EB1DF1"/>
    <w:rsid w:val="484093E2"/>
    <w:rsid w:val="48513741"/>
    <w:rsid w:val="486D511A"/>
    <w:rsid w:val="488886E5"/>
    <w:rsid w:val="4896F77E"/>
    <w:rsid w:val="491340F2"/>
    <w:rsid w:val="49155E88"/>
    <w:rsid w:val="49DE26CF"/>
    <w:rsid w:val="4A4B9B9C"/>
    <w:rsid w:val="4AAEB733"/>
    <w:rsid w:val="4AD0F83B"/>
    <w:rsid w:val="4B4F5A6F"/>
    <w:rsid w:val="4BB2860D"/>
    <w:rsid w:val="4BB7D84A"/>
    <w:rsid w:val="4BBFEC13"/>
    <w:rsid w:val="4DC5C285"/>
    <w:rsid w:val="4E55AF48"/>
    <w:rsid w:val="5022CB92"/>
    <w:rsid w:val="5035FBC6"/>
    <w:rsid w:val="504BA5C7"/>
    <w:rsid w:val="51B3CF2F"/>
    <w:rsid w:val="54350409"/>
    <w:rsid w:val="545DE11F"/>
    <w:rsid w:val="56CE7C26"/>
    <w:rsid w:val="571E9FDA"/>
    <w:rsid w:val="57752017"/>
    <w:rsid w:val="58BA703B"/>
    <w:rsid w:val="596A6B2F"/>
    <w:rsid w:val="59C3B5AF"/>
    <w:rsid w:val="5A061CE8"/>
    <w:rsid w:val="5A2CD976"/>
    <w:rsid w:val="5ACD22A3"/>
    <w:rsid w:val="5AD0A0FF"/>
    <w:rsid w:val="5C83DDED"/>
    <w:rsid w:val="5CC07817"/>
    <w:rsid w:val="5E646AB5"/>
    <w:rsid w:val="5EF9575D"/>
    <w:rsid w:val="5F004A99"/>
    <w:rsid w:val="5F29B1BF"/>
    <w:rsid w:val="5F47FEF7"/>
    <w:rsid w:val="607BC2F3"/>
    <w:rsid w:val="6230F81F"/>
    <w:rsid w:val="624C210A"/>
    <w:rsid w:val="62FA1B70"/>
    <w:rsid w:val="6319F8B6"/>
    <w:rsid w:val="63D3BBBC"/>
    <w:rsid w:val="63E122CE"/>
    <w:rsid w:val="647404E9"/>
    <w:rsid w:val="64A43150"/>
    <w:rsid w:val="64F59DB9"/>
    <w:rsid w:val="671E8326"/>
    <w:rsid w:val="672C3228"/>
    <w:rsid w:val="67ABA5AB"/>
    <w:rsid w:val="68BB628E"/>
    <w:rsid w:val="6913CF13"/>
    <w:rsid w:val="69363B35"/>
    <w:rsid w:val="6946443B"/>
    <w:rsid w:val="69AB2403"/>
    <w:rsid w:val="69AB2E9B"/>
    <w:rsid w:val="6A9C18CB"/>
    <w:rsid w:val="6AE508F9"/>
    <w:rsid w:val="6BF6F9F0"/>
    <w:rsid w:val="6C24E618"/>
    <w:rsid w:val="6C6DB0DD"/>
    <w:rsid w:val="6C6DDBF7"/>
    <w:rsid w:val="6CD99BD1"/>
    <w:rsid w:val="6D5BCEFA"/>
    <w:rsid w:val="6DF6D230"/>
    <w:rsid w:val="6E01BED2"/>
    <w:rsid w:val="6E2E7C0A"/>
    <w:rsid w:val="6E416278"/>
    <w:rsid w:val="6F3BEE99"/>
    <w:rsid w:val="701508B2"/>
    <w:rsid w:val="70554C93"/>
    <w:rsid w:val="70915226"/>
    <w:rsid w:val="7110855F"/>
    <w:rsid w:val="7179033A"/>
    <w:rsid w:val="71B0D913"/>
    <w:rsid w:val="72AC55C0"/>
    <w:rsid w:val="730851B4"/>
    <w:rsid w:val="730F815E"/>
    <w:rsid w:val="734CA974"/>
    <w:rsid w:val="742FF7FD"/>
    <w:rsid w:val="74E879D5"/>
    <w:rsid w:val="75C46A99"/>
    <w:rsid w:val="765D00B7"/>
    <w:rsid w:val="766FAAC8"/>
    <w:rsid w:val="769D1DF3"/>
    <w:rsid w:val="775818BD"/>
    <w:rsid w:val="7774FA1F"/>
    <w:rsid w:val="77B0BD93"/>
    <w:rsid w:val="77DBC2D7"/>
    <w:rsid w:val="77F9E362"/>
    <w:rsid w:val="78201A97"/>
    <w:rsid w:val="789C640B"/>
    <w:rsid w:val="78D973DE"/>
    <w:rsid w:val="79F1425E"/>
    <w:rsid w:val="7A26F995"/>
    <w:rsid w:val="7A714D59"/>
    <w:rsid w:val="7AB9CD3C"/>
    <w:rsid w:val="7B136399"/>
    <w:rsid w:val="7C3EBECA"/>
    <w:rsid w:val="7CB663A4"/>
    <w:rsid w:val="7D00E0AD"/>
    <w:rsid w:val="7D2ECCD5"/>
    <w:rsid w:val="7D58CA67"/>
    <w:rsid w:val="7ECE521E"/>
    <w:rsid w:val="7EF49AC8"/>
    <w:rsid w:val="7FEE0466"/>
    <w:rsid w:val="7FF4F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CF14A"/>
  <w15:chartTrackingRefBased/>
  <w15:docId w15:val="{369542D6-1B6C-45B7-8941-D0EE8074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0A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43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2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A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1090195/Relationships_Education_RSE_and_Health_Educatio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sets.publishing.service.gov.uk/government/uploads/system/uploads/attachment_data/file/1090195/Relationships_Education_RSE_and_Health_Educatio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Hegarty</dc:creator>
  <cp:keywords/>
  <dc:description/>
  <cp:lastModifiedBy>Lesley Gregory</cp:lastModifiedBy>
  <cp:revision>2</cp:revision>
  <dcterms:created xsi:type="dcterms:W3CDTF">2025-07-17T09:40:00Z</dcterms:created>
  <dcterms:modified xsi:type="dcterms:W3CDTF">2025-07-17T09:40:00Z</dcterms:modified>
</cp:coreProperties>
</file>