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038BABE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</w:p>
          <w:p w14:paraId="6A3C7D60" w14:textId="77777777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55DD01C" w14:textId="31FEA7CC" w:rsidR="00A87FEB" w:rsidRDefault="00A87FE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Pr="00B50AD2" w:rsidRDefault="51C15932" w:rsidP="6BF6F9F0">
            <w:pPr>
              <w:spacing w:line="259" w:lineRule="auto"/>
            </w:pPr>
            <w:r w:rsidRPr="00B50AD2">
              <w:t>To know:</w:t>
            </w:r>
          </w:p>
          <w:p w14:paraId="10183ED3" w14:textId="77777777" w:rsidR="00B50AD2" w:rsidRPr="00B50AD2" w:rsidRDefault="00A26317" w:rsidP="00B50AD2">
            <w:r w:rsidRPr="00A26317">
              <w:t xml:space="preserve"> </w:t>
            </w:r>
            <w:proofErr w:type="gramStart"/>
            <w:r w:rsidR="00B50AD2" w:rsidRPr="00B50AD2">
              <w:t>  Understand</w:t>
            </w:r>
            <w:proofErr w:type="gramEnd"/>
            <w:r w:rsidR="00B50AD2" w:rsidRPr="00B50AD2">
              <w:t xml:space="preserve"> the laws related to drug use, including possession and supply.</w:t>
            </w:r>
          </w:p>
          <w:p w14:paraId="0D2EDE47" w14:textId="77777777" w:rsidR="00B50AD2" w:rsidRPr="00B50AD2" w:rsidRDefault="00B50AD2" w:rsidP="00B50AD2">
            <w:proofErr w:type="gramStart"/>
            <w:r w:rsidRPr="00B50AD2">
              <w:t>  Know</w:t>
            </w:r>
            <w:proofErr w:type="gramEnd"/>
            <w:r w:rsidRPr="00B50AD2">
              <w:t xml:space="preserve"> the risks of THC vaping and edibles, including potency and legality.</w:t>
            </w:r>
          </w:p>
          <w:p w14:paraId="5A11F10E" w14:textId="77777777" w:rsidR="00B50AD2" w:rsidRPr="00B50AD2" w:rsidRDefault="00B50AD2" w:rsidP="00B50AD2">
            <w:proofErr w:type="gramStart"/>
            <w:r w:rsidRPr="00B50AD2">
              <w:t>  Be</w:t>
            </w:r>
            <w:proofErr w:type="gramEnd"/>
            <w:r w:rsidRPr="00B50AD2">
              <w:t xml:space="preserve"> aware of the dangers of ketamine, including its physical and psychological effects.</w:t>
            </w:r>
          </w:p>
          <w:p w14:paraId="7D5986D1" w14:textId="77777777" w:rsidR="00B50AD2" w:rsidRPr="00B50AD2" w:rsidRDefault="00B50AD2" w:rsidP="00B50AD2">
            <w:proofErr w:type="gramStart"/>
            <w:r w:rsidRPr="00B50AD2">
              <w:t>  Understand</w:t>
            </w:r>
            <w:proofErr w:type="gramEnd"/>
            <w:r w:rsidRPr="00B50AD2">
              <w:t xml:space="preserve"> the risks of cosmetic and aesthetic procedures, including both health and emotional impacts.</w:t>
            </w:r>
          </w:p>
          <w:p w14:paraId="6E95ECDE" w14:textId="77777777" w:rsidR="00B50AD2" w:rsidRPr="00B50AD2" w:rsidRDefault="00B50AD2" w:rsidP="00B50AD2">
            <w:proofErr w:type="gramStart"/>
            <w:r w:rsidRPr="00B50AD2">
              <w:t>  Recognise</w:t>
            </w:r>
            <w:proofErr w:type="gramEnd"/>
            <w:r w:rsidRPr="00B50AD2">
              <w:t xml:space="preserve"> the impact of bereavement and loss, and learn healthy coping strategies for managing grief.</w:t>
            </w:r>
          </w:p>
          <w:p w14:paraId="0449E05F" w14:textId="08AD050D" w:rsidR="1F1BFE12" w:rsidRPr="00B50AD2" w:rsidRDefault="1F1BFE12" w:rsidP="00B50AD2"/>
        </w:tc>
      </w:tr>
      <w:tr w:rsidR="1F1BFE12" w14:paraId="4DDFF02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D64CB" w14:textId="77777777" w:rsidR="1F1BFE12" w:rsidRPr="00B50AD2" w:rsidRDefault="00A87FEB" w:rsidP="6BF6F9F0">
            <w:r w:rsidRPr="00B50AD2">
              <w:t>To understand:</w:t>
            </w:r>
          </w:p>
          <w:p w14:paraId="1E00F8DA" w14:textId="77777777" w:rsidR="00B50AD2" w:rsidRPr="00B50AD2" w:rsidRDefault="00B50AD2" w:rsidP="00B50AD2">
            <w:proofErr w:type="gramStart"/>
            <w:r w:rsidRPr="00B50AD2">
              <w:t>  Understand</w:t>
            </w:r>
            <w:proofErr w:type="gramEnd"/>
            <w:r w:rsidRPr="00B50AD2">
              <w:t xml:space="preserve"> and apply knowledge of drug laws to make safe, legal choices</w:t>
            </w:r>
          </w:p>
          <w:p w14:paraId="26577B3E" w14:textId="77777777" w:rsidR="00B50AD2" w:rsidRPr="00B50AD2" w:rsidRDefault="00B50AD2" w:rsidP="00B50AD2">
            <w:proofErr w:type="gramStart"/>
            <w:r w:rsidRPr="00B50AD2">
              <w:t>  Assess</w:t>
            </w:r>
            <w:proofErr w:type="gramEnd"/>
            <w:r w:rsidRPr="00B50AD2">
              <w:t xml:space="preserve"> the risks of THC vaping and edibles, including potential health effects and legality</w:t>
            </w:r>
          </w:p>
          <w:p w14:paraId="051FCE45" w14:textId="77777777" w:rsidR="00B50AD2" w:rsidRPr="00B50AD2" w:rsidRDefault="00B50AD2" w:rsidP="00B50AD2">
            <w:proofErr w:type="gramStart"/>
            <w:r w:rsidRPr="00B50AD2">
              <w:t>  Recognise</w:t>
            </w:r>
            <w:proofErr w:type="gramEnd"/>
            <w:r w:rsidRPr="00B50AD2">
              <w:t xml:space="preserve"> the dangers of ketamine use and make informed decisions</w:t>
            </w:r>
          </w:p>
          <w:p w14:paraId="3038F141" w14:textId="77777777" w:rsidR="00B50AD2" w:rsidRPr="00B50AD2" w:rsidRDefault="00B50AD2" w:rsidP="00B50AD2">
            <w:proofErr w:type="gramStart"/>
            <w:r w:rsidRPr="00B50AD2">
              <w:t>  Evaluate</w:t>
            </w:r>
            <w:proofErr w:type="gramEnd"/>
            <w:r w:rsidRPr="00B50AD2">
              <w:t xml:space="preserve"> the risks and consequences of cosmetic and aesthetic procedures</w:t>
            </w:r>
          </w:p>
          <w:p w14:paraId="138C0955" w14:textId="77777777" w:rsidR="00B50AD2" w:rsidRPr="00B50AD2" w:rsidRDefault="00B50AD2" w:rsidP="00B50AD2">
            <w:proofErr w:type="gramStart"/>
            <w:r w:rsidRPr="00B50AD2">
              <w:t>  Identify</w:t>
            </w:r>
            <w:proofErr w:type="gramEnd"/>
            <w:r w:rsidRPr="00B50AD2">
              <w:t xml:space="preserve"> and manage emotions related to bereavement and loss</w:t>
            </w:r>
          </w:p>
          <w:p w14:paraId="7E4EB6A0" w14:textId="77777777" w:rsidR="00B50AD2" w:rsidRPr="00B50AD2" w:rsidRDefault="00B50AD2" w:rsidP="00B50AD2">
            <w:proofErr w:type="gramStart"/>
            <w:r w:rsidRPr="00B50AD2">
              <w:t>  Use</w:t>
            </w:r>
            <w:proofErr w:type="gramEnd"/>
            <w:r w:rsidRPr="00B50AD2">
              <w:t xml:space="preserve"> healthy coping strategies to deal with grief and emotional distress</w:t>
            </w:r>
          </w:p>
          <w:p w14:paraId="2CC11389" w14:textId="77777777" w:rsidR="00B50AD2" w:rsidRPr="00B50AD2" w:rsidRDefault="00B50AD2" w:rsidP="00B50AD2">
            <w:proofErr w:type="gramStart"/>
            <w:r w:rsidRPr="00B50AD2">
              <w:t>  Seek</w:t>
            </w:r>
            <w:proofErr w:type="gramEnd"/>
            <w:r w:rsidRPr="00B50AD2">
              <w:t xml:space="preserve"> support when facing difficult emotional experiences or health-related risks</w:t>
            </w:r>
          </w:p>
          <w:p w14:paraId="3269C6CE" w14:textId="47B153DA" w:rsidR="00A26317" w:rsidRPr="00A26317" w:rsidRDefault="00A26317" w:rsidP="00A26317"/>
          <w:p w14:paraId="64B54DF8" w14:textId="1EFC8FE6" w:rsidR="00A87FEB" w:rsidRPr="00B50AD2" w:rsidRDefault="00A87FEB" w:rsidP="00D040E6"/>
        </w:tc>
      </w:tr>
      <w:tr w:rsidR="1F1BFE12" w14:paraId="5E8EB3F4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9244F" w14:textId="77777777" w:rsidR="00A26317" w:rsidRPr="00A26317" w:rsidRDefault="00A26317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B0CB036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Controlled substances</w:t>
            </w:r>
          </w:p>
          <w:p w14:paraId="70D0E5E0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90FAF8C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THC (tetrahydrocannabinol)</w:t>
            </w:r>
          </w:p>
          <w:p w14:paraId="09CE5A5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C6D66B8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Edibles</w:t>
            </w:r>
          </w:p>
          <w:p w14:paraId="1C0A7EE2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9B25601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Vaping</w:t>
            </w:r>
          </w:p>
          <w:p w14:paraId="299A3D28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D28E460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lastRenderedPageBreak/>
              <w:t>Ketamine</w:t>
            </w:r>
          </w:p>
          <w:p w14:paraId="44CDFD3C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D78AFC7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Dissociative anaesthetic</w:t>
            </w:r>
          </w:p>
          <w:p w14:paraId="09FC3BF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961275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Cosmetic procedures</w:t>
            </w:r>
          </w:p>
          <w:p w14:paraId="144ED92A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FEDDEC0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Aesthetic treatments</w:t>
            </w:r>
          </w:p>
          <w:p w14:paraId="538731F5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94656A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Complications</w:t>
            </w:r>
          </w:p>
          <w:p w14:paraId="4C034C14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58A7A6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Informed consent</w:t>
            </w:r>
          </w:p>
          <w:p w14:paraId="1C87754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3ABCC50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Bereavement</w:t>
            </w:r>
          </w:p>
          <w:p w14:paraId="40C9DB86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AF781F1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Grief</w:t>
            </w:r>
          </w:p>
          <w:p w14:paraId="2440C15C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346B2D9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Coping strategies</w:t>
            </w:r>
          </w:p>
          <w:p w14:paraId="2A48132A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A13EE0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Emotional resilience</w:t>
            </w:r>
          </w:p>
          <w:p w14:paraId="59A0409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0E564D5" w14:textId="73DBA358" w:rsidR="00A26317" w:rsidRPr="00A26317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Support services</w:t>
            </w:r>
          </w:p>
          <w:p w14:paraId="61EA2F2D" w14:textId="56D38D5F" w:rsidR="1F1BFE12" w:rsidRDefault="1F1BFE12" w:rsidP="00A2631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307EC9E8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6E31D5FC" w:rsidR="1F1BFE12" w:rsidRDefault="00A04DD6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69C80952" w14:textId="77777777" w:rsidTr="00A04DD6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3ACA9" w14:textId="7D5A2E9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959A031" w14:textId="68981A20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Opp</w:t>
            </w:r>
            <w:r w:rsidR="00A04D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ortunities to check for understanding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6EE18A" w14:textId="13FA8E09" w:rsidR="1F1BFE12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0E27B69B" w14:textId="249508CA" w:rsid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12FB3F" w14:textId="0237E4BD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 w:rsidR="00BB7C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69D8DA92" w14:textId="3F460D3F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D770D8A" w14:textId="18D8CF16" w:rsidR="00A04DD6" w:rsidRPr="00A04DD6" w:rsidRDefault="00A04DD6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Staff 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82F3699" w14:textId="5C070EE0" w:rsidR="1F1BFE12" w:rsidRPr="00A04DD6" w:rsidRDefault="1F1BFE12" w:rsidP="1F1BFE12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32808446" w14:textId="39979B46" w:rsidR="008C071A" w:rsidRDefault="00BB7CB6">
      <w:r>
        <w:lastRenderedPageBreak/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164DC5" w14:textId="77777777" w:rsidR="00BB7CB6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Core Theme </w:t>
            </w:r>
            <w:r w:rsidR="00A04D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 </w:t>
            </w:r>
          </w:p>
          <w:p w14:paraId="06F966D5" w14:textId="354ED38B" w:rsidR="00A04DD6" w:rsidRDefault="00A04DD6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and sex education </w:t>
            </w:r>
          </w:p>
        </w:tc>
      </w:tr>
      <w:tr w:rsidR="1F1BFE12" w14:paraId="5A08E529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Pr="00B50AD2" w:rsidRDefault="2A717250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1EBAD754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the different pregnancy choices, including parenthood, adoption, and abortion, and the support available.</w:t>
            </w:r>
          </w:p>
          <w:p w14:paraId="00E3766B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Know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what FGM (Female Genital Mutilation) involves and its physical, emotional, and legal consequences.</w:t>
            </w:r>
          </w:p>
          <w:p w14:paraId="314287E1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Be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aware that FGM is illegal and a violation of human rights.</w:t>
            </w:r>
          </w:p>
          <w:p w14:paraId="527E0AC7" w14:textId="13CB49CA" w:rsidR="1F1BFE12" w:rsidRPr="00B50AD2" w:rsidRDefault="1F1BFE1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A7BB2" w14:textId="77777777" w:rsidR="1F1BFE12" w:rsidRPr="00B50AD2" w:rsidRDefault="00BB7CB6" w:rsidP="7ACF446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07E1B941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Make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informed decisions about pregnancy, including understanding options like parenthood, adoption, and abortion</w:t>
            </w:r>
          </w:p>
          <w:p w14:paraId="798C97B3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Understand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legal rights and access to support related to pregnancy choices</w:t>
            </w:r>
          </w:p>
          <w:p w14:paraId="21A4AADC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Recognise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the signs and consequences of FGM</w:t>
            </w:r>
          </w:p>
          <w:p w14:paraId="453B8513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Respond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appropriately to concerns about FGM, including knowing how to report it</w:t>
            </w:r>
          </w:p>
          <w:p w14:paraId="176D0ADD" w14:textId="77777777" w:rsidR="00B50AD2" w:rsidRPr="00B50AD2" w:rsidRDefault="00B50AD2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B50AD2">
              <w:rPr>
                <w:rFonts w:ascii="Calibri" w:eastAsia="Calibri" w:hAnsi="Calibri" w:cs="Calibri"/>
                <w:color w:val="000000" w:themeColor="text1"/>
              </w:rPr>
              <w:t>  Respect</w:t>
            </w:r>
            <w:proofErr w:type="gramEnd"/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others’ choices while understanding the legal and ethical issues involved</w:t>
            </w:r>
          </w:p>
          <w:p w14:paraId="1BEB6C5E" w14:textId="4C165EC7" w:rsidR="00CD0D46" w:rsidRPr="00B50AD2" w:rsidRDefault="00CD0D46" w:rsidP="00B50A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50A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F1BFE12" w14:paraId="2954266E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5131F" w14:textId="349F968A" w:rsidR="00A26317" w:rsidRDefault="00817934" w:rsidP="00A26317">
            <w:r>
              <w:t xml:space="preserve"> </w:t>
            </w:r>
          </w:p>
          <w:p w14:paraId="71CB31A6" w14:textId="77777777" w:rsidR="00A26317" w:rsidRDefault="00A26317" w:rsidP="00A26317"/>
          <w:p w14:paraId="38C06861" w14:textId="77777777" w:rsidR="00B50AD2" w:rsidRDefault="00B50AD2" w:rsidP="00B50AD2">
            <w:r>
              <w:t>Parenthood</w:t>
            </w:r>
          </w:p>
          <w:p w14:paraId="487121B6" w14:textId="77777777" w:rsidR="00B50AD2" w:rsidRDefault="00B50AD2" w:rsidP="00B50AD2"/>
          <w:p w14:paraId="3727201B" w14:textId="77777777" w:rsidR="00B50AD2" w:rsidRDefault="00B50AD2" w:rsidP="00B50AD2">
            <w:r>
              <w:t>Adoption</w:t>
            </w:r>
          </w:p>
          <w:p w14:paraId="73076F3E" w14:textId="77777777" w:rsidR="00B50AD2" w:rsidRDefault="00B50AD2" w:rsidP="00B50AD2"/>
          <w:p w14:paraId="7F4389A4" w14:textId="77777777" w:rsidR="00B50AD2" w:rsidRDefault="00B50AD2" w:rsidP="00B50AD2">
            <w:r>
              <w:t>Abortion</w:t>
            </w:r>
          </w:p>
          <w:p w14:paraId="5D045CFA" w14:textId="77777777" w:rsidR="00B50AD2" w:rsidRDefault="00B50AD2" w:rsidP="00B50AD2"/>
          <w:p w14:paraId="0B6FBB2A" w14:textId="77777777" w:rsidR="00B50AD2" w:rsidRDefault="00B50AD2" w:rsidP="00B50AD2">
            <w:r>
              <w:t>Termination of pregnancy</w:t>
            </w:r>
          </w:p>
          <w:p w14:paraId="586BF3A7" w14:textId="77777777" w:rsidR="00B50AD2" w:rsidRDefault="00B50AD2" w:rsidP="00B50AD2"/>
          <w:p w14:paraId="406F2CC1" w14:textId="77777777" w:rsidR="00B50AD2" w:rsidRDefault="00B50AD2" w:rsidP="00B50AD2">
            <w:r>
              <w:t>Reproductive rights</w:t>
            </w:r>
          </w:p>
          <w:p w14:paraId="0414AED9" w14:textId="77777777" w:rsidR="00B50AD2" w:rsidRDefault="00B50AD2" w:rsidP="00B50AD2"/>
          <w:p w14:paraId="2884804B" w14:textId="77777777" w:rsidR="00B50AD2" w:rsidRDefault="00B50AD2" w:rsidP="00B50AD2">
            <w:r>
              <w:t>Female Genital Mutilation (FGM)</w:t>
            </w:r>
          </w:p>
          <w:p w14:paraId="7E3A7F54" w14:textId="77777777" w:rsidR="00B50AD2" w:rsidRDefault="00B50AD2" w:rsidP="00B50AD2"/>
          <w:p w14:paraId="2533C1AA" w14:textId="77777777" w:rsidR="00B50AD2" w:rsidRDefault="00B50AD2" w:rsidP="00B50AD2">
            <w:r>
              <w:t>Human rights violation</w:t>
            </w:r>
          </w:p>
          <w:p w14:paraId="4D994BE2" w14:textId="77777777" w:rsidR="00B50AD2" w:rsidRDefault="00B50AD2" w:rsidP="00B50AD2"/>
          <w:p w14:paraId="0D00EEA1" w14:textId="77777777" w:rsidR="00B50AD2" w:rsidRDefault="00B50AD2" w:rsidP="00B50AD2">
            <w:r>
              <w:t>Mandatory reporting</w:t>
            </w:r>
          </w:p>
          <w:p w14:paraId="77CF3B93" w14:textId="77777777" w:rsidR="00B50AD2" w:rsidRDefault="00B50AD2" w:rsidP="00B50AD2"/>
          <w:p w14:paraId="642D733B" w14:textId="77777777" w:rsidR="00B50AD2" w:rsidRDefault="00B50AD2" w:rsidP="00B50AD2">
            <w:r>
              <w:t>Safeguarding</w:t>
            </w:r>
          </w:p>
          <w:p w14:paraId="3EAA8FF3" w14:textId="77777777" w:rsidR="00B50AD2" w:rsidRDefault="00B50AD2" w:rsidP="00B50AD2"/>
          <w:p w14:paraId="30613E3C" w14:textId="77777777" w:rsidR="00B50AD2" w:rsidRDefault="00B50AD2" w:rsidP="00B50AD2">
            <w:r>
              <w:t>Consent</w:t>
            </w:r>
          </w:p>
          <w:p w14:paraId="1D9D5F49" w14:textId="77777777" w:rsidR="00B50AD2" w:rsidRDefault="00B50AD2" w:rsidP="00B50AD2"/>
          <w:p w14:paraId="395D450B" w14:textId="77777777" w:rsidR="00B50AD2" w:rsidRDefault="00B50AD2" w:rsidP="00B50AD2">
            <w:r>
              <w:t>Emotional wellbeing</w:t>
            </w:r>
          </w:p>
          <w:p w14:paraId="4A2E8273" w14:textId="77777777" w:rsidR="00B50AD2" w:rsidRDefault="00B50AD2" w:rsidP="00B50AD2"/>
          <w:p w14:paraId="754F4C3E" w14:textId="77777777" w:rsidR="00B50AD2" w:rsidRDefault="00B50AD2" w:rsidP="00B50AD2">
            <w:r>
              <w:t>Support services</w:t>
            </w:r>
          </w:p>
          <w:p w14:paraId="7E2CD7E3" w14:textId="77777777" w:rsidR="00B50AD2" w:rsidRDefault="00B50AD2" w:rsidP="00B50AD2"/>
          <w:p w14:paraId="1B3C9FA6" w14:textId="196318ED" w:rsidR="00A26317" w:rsidRDefault="00B50AD2" w:rsidP="00B50AD2">
            <w:r>
              <w:t>Legal protection</w:t>
            </w:r>
          </w:p>
          <w:p w14:paraId="7FC574E6" w14:textId="77777777" w:rsidR="00A26317" w:rsidRDefault="00A26317" w:rsidP="00A26317"/>
          <w:p w14:paraId="55229457" w14:textId="77777777" w:rsidR="00A26317" w:rsidRDefault="00A26317" w:rsidP="00A26317"/>
          <w:p w14:paraId="2AA19FF4" w14:textId="77777777" w:rsidR="00A26317" w:rsidRDefault="00A26317" w:rsidP="00A26317"/>
          <w:p w14:paraId="15821F05" w14:textId="77777777" w:rsidR="00A26317" w:rsidRDefault="00A26317" w:rsidP="00A26317"/>
          <w:p w14:paraId="3BECD251" w14:textId="77777777" w:rsidR="00A26317" w:rsidRDefault="00A26317" w:rsidP="00A26317"/>
          <w:p w14:paraId="182D268F" w14:textId="006E4A36" w:rsidR="00817934" w:rsidRPr="00CD0D46" w:rsidRDefault="00817934" w:rsidP="00A26317">
            <w:pPr>
              <w:spacing w:line="259" w:lineRule="auto"/>
            </w:pPr>
          </w:p>
        </w:tc>
      </w:tr>
      <w:tr w:rsidR="1F1BFE12" w14:paraId="6C11A90A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15EDBFD6" w:rsidR="1F1BFE12" w:rsidRDefault="00266F28" w:rsidP="00266F2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7ACF446C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659B3FD0" w:rsidR="1F1BFE12" w:rsidRDefault="00266F28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4D1ADB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320C0DF7" w14:textId="77777777" w:rsidR="00266F28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807E5F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37CBA7C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30AF4D3" w14:textId="77777777" w:rsidR="00266F28" w:rsidRPr="00A04DD6" w:rsidRDefault="00266F28" w:rsidP="00266F28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765F0AF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D7ABFA7" w14:textId="60C084CD" w:rsidR="008C071A" w:rsidRDefault="008C071A" w:rsidP="320AC621"/>
    <w:sectPr w:rsidR="008C071A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D1C" w14:textId="77777777" w:rsidR="00DF20C0" w:rsidRDefault="00DF20C0">
      <w:pPr>
        <w:spacing w:after="0" w:line="240" w:lineRule="auto"/>
      </w:pPr>
      <w:r>
        <w:separator/>
      </w:r>
    </w:p>
  </w:endnote>
  <w:endnote w:type="continuationSeparator" w:id="0">
    <w:p w14:paraId="23BA9C1F" w14:textId="77777777" w:rsidR="00DF20C0" w:rsidRDefault="00DF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BB7CB6" w14:paraId="30D21DFD" w14:textId="77777777" w:rsidTr="6BF6F9F0">
      <w:tc>
        <w:tcPr>
          <w:tcW w:w="4650" w:type="dxa"/>
        </w:tcPr>
        <w:p w14:paraId="379F3C8F" w14:textId="17CB4221" w:rsidR="00BB7CB6" w:rsidRDefault="00BB7CB6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00BB7CB6" w:rsidRDefault="00BB7CB6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00BB7CB6" w:rsidRDefault="00BB7CB6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00BB7CB6" w:rsidRDefault="00BB7CB6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3FF" w14:textId="77777777" w:rsidR="00DF20C0" w:rsidRDefault="00DF20C0">
      <w:pPr>
        <w:spacing w:after="0" w:line="240" w:lineRule="auto"/>
      </w:pPr>
      <w:r>
        <w:separator/>
      </w:r>
    </w:p>
  </w:footnote>
  <w:footnote w:type="continuationSeparator" w:id="0">
    <w:p w14:paraId="3799B1AB" w14:textId="77777777" w:rsidR="00DF20C0" w:rsidRDefault="00DF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00BB7CB6" w14:paraId="51FA9C33" w14:textId="77777777" w:rsidTr="7ACF446C">
      <w:tc>
        <w:tcPr>
          <w:tcW w:w="7065" w:type="dxa"/>
        </w:tcPr>
        <w:p w14:paraId="7ECE50CD" w14:textId="506C1360" w:rsidR="00BB7CB6" w:rsidRDefault="00BB7CB6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7ACF446C">
            <w:rPr>
              <w:b/>
              <w:bCs/>
              <w:sz w:val="28"/>
              <w:szCs w:val="28"/>
              <w:u w:val="single"/>
            </w:rPr>
            <w:t xml:space="preserve">Year </w:t>
          </w:r>
          <w:r w:rsidR="00B50AD2">
            <w:rPr>
              <w:b/>
              <w:bCs/>
              <w:sz w:val="28"/>
              <w:szCs w:val="28"/>
              <w:u w:val="single"/>
            </w:rPr>
            <w:t>10</w:t>
          </w:r>
          <w:r w:rsidRPr="7ACF446C">
            <w:rPr>
              <w:b/>
              <w:bCs/>
              <w:sz w:val="28"/>
              <w:szCs w:val="28"/>
              <w:u w:val="single"/>
            </w:rPr>
            <w:t xml:space="preserve"> PSHE </w:t>
          </w:r>
        </w:p>
        <w:p w14:paraId="04CAAC87" w14:textId="37EA58CD" w:rsidR="00BB7CB6" w:rsidRDefault="00BB7CB6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00BB7CB6" w:rsidRDefault="00BB7CB6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00BB7CB6" w:rsidRDefault="00BB7CB6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00BB7CB6" w:rsidRDefault="00BB7CB6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2E"/>
    <w:multiLevelType w:val="hybridMultilevel"/>
    <w:tmpl w:val="28A0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79C9"/>
    <w:multiLevelType w:val="multilevel"/>
    <w:tmpl w:val="BA70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64135"/>
    <w:multiLevelType w:val="hybridMultilevel"/>
    <w:tmpl w:val="2FDA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75EA"/>
    <w:multiLevelType w:val="hybridMultilevel"/>
    <w:tmpl w:val="A75A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1227"/>
    <w:multiLevelType w:val="hybridMultilevel"/>
    <w:tmpl w:val="46F47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5827"/>
    <w:multiLevelType w:val="hybridMultilevel"/>
    <w:tmpl w:val="41444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A71604"/>
    <w:multiLevelType w:val="hybridMultilevel"/>
    <w:tmpl w:val="A5F8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2F73"/>
    <w:multiLevelType w:val="hybridMultilevel"/>
    <w:tmpl w:val="05D6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2D2B"/>
    <w:multiLevelType w:val="hybridMultilevel"/>
    <w:tmpl w:val="1362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38D3"/>
    <w:multiLevelType w:val="hybridMultilevel"/>
    <w:tmpl w:val="548E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0D0"/>
    <w:multiLevelType w:val="hybridMultilevel"/>
    <w:tmpl w:val="B376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266F28"/>
    <w:rsid w:val="003D3954"/>
    <w:rsid w:val="00480CDE"/>
    <w:rsid w:val="00706121"/>
    <w:rsid w:val="0073CEF8"/>
    <w:rsid w:val="00767130"/>
    <w:rsid w:val="00817934"/>
    <w:rsid w:val="008C071A"/>
    <w:rsid w:val="00A04DD6"/>
    <w:rsid w:val="00A26317"/>
    <w:rsid w:val="00A87FEB"/>
    <w:rsid w:val="00A926F3"/>
    <w:rsid w:val="00B50AD2"/>
    <w:rsid w:val="00BB7CB6"/>
    <w:rsid w:val="00CD0D46"/>
    <w:rsid w:val="00D040E6"/>
    <w:rsid w:val="00D247BC"/>
    <w:rsid w:val="00DF20C0"/>
    <w:rsid w:val="00F823A4"/>
    <w:rsid w:val="0130D40E"/>
    <w:rsid w:val="0151D5AC"/>
    <w:rsid w:val="01CAD0B4"/>
    <w:rsid w:val="02457AED"/>
    <w:rsid w:val="02548698"/>
    <w:rsid w:val="02C4DF22"/>
    <w:rsid w:val="036E8E9B"/>
    <w:rsid w:val="03C557D9"/>
    <w:rsid w:val="04399BB6"/>
    <w:rsid w:val="04492931"/>
    <w:rsid w:val="04C597FD"/>
    <w:rsid w:val="059ECE8A"/>
    <w:rsid w:val="05D0BBEA"/>
    <w:rsid w:val="065D45EB"/>
    <w:rsid w:val="06A62F5D"/>
    <w:rsid w:val="07057C9E"/>
    <w:rsid w:val="071D2C03"/>
    <w:rsid w:val="07633DFF"/>
    <w:rsid w:val="0780C9F3"/>
    <w:rsid w:val="0819EBF6"/>
    <w:rsid w:val="0841FFBE"/>
    <w:rsid w:val="08A14CFF"/>
    <w:rsid w:val="08AA9B4B"/>
    <w:rsid w:val="08ECD93F"/>
    <w:rsid w:val="09033589"/>
    <w:rsid w:val="09312F2A"/>
    <w:rsid w:val="09D5E299"/>
    <w:rsid w:val="09E1FE3F"/>
    <w:rsid w:val="0A466BAC"/>
    <w:rsid w:val="0AC0FFBA"/>
    <w:rsid w:val="0AE980EC"/>
    <w:rsid w:val="0AECED3A"/>
    <w:rsid w:val="0B30B70E"/>
    <w:rsid w:val="0B607823"/>
    <w:rsid w:val="0C1431BD"/>
    <w:rsid w:val="0C543B16"/>
    <w:rsid w:val="0CD474F5"/>
    <w:rsid w:val="0D67A698"/>
    <w:rsid w:val="0D9E89DE"/>
    <w:rsid w:val="0DBE12E6"/>
    <w:rsid w:val="0DF00B77"/>
    <w:rsid w:val="0EAFA218"/>
    <w:rsid w:val="0ECAA60D"/>
    <w:rsid w:val="0F278BD1"/>
    <w:rsid w:val="0F9470DD"/>
    <w:rsid w:val="0FEB2919"/>
    <w:rsid w:val="10864EED"/>
    <w:rsid w:val="108CF14A"/>
    <w:rsid w:val="10AFDD40"/>
    <w:rsid w:val="10D62AA0"/>
    <w:rsid w:val="1384B265"/>
    <w:rsid w:val="13AF81F7"/>
    <w:rsid w:val="13ED4DF2"/>
    <w:rsid w:val="1437796C"/>
    <w:rsid w:val="14506190"/>
    <w:rsid w:val="145F4CFB"/>
    <w:rsid w:val="14B8CA4C"/>
    <w:rsid w:val="14BE9A3C"/>
    <w:rsid w:val="14CDAA04"/>
    <w:rsid w:val="14EEE725"/>
    <w:rsid w:val="1508EE00"/>
    <w:rsid w:val="15FB1D5C"/>
    <w:rsid w:val="1648A2A6"/>
    <w:rsid w:val="165A6A9D"/>
    <w:rsid w:val="16A4BE61"/>
    <w:rsid w:val="16B465A1"/>
    <w:rsid w:val="1746D4A1"/>
    <w:rsid w:val="1764F52C"/>
    <w:rsid w:val="17C60BB6"/>
    <w:rsid w:val="19266DFC"/>
    <w:rsid w:val="19B2F7FD"/>
    <w:rsid w:val="19D3CDA7"/>
    <w:rsid w:val="19D6F7B6"/>
    <w:rsid w:val="1ACE8E7F"/>
    <w:rsid w:val="1B25941A"/>
    <w:rsid w:val="1BA92915"/>
    <w:rsid w:val="1C34F720"/>
    <w:rsid w:val="1C70AA5B"/>
    <w:rsid w:val="1CC3DC31"/>
    <w:rsid w:val="1CD861C9"/>
    <w:rsid w:val="1E74322A"/>
    <w:rsid w:val="1E866920"/>
    <w:rsid w:val="1EE0C9D7"/>
    <w:rsid w:val="1F1BFE12"/>
    <w:rsid w:val="1F26B24D"/>
    <w:rsid w:val="1FA84B1D"/>
    <w:rsid w:val="1FB85704"/>
    <w:rsid w:val="1FCDDF36"/>
    <w:rsid w:val="20366F30"/>
    <w:rsid w:val="2063356D"/>
    <w:rsid w:val="224980D0"/>
    <w:rsid w:val="2298A478"/>
    <w:rsid w:val="2340DB2B"/>
    <w:rsid w:val="237D4A3B"/>
    <w:rsid w:val="238B2EEF"/>
    <w:rsid w:val="239AD62F"/>
    <w:rsid w:val="23D1493B"/>
    <w:rsid w:val="242D452F"/>
    <w:rsid w:val="243474D9"/>
    <w:rsid w:val="247BBC40"/>
    <w:rsid w:val="2557F8E1"/>
    <w:rsid w:val="2564A031"/>
    <w:rsid w:val="26B94E94"/>
    <w:rsid w:val="26D1A9C7"/>
    <w:rsid w:val="26EA9690"/>
    <w:rsid w:val="26F470C1"/>
    <w:rsid w:val="27FC84B7"/>
    <w:rsid w:val="2836C76B"/>
    <w:rsid w:val="29985518"/>
    <w:rsid w:val="29BBBC4D"/>
    <w:rsid w:val="29D297CC"/>
    <w:rsid w:val="2A0A17B3"/>
    <w:rsid w:val="2A717250"/>
    <w:rsid w:val="2B6E682D"/>
    <w:rsid w:val="2BA3A6DA"/>
    <w:rsid w:val="2BBF4CDF"/>
    <w:rsid w:val="2C9A041B"/>
    <w:rsid w:val="2D0A388E"/>
    <w:rsid w:val="2D3F773B"/>
    <w:rsid w:val="2D40AFB7"/>
    <w:rsid w:val="2DDDA797"/>
    <w:rsid w:val="2DE2625C"/>
    <w:rsid w:val="2E1C530B"/>
    <w:rsid w:val="2E8C43AB"/>
    <w:rsid w:val="2EC4F510"/>
    <w:rsid w:val="2EFD391C"/>
    <w:rsid w:val="2F34E98C"/>
    <w:rsid w:val="2F74F004"/>
    <w:rsid w:val="2F772780"/>
    <w:rsid w:val="2FD672EC"/>
    <w:rsid w:val="304EF603"/>
    <w:rsid w:val="3092BE02"/>
    <w:rsid w:val="31A20637"/>
    <w:rsid w:val="31BB2E94"/>
    <w:rsid w:val="320AC621"/>
    <w:rsid w:val="322B1C53"/>
    <w:rsid w:val="3266BA5E"/>
    <w:rsid w:val="328D07BE"/>
    <w:rsid w:val="328DDBA4"/>
    <w:rsid w:val="332AE65B"/>
    <w:rsid w:val="3370F857"/>
    <w:rsid w:val="3428D81F"/>
    <w:rsid w:val="347BED4F"/>
    <w:rsid w:val="34C2079B"/>
    <w:rsid w:val="353E5B96"/>
    <w:rsid w:val="36521481"/>
    <w:rsid w:val="3665C2A1"/>
    <w:rsid w:val="3676D820"/>
    <w:rsid w:val="3726D314"/>
    <w:rsid w:val="373FFB71"/>
    <w:rsid w:val="37978CF1"/>
    <w:rsid w:val="38641F82"/>
    <w:rsid w:val="38917FC5"/>
    <w:rsid w:val="38A5BD6D"/>
    <w:rsid w:val="397D4A9A"/>
    <w:rsid w:val="3A3FEBC3"/>
    <w:rsid w:val="3AD0CCEE"/>
    <w:rsid w:val="3AD86065"/>
    <w:rsid w:val="3AEB2ED3"/>
    <w:rsid w:val="3B8D4513"/>
    <w:rsid w:val="3B91A8AA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21AA722"/>
    <w:rsid w:val="423C0C5B"/>
    <w:rsid w:val="443FCFCF"/>
    <w:rsid w:val="44E2B339"/>
    <w:rsid w:val="45B2C31A"/>
    <w:rsid w:val="45B3C034"/>
    <w:rsid w:val="45E38DB6"/>
    <w:rsid w:val="4681286F"/>
    <w:rsid w:val="474E937B"/>
    <w:rsid w:val="47777091"/>
    <w:rsid w:val="478F0557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52B3CE"/>
    <w:rsid w:val="49CC8A32"/>
    <w:rsid w:val="49DE26CF"/>
    <w:rsid w:val="4A4B9B9C"/>
    <w:rsid w:val="4AAEB733"/>
    <w:rsid w:val="4AD0F83B"/>
    <w:rsid w:val="4B4F5A6F"/>
    <w:rsid w:val="4BB2860D"/>
    <w:rsid w:val="4BB7D84A"/>
    <w:rsid w:val="4BBFEC13"/>
    <w:rsid w:val="4DC5C285"/>
    <w:rsid w:val="4E55AF48"/>
    <w:rsid w:val="5022CB92"/>
    <w:rsid w:val="5035FBC6"/>
    <w:rsid w:val="504A1230"/>
    <w:rsid w:val="504BA5C7"/>
    <w:rsid w:val="51B3CF2F"/>
    <w:rsid w:val="51B62288"/>
    <w:rsid w:val="51C15932"/>
    <w:rsid w:val="532435B6"/>
    <w:rsid w:val="54350409"/>
    <w:rsid w:val="545DE11F"/>
    <w:rsid w:val="56CE7C26"/>
    <w:rsid w:val="571E9FDA"/>
    <w:rsid w:val="58BA703B"/>
    <w:rsid w:val="58E1479A"/>
    <w:rsid w:val="596A6B2F"/>
    <w:rsid w:val="59C3B5AF"/>
    <w:rsid w:val="5A061CE8"/>
    <w:rsid w:val="5A2CD976"/>
    <w:rsid w:val="5ACD22A3"/>
    <w:rsid w:val="5AD0A0FF"/>
    <w:rsid w:val="5C83DDED"/>
    <w:rsid w:val="5CC07817"/>
    <w:rsid w:val="5D8C4DC7"/>
    <w:rsid w:val="5D943B4D"/>
    <w:rsid w:val="5E646AB5"/>
    <w:rsid w:val="5EF9575D"/>
    <w:rsid w:val="5F004A99"/>
    <w:rsid w:val="5F29B1BF"/>
    <w:rsid w:val="5F47FEF7"/>
    <w:rsid w:val="5F90B9B5"/>
    <w:rsid w:val="6040B4A9"/>
    <w:rsid w:val="607BC2F3"/>
    <w:rsid w:val="6230F81F"/>
    <w:rsid w:val="624C210A"/>
    <w:rsid w:val="62FA1B70"/>
    <w:rsid w:val="6319F8B6"/>
    <w:rsid w:val="63424706"/>
    <w:rsid w:val="63B7C74C"/>
    <w:rsid w:val="63D3BBBC"/>
    <w:rsid w:val="63E122CE"/>
    <w:rsid w:val="645FD4BA"/>
    <w:rsid w:val="647404E9"/>
    <w:rsid w:val="64A43150"/>
    <w:rsid w:val="64F59DB9"/>
    <w:rsid w:val="660E41B3"/>
    <w:rsid w:val="671E8326"/>
    <w:rsid w:val="672C3228"/>
    <w:rsid w:val="679BCB9A"/>
    <w:rsid w:val="67ABA5AB"/>
    <w:rsid w:val="68BB628E"/>
    <w:rsid w:val="6913CF13"/>
    <w:rsid w:val="69363B35"/>
    <w:rsid w:val="6946443B"/>
    <w:rsid w:val="69AB2403"/>
    <w:rsid w:val="69AB2E9B"/>
    <w:rsid w:val="6A9C18CB"/>
    <w:rsid w:val="6AD36C5C"/>
    <w:rsid w:val="6AE508F9"/>
    <w:rsid w:val="6BF6F9F0"/>
    <w:rsid w:val="6C24E618"/>
    <w:rsid w:val="6C6DB0DD"/>
    <w:rsid w:val="6C6DDBF7"/>
    <w:rsid w:val="6CD99BD1"/>
    <w:rsid w:val="6D5BCEFA"/>
    <w:rsid w:val="6E01BED2"/>
    <w:rsid w:val="6E2E7C0A"/>
    <w:rsid w:val="6E416278"/>
    <w:rsid w:val="6F3BEE99"/>
    <w:rsid w:val="6F3E41F2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3CDEB16"/>
    <w:rsid w:val="742FF7FD"/>
    <w:rsid w:val="74E879D5"/>
    <w:rsid w:val="74EC4DAB"/>
    <w:rsid w:val="75C46A99"/>
    <w:rsid w:val="765D00B7"/>
    <w:rsid w:val="766FAAC8"/>
    <w:rsid w:val="769D1DF3"/>
    <w:rsid w:val="774953D7"/>
    <w:rsid w:val="775818BD"/>
    <w:rsid w:val="7774FA1F"/>
    <w:rsid w:val="77B0BD93"/>
    <w:rsid w:val="77DBC2D7"/>
    <w:rsid w:val="77F9E362"/>
    <w:rsid w:val="78201A97"/>
    <w:rsid w:val="782BDBF3"/>
    <w:rsid w:val="789C640B"/>
    <w:rsid w:val="78D973DE"/>
    <w:rsid w:val="79067689"/>
    <w:rsid w:val="79131DD9"/>
    <w:rsid w:val="79BFBECE"/>
    <w:rsid w:val="79F1425E"/>
    <w:rsid w:val="7A26F995"/>
    <w:rsid w:val="7A714D59"/>
    <w:rsid w:val="7AB9CD3C"/>
    <w:rsid w:val="7ACF446C"/>
    <w:rsid w:val="7B136399"/>
    <w:rsid w:val="7C3EBECA"/>
    <w:rsid w:val="7CB663A4"/>
    <w:rsid w:val="7CF75F90"/>
    <w:rsid w:val="7D00E0AD"/>
    <w:rsid w:val="7D2ECCD5"/>
    <w:rsid w:val="7D58CA67"/>
    <w:rsid w:val="7DD9E7AC"/>
    <w:rsid w:val="7ECE521E"/>
    <w:rsid w:val="7EF49AC8"/>
    <w:rsid w:val="7F75B80D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4D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2025-07-17T10:30:00Z</dcterms:created>
  <dcterms:modified xsi:type="dcterms:W3CDTF">2025-07-17T10:30:00Z</dcterms:modified>
</cp:coreProperties>
</file>