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0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0"/>
        <w:gridCol w:w="12765"/>
        <w:tblGridChange w:id="0">
          <w:tblGrid>
            <w:gridCol w:w="1290"/>
            <w:gridCol w:w="127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02">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Sequenced</w:t>
            </w:r>
          </w:p>
        </w:tc>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03">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Core Theme 1</w:t>
            </w:r>
          </w:p>
          <w:p w:rsidR="00000000" w:rsidDel="00000000" w:rsidP="00000000" w:rsidRDefault="00000000" w:rsidRPr="00000000" w14:paraId="00000004">
            <w:pPr>
              <w:spacing w:line="259"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5">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Health and Wellbeing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6">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7">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8">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Knowledge</w:t>
            </w:r>
          </w:p>
          <w:p w:rsidR="00000000" w:rsidDel="00000000" w:rsidP="00000000" w:rsidRDefault="00000000" w:rsidRPr="00000000" w14:paraId="00000009">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A">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0B">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C">
            <w:pPr>
              <w:spacing w:line="259" w:lineRule="auto"/>
              <w:rPr/>
            </w:pPr>
            <w:r w:rsidDel="00000000" w:rsidR="00000000" w:rsidRPr="00000000">
              <w:rPr>
                <w:rtl w:val="0"/>
              </w:rPr>
              <w:t xml:space="preserve">To know:</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Drug classification </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difference between the different classes?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drugs?</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party drugs?</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dangers of cannabis?</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addiction?</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Hygiene</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Healthy eating</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some mental health conditions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Instagram generation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Vaping</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Dangers of alcohol </w:t>
            </w:r>
          </w:p>
          <w:p w:rsidR="00000000" w:rsidDel="00000000" w:rsidP="00000000" w:rsidRDefault="00000000" w:rsidRPr="00000000" w14:paraId="00000019">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A">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Skills</w:t>
            </w:r>
          </w:p>
          <w:p w:rsidR="00000000" w:rsidDel="00000000" w:rsidP="00000000" w:rsidRDefault="00000000" w:rsidRPr="00000000" w14:paraId="0000001E">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1F">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20">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p w:rsidR="00000000" w:rsidDel="00000000" w:rsidP="00000000" w:rsidRDefault="00000000" w:rsidRPr="00000000" w14:paraId="00000021">
            <w:pPr>
              <w:spacing w:line="259" w:lineRule="auto"/>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rPr/>
            </w:pPr>
            <w:r w:rsidDel="00000000" w:rsidR="00000000" w:rsidRPr="00000000">
              <w:rPr>
                <w:rtl w:val="0"/>
              </w:rPr>
              <w:t xml:space="preserve">To understand:</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different drug classifications and the consequences of carrying/ taking these</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dangers of taking drugs both long and short term. </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different forms that drugs come in and warning signs to look out for.</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what cannabis is and the danger so fusing this drug</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signs of addiction and where we can go for support </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keep clean</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 food groups and why we should be including a range of food groups</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Exploring mental health and the different issues that can arise. </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issues with social media and the impact that this can have on people</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short-term data on vaping and why this should be avoided</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alcohol is and the dangers of drinking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E">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2F">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Tier 3 key vocabulary </w:t>
            </w:r>
          </w:p>
          <w:p w:rsidR="00000000" w:rsidDel="00000000" w:rsidP="00000000" w:rsidRDefault="00000000" w:rsidRPr="00000000" w14:paraId="00000030">
            <w:pPr>
              <w:spacing w:line="259" w:lineRule="auto"/>
              <w:jc w:val="center"/>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spacing w:line="259"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Subject specific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Class A, B, C     Supply     Possession     Distribution     Psychoactive     Substances     Medicine Act      Stimulants       Crystal meth</w:t>
            </w:r>
          </w:p>
          <w:p w:rsidR="00000000" w:rsidDel="00000000" w:rsidP="00000000" w:rsidRDefault="00000000" w:rsidRPr="00000000" w14:paraId="00000035">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Speed       Amphetamines      Hallucinogenic       LSD         MDMA         Cocaine       Trip        Legality       THC        Inhalants</w:t>
            </w:r>
          </w:p>
          <w:p w:rsidR="00000000" w:rsidDel="00000000" w:rsidP="00000000" w:rsidRDefault="00000000" w:rsidRPr="00000000" w14:paraId="00000037">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Gaming        Sugar           Nicotine            Prescription            Misuse             Maintaining          Carbohydrates            Proteins</w:t>
            </w:r>
          </w:p>
          <w:p w:rsidR="00000000" w:rsidDel="00000000" w:rsidP="00000000" w:rsidRDefault="00000000" w:rsidRPr="00000000" w14:paraId="00000039">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Fibre        Complex         Vitamins        Minerals           Body Image           Self-esteem          Vloggers          Streaming             Childline </w:t>
            </w:r>
          </w:p>
          <w:p w:rsidR="00000000" w:rsidDel="00000000" w:rsidP="00000000" w:rsidRDefault="00000000" w:rsidRPr="00000000" w14:paraId="0000003B">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Selfie            E cigarette         Vaping          Physical         Ethanol          Units  </w:t>
            </w:r>
          </w:p>
          <w:p w:rsidR="00000000" w:rsidDel="00000000" w:rsidP="00000000" w:rsidRDefault="00000000" w:rsidRPr="00000000" w14:paraId="0000003D">
            <w:pPr>
              <w:spacing w:line="259" w:lineRule="auto"/>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3E">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3F">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Checking for understanding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spacing w:line="259" w:lineRule="auto"/>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Opportunities to check for understanding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lesson includes many opportunities to check for understanding. </w:t>
            </w:r>
          </w:p>
          <w:p w:rsidR="00000000" w:rsidDel="00000000" w:rsidP="00000000" w:rsidRDefault="00000000" w:rsidRPr="00000000" w14:paraId="00000043">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4">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PSHE education is different to other areas of the curriculum as the learning is so strongly related to the student’s personal identity – their attitudes, skills, experiences and influences. </w:t>
            </w:r>
            <w:r w:rsidDel="00000000" w:rsidR="00000000" w:rsidRPr="00000000">
              <w:rPr>
                <w:rFonts w:ascii="Arial" w:cs="Arial" w:eastAsia="Arial" w:hAnsi="Arial"/>
                <w:color w:val="000000"/>
                <w:sz w:val="20"/>
                <w:szCs w:val="20"/>
                <w:rtl w:val="0"/>
              </w:rPr>
              <w:t xml:space="preserve">The most common form of assessment is ipsative assessment where you review the beginning and then again at the end of each unit, to see which knowledge has been acquired. Please see my training video for information on this. </w:t>
            </w:r>
          </w:p>
          <w:p w:rsidR="00000000" w:rsidDel="00000000" w:rsidP="00000000" w:rsidRDefault="00000000" w:rsidRPr="00000000" w14:paraId="00000045">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he Department for Education’s statutory guidance on assessment in the </w:t>
            </w:r>
            <w:hyperlink r:id="rId7">
              <w:r w:rsidDel="00000000" w:rsidR="00000000" w:rsidRPr="00000000">
                <w:rPr>
                  <w:rFonts w:ascii="Arial" w:cs="Arial" w:eastAsia="Arial" w:hAnsi="Arial"/>
                  <w:color w:val="1155cc"/>
                  <w:sz w:val="20"/>
                  <w:szCs w:val="20"/>
                  <w:highlight w:val="white"/>
                  <w:u w:val="single"/>
                  <w:rtl w:val="0"/>
                </w:rPr>
                <w:t xml:space="preserve">Relationships, Sex and Health Education (p.43)</w:t>
              </w:r>
            </w:hyperlink>
            <w:r w:rsidDel="00000000" w:rsidR="00000000" w:rsidRPr="00000000">
              <w:rPr>
                <w:rFonts w:ascii="Arial" w:cs="Arial" w:eastAsia="Arial" w:hAnsi="Arial"/>
                <w:color w:val="222222"/>
                <w:sz w:val="20"/>
                <w:szCs w:val="20"/>
                <w:highlight w:val="white"/>
                <w:rtl w:val="0"/>
              </w:rPr>
              <w:t xml:space="preserve"> does emphasise that </w:t>
            </w:r>
            <w:r w:rsidDel="00000000" w:rsidR="00000000" w:rsidRPr="00000000">
              <w:rPr>
                <w:rFonts w:ascii="Arial" w:cs="Arial" w:eastAsia="Arial" w:hAnsi="Arial"/>
                <w:i w:val="1"/>
                <w:color w:val="222222"/>
                <w:sz w:val="20"/>
                <w:szCs w:val="20"/>
                <w:highlight w:val="white"/>
                <w:rtl w:val="0"/>
              </w:rPr>
              <w:t xml:space="preserve">“Schools should have the same high expectations of the quality of pupils’ work in these subjects as for other curriculum areas…”  </w:t>
            </w:r>
            <w:r w:rsidDel="00000000" w:rsidR="00000000" w:rsidRPr="00000000">
              <w:rPr>
                <w:rFonts w:ascii="Arial" w:cs="Arial" w:eastAsia="Arial" w:hAnsi="Arial"/>
                <w:color w:val="000000"/>
                <w:sz w:val="20"/>
                <w:szCs w:val="20"/>
                <w:rtl w:val="0"/>
              </w:rPr>
              <w:t xml:space="preserve">Staff are expected to give written feedback for a piece of work, each half term.</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222222"/>
                <w:sz w:val="20"/>
                <w:szCs w:val="20"/>
                <w:highlight w:val="white"/>
                <w:rtl w:val="0"/>
              </w:rPr>
              <w:t xml:space="preserve">The focus is on ensuring teachers are able to gauge progress, that teaching builds on what they already know, and that there are opportunities for ‘</w:t>
            </w:r>
            <w:r w:rsidDel="00000000" w:rsidR="00000000" w:rsidRPr="00000000">
              <w:rPr>
                <w:rFonts w:ascii="Arial" w:cs="Arial" w:eastAsia="Arial" w:hAnsi="Arial"/>
                <w:i w:val="1"/>
                <w:color w:val="222222"/>
                <w:sz w:val="20"/>
                <w:szCs w:val="20"/>
                <w:highlight w:val="white"/>
                <w:rtl w:val="0"/>
              </w:rPr>
              <w:t xml:space="preserve">regular feedback on pupil progress’</w:t>
            </w:r>
            <w:r w:rsidDel="00000000" w:rsidR="00000000" w:rsidRPr="00000000">
              <w:rPr>
                <w:rFonts w:ascii="Arial" w:cs="Arial" w:eastAsia="Arial" w:hAnsi="Arial"/>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47">
            <w:pPr>
              <w:spacing w:line="259" w:lineRule="auto"/>
              <w:jc w:val="cente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48">
      <w:pPr>
        <w:rPr/>
      </w:pPr>
      <w:r w:rsidDel="00000000" w:rsidR="00000000" w:rsidRPr="00000000">
        <w:br w:type="page"/>
      </w:r>
      <w:r w:rsidDel="00000000" w:rsidR="00000000" w:rsidRPr="00000000">
        <w:rPr>
          <w:rtl w:val="0"/>
        </w:rPr>
      </w:r>
    </w:p>
    <w:tbl>
      <w:tblPr>
        <w:tblStyle w:val="Table2"/>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12645"/>
        <w:tblGridChange w:id="0">
          <w:tblGrid>
            <w:gridCol w:w="1305"/>
            <w:gridCol w:w="1264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9cc3e5" w:val="clear"/>
          </w:tcPr>
          <w:p w:rsidR="00000000" w:rsidDel="00000000" w:rsidP="00000000" w:rsidRDefault="00000000" w:rsidRPr="00000000" w14:paraId="00000049">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Sequenced</w:t>
            </w:r>
          </w:p>
        </w:tc>
        <w:tc>
          <w:tcPr>
            <w:tcBorders>
              <w:top w:color="000000" w:space="0" w:sz="6" w:val="single"/>
              <w:left w:color="000000" w:space="0" w:sz="6" w:val="single"/>
              <w:bottom w:color="000000" w:space="0" w:sz="6" w:val="single"/>
              <w:right w:color="000000" w:space="0" w:sz="6" w:val="single"/>
            </w:tcBorders>
            <w:shd w:fill="9cc3e5" w:val="clear"/>
          </w:tcPr>
          <w:p w:rsidR="00000000" w:rsidDel="00000000" w:rsidP="00000000" w:rsidRDefault="00000000" w:rsidRPr="00000000" w14:paraId="0000004A">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Core Theme 2 </w:t>
            </w:r>
          </w:p>
          <w:p w:rsidR="00000000" w:rsidDel="00000000" w:rsidP="00000000" w:rsidRDefault="00000000" w:rsidRPr="00000000" w14:paraId="0000004B">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Relationships and sex education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E">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Knowledge</w:t>
            </w:r>
          </w:p>
          <w:p w:rsidR="00000000" w:rsidDel="00000000" w:rsidP="00000000" w:rsidRDefault="00000000" w:rsidRPr="00000000" w14:paraId="0000004F">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0">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51">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 know:</w:t>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I take care of me?</w:t>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I build positive relationships?</w:t>
            </w:r>
          </w:p>
          <w:p w:rsidR="00000000" w:rsidDel="00000000" w:rsidP="00000000" w:rsidRDefault="00000000" w:rsidRPr="00000000" w14:paraId="000000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a respectful relationship?</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parenting skills?</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contraception?</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we learn about conception?</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commitment important?</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people love one another?</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to recognise abuse</w:t>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Murder games</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Domestic abuse</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Pornography and sexting</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consent?</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STIs?</w:t>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trolling</w:t>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harassment</w:t>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Youth produced sexual imagery </w:t>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Homophobia</w:t>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Honour based violence</w:t>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Forced marriage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7">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8">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A">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Skills</w:t>
            </w:r>
          </w:p>
          <w:p w:rsidR="00000000" w:rsidDel="00000000" w:rsidP="00000000" w:rsidRDefault="00000000" w:rsidRPr="00000000" w14:paraId="0000006B">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C">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6D">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p w:rsidR="00000000" w:rsidDel="00000000" w:rsidP="00000000" w:rsidRDefault="00000000" w:rsidRPr="00000000" w14:paraId="0000006E">
            <w:pPr>
              <w:spacing w:line="259" w:lineRule="auto"/>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F">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 understand:</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ways in which we can support out own mental health and what to do/ where to go if we need further support. </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Explore ways in which we can build positive relationships and how to cut off toxic relationships</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at what constitutes a healthy relationship</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explore the key parenting skills needed and explain why</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 range of contraceptive methods and how they are uses. Kinaesthetic lesson. We also support this unit with Nurses coming in to demonstrate a range of methods. </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explore the method of conception and how this arises. Understand fertilisation and pregnancy options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Compare how a range of people demonstrate their love for one another and how this varies across cultures</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define abuse and what the different types of abuse involve, such as physical, sexual etc.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collect data on the dangers of pornographic material and explore how this is impacting the teenage brain.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Grasp what defines assault, specifically sexual assault and harassment. Study where to get support from.</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the issue with sending nudes etc and the legalities on this topic. </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explore the British value tolerance and apply this to homophobia. Explore what constitutes discrimination against gay people.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C">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7D">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Tier 3 key vocabulary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F">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spacing w:line="259"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Subject specific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1">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Relationships          Neutral            Interaction            Responsibility            Duty               Affection           Differences             Diversity</w:t>
            </w:r>
          </w:p>
          <w:p w:rsidR="00000000" w:rsidDel="00000000" w:rsidP="00000000" w:rsidRDefault="00000000" w:rsidRPr="00000000" w14:paraId="00000082">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3">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Harassment          Abuse         Skill           Characteristic           Co-parenting           Abstinence          Barrier           Supress           Oestrogen</w:t>
            </w:r>
          </w:p>
          <w:p w:rsidR="00000000" w:rsidDel="00000000" w:rsidP="00000000" w:rsidRDefault="00000000" w:rsidRPr="00000000" w14:paraId="00000084">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Progesterone          Copper          IUS       IUD            Contraception           Puberty            Hormone           Intercourse             Commitment</w:t>
            </w:r>
          </w:p>
          <w:p w:rsidR="00000000" w:rsidDel="00000000" w:rsidP="00000000" w:rsidRDefault="00000000" w:rsidRPr="00000000" w14:paraId="00000086">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7">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Neglect            Financial abuse          Discriminatory abuse                 Institutional abuse                 Emotional abuse              Psychological abuse </w:t>
            </w:r>
          </w:p>
          <w:p w:rsidR="00000000" w:rsidDel="00000000" w:rsidP="00000000" w:rsidRDefault="00000000" w:rsidRPr="00000000" w14:paraId="00000088">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9">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Sexual abuse          Harassment and assault              Pornography            Material           Consent           Orientation           Chlamydia</w:t>
            </w:r>
          </w:p>
          <w:p w:rsidR="00000000" w:rsidDel="00000000" w:rsidP="00000000" w:rsidRDefault="00000000" w:rsidRPr="00000000" w14:paraId="0000008A">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Genital warts         Herpes         Pubic lice         Gonorrhoea         syphilis          Dependant        Penis         Urethra          Scrotum           Testicle</w:t>
            </w:r>
          </w:p>
          <w:p w:rsidR="00000000" w:rsidDel="00000000" w:rsidP="00000000" w:rsidRDefault="00000000" w:rsidRPr="00000000" w14:paraId="0000008C">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D">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Sperm        Vulva           Vagina          Labia         Cervix           Uterus         Womb         Clitoris          Homophobia          Biphobia</w:t>
            </w:r>
          </w:p>
          <w:p w:rsidR="00000000" w:rsidDel="00000000" w:rsidP="00000000" w:rsidRDefault="00000000" w:rsidRPr="00000000" w14:paraId="0000008E">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F">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Transphobia        Bully          Victim             </w:t>
            </w:r>
            <w:r w:rsidDel="00000000" w:rsidR="00000000" w:rsidRPr="00000000">
              <w:rPr>
                <w:rtl w:val="0"/>
              </w:rPr>
              <w:t xml:space="preserve">Sexting</w:t>
            </w:r>
            <w:r w:rsidDel="00000000" w:rsidR="00000000" w:rsidRPr="00000000">
              <w:rPr>
                <w:rFonts w:ascii="Calibri" w:cs="Calibri" w:eastAsia="Calibri" w:hAnsi="Calibri"/>
                <w:color w:val="000000"/>
                <w:rtl w:val="0"/>
              </w:rPr>
              <w:t xml:space="preserve">           </w:t>
            </w:r>
            <w:r w:rsidDel="00000000" w:rsidR="00000000" w:rsidRPr="00000000">
              <w:rPr>
                <w:rtl w:val="0"/>
              </w:rPr>
              <w:t xml:space="preserve">Dick pics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Revenge porn</w:t>
            </w:r>
            <w:r w:rsidDel="00000000" w:rsidR="00000000" w:rsidRPr="00000000">
              <w:rPr>
                <w:rFonts w:ascii="Calibri" w:cs="Calibri" w:eastAsia="Calibri" w:hAnsi="Calibri"/>
                <w:color w:val="000000"/>
                <w:rtl w:val="0"/>
              </w:rPr>
              <w:t xml:space="preserve">            </w:t>
            </w:r>
            <w:r w:rsidDel="00000000" w:rsidR="00000000" w:rsidRPr="00000000">
              <w:rPr>
                <w:rtl w:val="0"/>
              </w:rPr>
              <w:t xml:space="preserve">Passive</w:t>
            </w:r>
            <w:r w:rsidDel="00000000" w:rsidR="00000000" w:rsidRPr="00000000">
              <w:rPr>
                <w:rFonts w:ascii="Calibri" w:cs="Calibri" w:eastAsia="Calibri" w:hAnsi="Calibri"/>
                <w:color w:val="000000"/>
                <w:rtl w:val="0"/>
              </w:rPr>
              <w:t xml:space="preserve">          </w:t>
            </w:r>
            <w:r w:rsidDel="00000000" w:rsidR="00000000" w:rsidRPr="00000000">
              <w:rPr>
                <w:rtl w:val="0"/>
              </w:rPr>
              <w:t xml:space="preserve">Assertive</w:t>
            </w:r>
            <w:r w:rsidDel="00000000" w:rsidR="00000000" w:rsidRPr="00000000">
              <w:rPr>
                <w:rFonts w:ascii="Calibri" w:cs="Calibri" w:eastAsia="Calibri" w:hAnsi="Calibri"/>
                <w:color w:val="000000"/>
                <w:rtl w:val="0"/>
              </w:rPr>
              <w:t xml:space="preserve">          </w:t>
            </w:r>
            <w:r w:rsidDel="00000000" w:rsidR="00000000" w:rsidRPr="00000000">
              <w:rPr>
                <w:rtl w:val="0"/>
              </w:rPr>
              <w:t xml:space="preserve">Aggressive </w:t>
            </w:r>
            <w:r w:rsidDel="00000000" w:rsidR="00000000" w:rsidRPr="00000000">
              <w:rPr>
                <w:rtl w:val="0"/>
              </w:rPr>
            </w:r>
          </w:p>
          <w:p w:rsidR="00000000" w:rsidDel="00000000" w:rsidP="00000000" w:rsidRDefault="00000000" w:rsidRPr="00000000" w14:paraId="00000090">
            <w:pPr>
              <w:spacing w:line="259" w:lineRule="auto"/>
              <w:rPr/>
            </w:pPr>
            <w:r w:rsidDel="00000000" w:rsidR="00000000" w:rsidRPr="00000000">
              <w:rPr>
                <w:rtl w:val="0"/>
              </w:rPr>
            </w:r>
          </w:p>
          <w:p w:rsidR="00000000" w:rsidDel="00000000" w:rsidP="00000000" w:rsidRDefault="00000000" w:rsidRPr="00000000" w14:paraId="00000091">
            <w:pPr>
              <w:spacing w:line="259" w:lineRule="auto"/>
              <w:rPr/>
            </w:pPr>
            <w:r w:rsidDel="00000000" w:rsidR="00000000" w:rsidRPr="00000000">
              <w:rPr>
                <w:rtl w:val="0"/>
              </w:rPr>
              <w:t xml:space="preserve">Homophobia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92">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93">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Checking for understanding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94">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spacing w:line="259"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Opportunities to check for understanding </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96">
            <w:pPr>
              <w:spacing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lesson includes many opportunities to check for understanding. </w:t>
            </w:r>
          </w:p>
          <w:p w:rsidR="00000000" w:rsidDel="00000000" w:rsidP="00000000" w:rsidRDefault="00000000" w:rsidRPr="00000000" w14:paraId="00000097">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8">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PSHE education is different to other areas of the curriculum as the learning is so strongly related to the student’s personal identity – their attitudes, skills, experiences and influences. </w:t>
            </w:r>
            <w:r w:rsidDel="00000000" w:rsidR="00000000" w:rsidRPr="00000000">
              <w:rPr>
                <w:rFonts w:ascii="Arial" w:cs="Arial" w:eastAsia="Arial" w:hAnsi="Arial"/>
                <w:color w:val="000000"/>
                <w:sz w:val="20"/>
                <w:szCs w:val="20"/>
                <w:rtl w:val="0"/>
              </w:rPr>
              <w:t xml:space="preserve">The most common form of assessment is ipsative assessment where you review the beginning and then again at the end of each unit, to see which knowledge has been acquired. Please see my training video for information on this. </w:t>
            </w:r>
          </w:p>
          <w:p w:rsidR="00000000" w:rsidDel="00000000" w:rsidP="00000000" w:rsidRDefault="00000000" w:rsidRPr="00000000" w14:paraId="00000099">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he Department for Education’s statutory guidance on assessment in the </w:t>
            </w:r>
            <w:hyperlink r:id="rId8">
              <w:r w:rsidDel="00000000" w:rsidR="00000000" w:rsidRPr="00000000">
                <w:rPr>
                  <w:rFonts w:ascii="Arial" w:cs="Arial" w:eastAsia="Arial" w:hAnsi="Arial"/>
                  <w:color w:val="1155cc"/>
                  <w:sz w:val="20"/>
                  <w:szCs w:val="20"/>
                  <w:highlight w:val="white"/>
                  <w:u w:val="single"/>
                  <w:rtl w:val="0"/>
                </w:rPr>
                <w:t xml:space="preserve">Relationships, Sex and Health Education (p.43)</w:t>
              </w:r>
            </w:hyperlink>
            <w:r w:rsidDel="00000000" w:rsidR="00000000" w:rsidRPr="00000000">
              <w:rPr>
                <w:rFonts w:ascii="Arial" w:cs="Arial" w:eastAsia="Arial" w:hAnsi="Arial"/>
                <w:color w:val="222222"/>
                <w:sz w:val="20"/>
                <w:szCs w:val="20"/>
                <w:highlight w:val="white"/>
                <w:rtl w:val="0"/>
              </w:rPr>
              <w:t xml:space="preserve"> does emphasise that </w:t>
            </w:r>
            <w:r w:rsidDel="00000000" w:rsidR="00000000" w:rsidRPr="00000000">
              <w:rPr>
                <w:rFonts w:ascii="Arial" w:cs="Arial" w:eastAsia="Arial" w:hAnsi="Arial"/>
                <w:i w:val="1"/>
                <w:color w:val="222222"/>
                <w:sz w:val="20"/>
                <w:szCs w:val="20"/>
                <w:highlight w:val="white"/>
                <w:rtl w:val="0"/>
              </w:rPr>
              <w:t xml:space="preserve">“Schools should have the same high expectations of the quality of pupils’ work in these subjects as for other curriculum areas…”  </w:t>
            </w:r>
            <w:r w:rsidDel="00000000" w:rsidR="00000000" w:rsidRPr="00000000">
              <w:rPr>
                <w:rFonts w:ascii="Arial" w:cs="Arial" w:eastAsia="Arial" w:hAnsi="Arial"/>
                <w:color w:val="000000"/>
                <w:sz w:val="20"/>
                <w:szCs w:val="20"/>
                <w:rtl w:val="0"/>
              </w:rPr>
              <w:t xml:space="preserve">Staff are expected to give written feedback for a piece of work, each half term.</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222222"/>
                <w:sz w:val="20"/>
                <w:szCs w:val="20"/>
                <w:highlight w:val="white"/>
                <w:rtl w:val="0"/>
              </w:rPr>
              <w:t xml:space="preserve">The focus is on ensuring teachers are able to gauge progress, that teaching builds on what they already know, and that there are opportunities for ‘</w:t>
            </w:r>
            <w:r w:rsidDel="00000000" w:rsidR="00000000" w:rsidRPr="00000000">
              <w:rPr>
                <w:rFonts w:ascii="Arial" w:cs="Arial" w:eastAsia="Arial" w:hAnsi="Arial"/>
                <w:i w:val="1"/>
                <w:color w:val="222222"/>
                <w:sz w:val="20"/>
                <w:szCs w:val="20"/>
                <w:highlight w:val="white"/>
                <w:rtl w:val="0"/>
              </w:rPr>
              <w:t xml:space="preserve">regular feedback on pupil progress’</w:t>
            </w:r>
            <w:r w:rsidDel="00000000" w:rsidR="00000000" w:rsidRPr="00000000">
              <w:rPr>
                <w:rFonts w:ascii="Arial" w:cs="Arial" w:eastAsia="Arial" w:hAnsi="Arial"/>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9B">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C">
            <w:pPr>
              <w:spacing w:line="259"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D">
      <w:pPr>
        <w:rPr/>
      </w:pPr>
      <w:r w:rsidDel="00000000" w:rsidR="00000000" w:rsidRPr="00000000">
        <w:br w:type="page"/>
      </w:r>
      <w:r w:rsidDel="00000000" w:rsidR="00000000" w:rsidRPr="00000000">
        <w:rPr>
          <w:rtl w:val="0"/>
        </w:rPr>
      </w:r>
    </w:p>
    <w:tbl>
      <w:tblPr>
        <w:tblStyle w:val="Table3"/>
        <w:tblW w:w="139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12577"/>
        <w:tblGridChange w:id="0">
          <w:tblGrid>
            <w:gridCol w:w="1365"/>
            <w:gridCol w:w="1257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9cc3e5" w:val="clear"/>
          </w:tcPr>
          <w:p w:rsidR="00000000" w:rsidDel="00000000" w:rsidP="00000000" w:rsidRDefault="00000000" w:rsidRPr="00000000" w14:paraId="0000009E">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Sequenced</w:t>
            </w:r>
          </w:p>
        </w:tc>
        <w:tc>
          <w:tcPr>
            <w:tcBorders>
              <w:top w:color="000000" w:space="0" w:sz="6" w:val="single"/>
              <w:left w:color="000000" w:space="0" w:sz="6" w:val="single"/>
              <w:bottom w:color="000000" w:space="0" w:sz="6" w:val="single"/>
              <w:right w:color="000000" w:space="0" w:sz="6" w:val="single"/>
            </w:tcBorders>
            <w:shd w:fill="9cc3e5" w:val="clear"/>
          </w:tcPr>
          <w:p w:rsidR="00000000" w:rsidDel="00000000" w:rsidP="00000000" w:rsidRDefault="00000000" w:rsidRPr="00000000" w14:paraId="0000009F">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Core Theme 3</w:t>
            </w:r>
          </w:p>
          <w:p w:rsidR="00000000" w:rsidDel="00000000" w:rsidP="00000000" w:rsidRDefault="00000000" w:rsidRPr="00000000" w14:paraId="000000A0">
            <w:pPr>
              <w:spacing w:line="259"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A1">
            <w:pPr>
              <w:spacing w:line="259"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Wider World </w:t>
            </w:r>
          </w:p>
          <w:p w:rsidR="00000000" w:rsidDel="00000000" w:rsidP="00000000" w:rsidRDefault="00000000" w:rsidRPr="00000000" w14:paraId="000000A2">
            <w:pPr>
              <w:spacing w:line="259" w:lineRule="auto"/>
              <w:rPr>
                <w:rFonts w:ascii="Calibri" w:cs="Calibri" w:eastAsia="Calibri" w:hAnsi="Calibri"/>
                <w:b w:val="1"/>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3">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4">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5">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Knowledge</w:t>
            </w:r>
          </w:p>
          <w:p w:rsidR="00000000" w:rsidDel="00000000" w:rsidP="00000000" w:rsidRDefault="00000000" w:rsidRPr="00000000" w14:paraId="000000A6">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A8">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9">
            <w:pPr>
              <w:spacing w:line="259"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To know:</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Living in Britain</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equality acts</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Hate crimes</w:t>
            </w:r>
          </w:p>
          <w:p w:rsidR="00000000" w:rsidDel="00000000" w:rsidP="00000000" w:rsidRDefault="00000000" w:rsidRPr="00000000" w14:paraId="000000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Discrimination through invisibility</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Challenging discrimination</w:t>
            </w:r>
          </w:p>
          <w:p w:rsidR="00000000" w:rsidDel="00000000" w:rsidP="00000000" w:rsidRDefault="00000000" w:rsidRPr="00000000" w14:paraId="000000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Democracy and voting</w:t>
            </w:r>
          </w:p>
          <w:p w:rsidR="00000000" w:rsidDel="00000000" w:rsidP="00000000" w:rsidRDefault="00000000" w:rsidRPr="00000000" w14:paraId="000000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Modern day slavery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1">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4">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Skills</w:t>
            </w:r>
          </w:p>
          <w:p w:rsidR="00000000" w:rsidDel="00000000" w:rsidP="00000000" w:rsidRDefault="00000000" w:rsidRPr="00000000" w14:paraId="000000B5">
            <w:pPr>
              <w:spacing w:line="259"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B6">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(minimum)</w:t>
            </w:r>
          </w:p>
          <w:p w:rsidR="00000000" w:rsidDel="00000000" w:rsidP="00000000" w:rsidRDefault="00000000" w:rsidRPr="00000000" w14:paraId="000000B7">
            <w:pPr>
              <w:spacing w:line="259"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(Re-visited)</w:t>
            </w:r>
          </w:p>
          <w:p w:rsidR="00000000" w:rsidDel="00000000" w:rsidP="00000000" w:rsidRDefault="00000000" w:rsidRPr="00000000" w14:paraId="000000B8">
            <w:pPr>
              <w:spacing w:line="259" w:lineRule="auto"/>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rPr>
                <w:rFonts w:ascii="Calibri" w:cs="Calibri" w:eastAsia="Calibri" w:hAnsi="Calibri"/>
                <w:color w:val="000000"/>
              </w:rPr>
            </w:pPr>
            <w:r w:rsidDel="00000000" w:rsidR="00000000" w:rsidRPr="00000000">
              <w:rPr>
                <w:rFonts w:ascii="Calibri" w:cs="Calibri" w:eastAsia="Calibri" w:hAnsi="Calibri"/>
                <w:color w:val="000000"/>
                <w:rtl w:val="0"/>
              </w:rPr>
              <w:t xml:space="preserve">To understand:</w:t>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Living in Britain in 2023 and explore the diversity within England. </w:t>
            </w:r>
          </w:p>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research and understand what the Equality Act 2010 is and how this applies to our everyday live. </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describe what a hate crime is and how these are punished. </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a range of invisible illnesses sand to explore how these illnesses are consciously and subconsciously discriminated against.</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explore the ways in which we can challenge discriminatory behaviour patterns and the legalities around this </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study the British voting system and to identify what each party stands for and how we can vote.  </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explore the crime ‘slavery’ and to look at how this is still happening today in England and across the world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C1">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Pr>
          <w:p w:rsidR="00000000" w:rsidDel="00000000" w:rsidP="00000000" w:rsidRDefault="00000000" w:rsidRPr="00000000" w14:paraId="000000C2">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Tier 3 key vocabulary</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3">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spacing w:line="259"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5">
            <w:pPr>
              <w:spacing w:line="259"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Subject specific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Disabled           neurodivergent           separation          diversity               rule of law            stoicism             snobbery             meritocracy            equality            discrimination           healthcare          organisation          legality           human resources          offence              threatening                   crime       prosecution             moral            social              tolerance           invisibility             representation           challenging           prejudice             ignorance          thoughtlessness           indifference           apathy        democracy             constitution          voting         ballot         electoral commission          conservatives             labour            green party          manifesto       slavery             human trafficking           coercion            abduction               illegal             immigration          criminal gangs  </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C7">
            <w:pPr>
              <w:spacing w:line="259" w:lineRule="auto"/>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7ee" w:val="clear"/>
          </w:tcPr>
          <w:p w:rsidR="00000000" w:rsidDel="00000000" w:rsidP="00000000" w:rsidRDefault="00000000" w:rsidRPr="00000000" w14:paraId="000000C8">
            <w:pPr>
              <w:spacing w:line="259"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Checking for understanding</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C9">
            <w:pPr>
              <w:spacing w:line="259" w:lineRule="auto"/>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Opportunities to check for understanding </w:t>
            </w:r>
          </w:p>
          <w:p w:rsidR="00000000" w:rsidDel="00000000" w:rsidP="00000000" w:rsidRDefault="00000000" w:rsidRPr="00000000" w14:paraId="000000CA">
            <w:pPr>
              <w:spacing w:line="259"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B">
            <w:pPr>
              <w:spacing w:line="259"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C">
            <w:pPr>
              <w:spacing w:line="259" w:lineRule="auto"/>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0CD">
            <w:pPr>
              <w:spacing w:line="259" w:lineRule="auto"/>
              <w:rPr>
                <w:rFonts w:ascii="Calibri" w:cs="Calibri" w:eastAsia="Calibri" w:hAnsi="Calibri"/>
                <w:color w:val="000000"/>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CE">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spacing w:line="259"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Each lesson includes many opportunities to check for understanding. </w:t>
            </w:r>
          </w:p>
          <w:p w:rsidR="00000000" w:rsidDel="00000000" w:rsidP="00000000" w:rsidRDefault="00000000" w:rsidRPr="00000000" w14:paraId="000000D0">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1">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PSHE education is different to other areas of the curriculum as the learning is so strongly related to the student’s personal identity – their attitudes, skills, experiences and influences. </w:t>
            </w:r>
            <w:r w:rsidDel="00000000" w:rsidR="00000000" w:rsidRPr="00000000">
              <w:rPr>
                <w:rFonts w:ascii="Arial" w:cs="Arial" w:eastAsia="Arial" w:hAnsi="Arial"/>
                <w:color w:val="000000"/>
                <w:sz w:val="20"/>
                <w:szCs w:val="20"/>
                <w:rtl w:val="0"/>
              </w:rPr>
              <w:t xml:space="preserve">The most common form of assessment is ipsative assessment where you review the beginning and then again at the end of each unit, to see which knowledge has been acquired. Please see my training video for information on this. </w:t>
            </w:r>
          </w:p>
          <w:p w:rsidR="00000000" w:rsidDel="00000000" w:rsidP="00000000" w:rsidRDefault="00000000" w:rsidRPr="00000000" w14:paraId="000000D2">
            <w:pPr>
              <w:spacing w:line="259"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3">
            <w:pPr>
              <w:spacing w:line="259" w:lineRule="auto"/>
              <w:rPr>
                <w:rFonts w:ascii="Arial" w:cs="Arial" w:eastAsia="Arial" w:hAnsi="Arial"/>
                <w:color w:val="000000"/>
                <w:sz w:val="20"/>
                <w:szCs w:val="20"/>
              </w:rPr>
            </w:pPr>
            <w:r w:rsidDel="00000000" w:rsidR="00000000" w:rsidRPr="00000000">
              <w:rPr>
                <w:rFonts w:ascii="Arial" w:cs="Arial" w:eastAsia="Arial" w:hAnsi="Arial"/>
                <w:color w:val="222222"/>
                <w:sz w:val="20"/>
                <w:szCs w:val="20"/>
                <w:highlight w:val="white"/>
                <w:rtl w:val="0"/>
              </w:rPr>
              <w:t xml:space="preserve">he Department for Education’s statutory guidance on assessment in the </w:t>
            </w:r>
            <w:hyperlink r:id="rId9">
              <w:r w:rsidDel="00000000" w:rsidR="00000000" w:rsidRPr="00000000">
                <w:rPr>
                  <w:rFonts w:ascii="Arial" w:cs="Arial" w:eastAsia="Arial" w:hAnsi="Arial"/>
                  <w:color w:val="1155cc"/>
                  <w:sz w:val="20"/>
                  <w:szCs w:val="20"/>
                  <w:highlight w:val="white"/>
                  <w:u w:val="single"/>
                  <w:rtl w:val="0"/>
                </w:rPr>
                <w:t xml:space="preserve">Relationships, Sex and Health Education (p.43)</w:t>
              </w:r>
            </w:hyperlink>
            <w:r w:rsidDel="00000000" w:rsidR="00000000" w:rsidRPr="00000000">
              <w:rPr>
                <w:rFonts w:ascii="Arial" w:cs="Arial" w:eastAsia="Arial" w:hAnsi="Arial"/>
                <w:color w:val="222222"/>
                <w:sz w:val="20"/>
                <w:szCs w:val="20"/>
                <w:highlight w:val="white"/>
                <w:rtl w:val="0"/>
              </w:rPr>
              <w:t xml:space="preserve"> does emphasise that </w:t>
            </w:r>
            <w:r w:rsidDel="00000000" w:rsidR="00000000" w:rsidRPr="00000000">
              <w:rPr>
                <w:rFonts w:ascii="Arial" w:cs="Arial" w:eastAsia="Arial" w:hAnsi="Arial"/>
                <w:i w:val="1"/>
                <w:color w:val="222222"/>
                <w:sz w:val="20"/>
                <w:szCs w:val="20"/>
                <w:highlight w:val="white"/>
                <w:rtl w:val="0"/>
              </w:rPr>
              <w:t xml:space="preserve">“Schools should have the same high expectations of the quality of pupils’ work in these subjects as for other curriculum areas…”  </w:t>
            </w:r>
            <w:r w:rsidDel="00000000" w:rsidR="00000000" w:rsidRPr="00000000">
              <w:rPr>
                <w:rFonts w:ascii="Arial" w:cs="Arial" w:eastAsia="Arial" w:hAnsi="Arial"/>
                <w:color w:val="000000"/>
                <w:sz w:val="20"/>
                <w:szCs w:val="20"/>
                <w:rtl w:val="0"/>
              </w:rPr>
              <w:t xml:space="preserve">Staff are expected to give written feedback for a piece of work, each half term.</w:t>
            </w:r>
            <w:r w:rsidDel="00000000" w:rsidR="00000000" w:rsidRPr="00000000">
              <w:rPr>
                <w:rFonts w:ascii="Arial" w:cs="Arial" w:eastAsia="Arial" w:hAnsi="Arial"/>
                <w:color w:val="000000"/>
                <w:sz w:val="18"/>
                <w:szCs w:val="18"/>
                <w:rtl w:val="0"/>
              </w:rPr>
              <w:t xml:space="preserve"> </w:t>
            </w:r>
            <w:r w:rsidDel="00000000" w:rsidR="00000000" w:rsidRPr="00000000">
              <w:rPr>
                <w:rFonts w:ascii="Arial" w:cs="Arial" w:eastAsia="Arial" w:hAnsi="Arial"/>
                <w:color w:val="222222"/>
                <w:sz w:val="20"/>
                <w:szCs w:val="20"/>
                <w:highlight w:val="white"/>
                <w:rtl w:val="0"/>
              </w:rPr>
              <w:t xml:space="preserve">The focus is on ensuring teachers are able to gauge progress, that teaching builds on what they already know, and that there are opportunities for ‘</w:t>
            </w:r>
            <w:r w:rsidDel="00000000" w:rsidR="00000000" w:rsidRPr="00000000">
              <w:rPr>
                <w:rFonts w:ascii="Arial" w:cs="Arial" w:eastAsia="Arial" w:hAnsi="Arial"/>
                <w:i w:val="1"/>
                <w:color w:val="222222"/>
                <w:sz w:val="20"/>
                <w:szCs w:val="20"/>
                <w:highlight w:val="white"/>
                <w:rtl w:val="0"/>
              </w:rPr>
              <w:t xml:space="preserve">regular feedback on pupil progress’</w:t>
            </w:r>
            <w:r w:rsidDel="00000000" w:rsidR="00000000" w:rsidRPr="00000000">
              <w:rPr>
                <w:rFonts w:ascii="Arial" w:cs="Arial" w:eastAsia="Arial" w:hAnsi="Arial"/>
                <w:color w:val="222222"/>
                <w:sz w:val="20"/>
                <w:szCs w:val="20"/>
                <w:highlight w:val="white"/>
                <w:rtl w:val="0"/>
              </w:rPr>
              <w:t xml:space="preserve">.</w:t>
            </w:r>
            <w:r w:rsidDel="00000000" w:rsidR="00000000" w:rsidRPr="00000000">
              <w:rPr>
                <w:rtl w:val="0"/>
              </w:rPr>
            </w:r>
          </w:p>
          <w:p w:rsidR="00000000" w:rsidDel="00000000" w:rsidP="00000000" w:rsidRDefault="00000000" w:rsidRPr="00000000" w14:paraId="000000D4">
            <w:pP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spacing w:line="259" w:lineRule="auto"/>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D6">
      <w:pPr>
        <w:rPr/>
      </w:pPr>
      <w:bookmarkStart w:colFirst="0" w:colLast="0" w:name="_heading=h.gjdgxs" w:id="0"/>
      <w:bookmarkEnd w:id="0"/>
      <w:r w:rsidDel="00000000" w:rsidR="00000000" w:rsidRPr="00000000">
        <w:rPr>
          <w:rtl w:val="0"/>
        </w:rPr>
      </w:r>
    </w:p>
    <w:sectPr>
      <w:headerReference r:id="rId10" w:type="default"/>
      <w:footerReference r:id="rId11" w:type="default"/>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tbl>
    <w:tblPr>
      <w:tblStyle w:val="Table5"/>
      <w:tblW w:w="13950.0" w:type="dxa"/>
      <w:jc w:val="left"/>
      <w:tblLayout w:type="fixed"/>
      <w:tblLook w:val="0600"/>
    </w:tblPr>
    <w:tblGrid>
      <w:gridCol w:w="4650"/>
      <w:gridCol w:w="4650"/>
      <w:gridCol w:w="4650"/>
      <w:tblGridChange w:id="0">
        <w:tblGrid>
          <w:gridCol w:w="4650"/>
          <w:gridCol w:w="4650"/>
          <w:gridCol w:w="4650"/>
        </w:tblGrid>
      </w:tblGridChange>
    </w:tblGrid>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3950.0" w:type="dxa"/>
      <w:jc w:val="left"/>
      <w:tblLayout w:type="fixed"/>
      <w:tblLook w:val="0600"/>
    </w:tblPr>
    <w:tblGrid>
      <w:gridCol w:w="7065"/>
      <w:gridCol w:w="2235"/>
      <w:gridCol w:w="4650"/>
      <w:tblGridChange w:id="0">
        <w:tblGrid>
          <w:gridCol w:w="7065"/>
          <w:gridCol w:w="2235"/>
          <w:gridCol w:w="4650"/>
        </w:tblGrid>
      </w:tblGridChange>
    </w:tblGrid>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Year 9 PSHE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Knowledge and Skills Mapping</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ListParagraph">
    <w:name w:val="List Paragraph"/>
    <w:basedOn w:val="Normal"/>
    <w:uiPriority w:val="34"/>
    <w:qFormat w:val="1"/>
    <w:rsid w:val="00A87FEB"/>
    <w:pPr>
      <w:ind w:left="720"/>
      <w:contextualSpacing w:val="1"/>
    </w:pPr>
  </w:style>
  <w:style w:type="character" w:styleId="Hyperlink">
    <w:name w:val="Hyperlink"/>
    <w:basedOn w:val="DefaultParagraphFont"/>
    <w:uiPriority w:val="99"/>
    <w:semiHidden w:val="1"/>
    <w:unhideWhenUsed w:val="1"/>
    <w:rsid w:val="00A04DD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ssets.publishing.service.gov.uk/government/uploads/system/uploads/attachment_data/file/1090195/Relationships_Education_RSE_and_Health_Educat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1090195/Relationships_Education_RSE_and_Health_Education.pdf" TargetMode="External"/><Relationship Id="rId8" Type="http://schemas.openxmlformats.org/officeDocument/2006/relationships/hyperlink" Target="https://assets.publishing.service.gov.uk/government/uploads/system/uploads/attachment_data/file/1090195/Relationships_Education_RSE_and_Health_Educatio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ojdByNvnx1XZmugaMChcDMiaIQ==">CgMxLjAyCGguZ2pkZ3hzOAByITFIcVVMczVjM1hUVHZTUGIwSGZEemU0R3otaVEwaGtITQ==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2023-08-08T08:28:00Z</dcterms:created>
  <dc:creator>Rob Hegarty</dc:creator>
</cp:coreProperties>
</file>