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5" w:type="dxa"/>
        <w:tblLayout w:type="fixed"/>
        <w:tblLook w:val="0000" w:firstRow="0" w:lastRow="0" w:firstColumn="0" w:lastColumn="0" w:noHBand="0" w:noVBand="0"/>
      </w:tblPr>
      <w:tblGrid>
        <w:gridCol w:w="1290"/>
        <w:gridCol w:w="12765"/>
      </w:tblGrid>
      <w:tr w:rsidR="1F1BFE12" w14:paraId="347E769D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1D5BF730" w14:textId="55F8302C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Sequenced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0038BABE" w14:textId="7777777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Core Theme 1</w:t>
            </w:r>
          </w:p>
          <w:p w14:paraId="6A3C7D60" w14:textId="77777777" w:rsidR="00A87FEB" w:rsidRDefault="00A87FEB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455DD01C" w14:textId="31FEA7CC" w:rsidR="00A87FEB" w:rsidRDefault="00A87FEB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Health and Wellbeing </w:t>
            </w:r>
          </w:p>
        </w:tc>
      </w:tr>
      <w:tr w:rsidR="1F1BFE12" w14:paraId="6949FD26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C3035" w14:textId="0E21767A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7F2BFAD" w14:textId="243E14B4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0E7FBC3" w14:textId="2DF68A3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60D8A87E" w14:textId="4A11B6E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D8D1FD3" w14:textId="21A66D4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55502145" w14:textId="58CC5FEF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4571D0" w14:textId="66447126" w:rsidR="1F1BFE12" w:rsidRPr="00A26317" w:rsidRDefault="51C15932" w:rsidP="6BF6F9F0">
            <w:pPr>
              <w:spacing w:line="259" w:lineRule="auto"/>
            </w:pPr>
            <w:r w:rsidRPr="00A26317">
              <w:t>To know:</w:t>
            </w:r>
          </w:p>
          <w:p w14:paraId="4BD76D9C" w14:textId="77777777" w:rsidR="00A26317" w:rsidRPr="00A26317" w:rsidRDefault="00A26317" w:rsidP="00A26317">
            <w:proofErr w:type="gramStart"/>
            <w:r w:rsidRPr="00A26317">
              <w:t>  Understand</w:t>
            </w:r>
            <w:proofErr w:type="gramEnd"/>
            <w:r w:rsidRPr="00A26317">
              <w:t xml:space="preserve"> the difference between legal and illegal drugs and their associated risks.</w:t>
            </w:r>
          </w:p>
          <w:p w14:paraId="2294E605" w14:textId="77777777" w:rsidR="00A26317" w:rsidRPr="00A26317" w:rsidRDefault="00A26317" w:rsidP="00A26317">
            <w:proofErr w:type="gramStart"/>
            <w:r w:rsidRPr="00A26317">
              <w:t>  Know</w:t>
            </w:r>
            <w:proofErr w:type="gramEnd"/>
            <w:r w:rsidRPr="00A26317">
              <w:t xml:space="preserve"> the laws relating to the use, possession, and supply of drugs.</w:t>
            </w:r>
          </w:p>
          <w:p w14:paraId="45491A51" w14:textId="77777777" w:rsidR="00A26317" w:rsidRPr="00A26317" w:rsidRDefault="00A26317" w:rsidP="00A26317">
            <w:proofErr w:type="gramStart"/>
            <w:r w:rsidRPr="00A26317">
              <w:t>  Recognise</w:t>
            </w:r>
            <w:proofErr w:type="gramEnd"/>
            <w:r w:rsidRPr="00A26317">
              <w:t xml:space="preserve"> the physical and psychological risks linked to drug use.</w:t>
            </w:r>
          </w:p>
          <w:p w14:paraId="208380BA" w14:textId="77777777" w:rsidR="00A26317" w:rsidRPr="00A26317" w:rsidRDefault="00A26317" w:rsidP="00A26317">
            <w:proofErr w:type="gramStart"/>
            <w:r w:rsidRPr="00A26317">
              <w:t>  Understand</w:t>
            </w:r>
            <w:proofErr w:type="gramEnd"/>
            <w:r w:rsidRPr="00A26317">
              <w:t xml:space="preserve"> the concepts of addiction and dependency.</w:t>
            </w:r>
          </w:p>
          <w:p w14:paraId="6FEE173D" w14:textId="77777777" w:rsidR="00A26317" w:rsidRPr="00A26317" w:rsidRDefault="00A26317" w:rsidP="00A26317">
            <w:proofErr w:type="gramStart"/>
            <w:r w:rsidRPr="00A26317">
              <w:t>  Be</w:t>
            </w:r>
            <w:proofErr w:type="gramEnd"/>
            <w:r w:rsidRPr="00A26317">
              <w:t xml:space="preserve"> aware of the dangers of misusing prescribed drugs.</w:t>
            </w:r>
          </w:p>
          <w:p w14:paraId="1BFE7DCB" w14:textId="77777777" w:rsidR="00A26317" w:rsidRPr="00A26317" w:rsidRDefault="00A26317" w:rsidP="00A26317">
            <w:proofErr w:type="gramStart"/>
            <w:r w:rsidRPr="00A26317">
              <w:t>  Know</w:t>
            </w:r>
            <w:proofErr w:type="gramEnd"/>
            <w:r w:rsidRPr="00A26317">
              <w:t xml:space="preserve"> the health harms caused by smoking and vaping.</w:t>
            </w:r>
          </w:p>
          <w:p w14:paraId="0449E05F" w14:textId="4AF7E4A1" w:rsidR="1F1BFE12" w:rsidRPr="00A26317" w:rsidRDefault="1F1BFE12" w:rsidP="00D040E6"/>
        </w:tc>
      </w:tr>
      <w:tr w:rsidR="1F1BFE12" w14:paraId="4DDFF022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61E4DB" w14:textId="438D102A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2A79A87" w14:textId="78399A75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6392A7B" w14:textId="0304E7F0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9E95E1B" w14:textId="5B3A2FA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54D82C15" w14:textId="3477540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BD17055" w14:textId="36EBABE8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52546D08" w14:textId="6289C04E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16AD28BB" w14:textId="05CB293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1D64CB" w14:textId="77777777" w:rsidR="1F1BFE12" w:rsidRPr="00A26317" w:rsidRDefault="00A87FEB" w:rsidP="6BF6F9F0">
            <w:r w:rsidRPr="00A26317">
              <w:t>To understand:</w:t>
            </w:r>
          </w:p>
          <w:p w14:paraId="176F8351" w14:textId="77777777" w:rsidR="00A26317" w:rsidRPr="00A26317" w:rsidRDefault="00A87FEB" w:rsidP="00A26317">
            <w:pPr>
              <w:numPr>
                <w:ilvl w:val="0"/>
                <w:numId w:val="11"/>
              </w:numPr>
            </w:pPr>
            <w:r w:rsidRPr="00A26317">
              <w:t xml:space="preserve"> </w:t>
            </w:r>
            <w:r w:rsidR="00A26317" w:rsidRPr="00A26317">
              <w:t>Identify and differentiate between legal and illegal drugs</w:t>
            </w:r>
          </w:p>
          <w:p w14:paraId="2C0D771F" w14:textId="77777777" w:rsidR="00A26317" w:rsidRPr="00A26317" w:rsidRDefault="00A26317" w:rsidP="00A26317">
            <w:pPr>
              <w:numPr>
                <w:ilvl w:val="0"/>
                <w:numId w:val="11"/>
              </w:numPr>
            </w:pPr>
            <w:r w:rsidRPr="00A26317">
              <w:t>Understand and comply with drug-related laws</w:t>
            </w:r>
          </w:p>
          <w:p w14:paraId="1B9F98AF" w14:textId="77777777" w:rsidR="00A26317" w:rsidRPr="00A26317" w:rsidRDefault="00A26317" w:rsidP="00A26317">
            <w:pPr>
              <w:numPr>
                <w:ilvl w:val="0"/>
                <w:numId w:val="11"/>
              </w:numPr>
            </w:pPr>
            <w:r w:rsidRPr="00A26317">
              <w:t>Recognise physical and psychological effects of drug use</w:t>
            </w:r>
          </w:p>
          <w:p w14:paraId="54B142CC" w14:textId="77777777" w:rsidR="00A26317" w:rsidRPr="00A26317" w:rsidRDefault="00A26317" w:rsidP="00A26317">
            <w:pPr>
              <w:numPr>
                <w:ilvl w:val="0"/>
                <w:numId w:val="11"/>
              </w:numPr>
            </w:pPr>
            <w:r w:rsidRPr="00A26317">
              <w:t>Understand signs of addiction and dependency</w:t>
            </w:r>
          </w:p>
          <w:p w14:paraId="2F5C620E" w14:textId="77777777" w:rsidR="00A26317" w:rsidRPr="00A26317" w:rsidRDefault="00A26317" w:rsidP="00A26317">
            <w:pPr>
              <w:numPr>
                <w:ilvl w:val="0"/>
                <w:numId w:val="11"/>
              </w:numPr>
            </w:pPr>
            <w:r w:rsidRPr="00A26317">
              <w:t>Use prescribed medication safely and responsibly</w:t>
            </w:r>
          </w:p>
          <w:p w14:paraId="062A73AE" w14:textId="77777777" w:rsidR="00A26317" w:rsidRPr="00A26317" w:rsidRDefault="00A26317" w:rsidP="00A26317">
            <w:pPr>
              <w:numPr>
                <w:ilvl w:val="0"/>
                <w:numId w:val="11"/>
              </w:numPr>
            </w:pPr>
            <w:r w:rsidRPr="00A26317">
              <w:t>Make informed choices to avoid smoking, vaping, and drug misuse</w:t>
            </w:r>
          </w:p>
          <w:p w14:paraId="25A47D5B" w14:textId="77777777" w:rsidR="00A26317" w:rsidRPr="00A26317" w:rsidRDefault="00A26317" w:rsidP="00A26317">
            <w:pPr>
              <w:numPr>
                <w:ilvl w:val="0"/>
                <w:numId w:val="11"/>
              </w:numPr>
            </w:pPr>
            <w:r w:rsidRPr="00A26317">
              <w:t>Seek help or support for drug-related issues when needed</w:t>
            </w:r>
          </w:p>
          <w:p w14:paraId="3269C6CE" w14:textId="47B153DA" w:rsidR="00A26317" w:rsidRPr="00A26317" w:rsidRDefault="00A26317" w:rsidP="00A26317"/>
          <w:p w14:paraId="64B54DF8" w14:textId="1EFC8FE6" w:rsidR="00A87FEB" w:rsidRPr="00A26317" w:rsidRDefault="00A87FEB" w:rsidP="00D040E6"/>
        </w:tc>
      </w:tr>
      <w:tr w:rsidR="1F1BFE12" w14:paraId="5E8EB3F4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C06063E" w14:textId="09806ABE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AB238F2" w14:textId="49C56F5E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</w:rPr>
              <w:t xml:space="preserve">Tier 3 key vocabulary </w:t>
            </w:r>
          </w:p>
          <w:p w14:paraId="34D84D6E" w14:textId="08C21BA9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1D06BF1D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268D39" w14:textId="5F74F642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A4A005C" w14:textId="463C2463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FADF91D" w14:textId="73217FB1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296A48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26317">
              <w:rPr>
                <w:rFonts w:ascii="Calibri" w:eastAsia="Calibri" w:hAnsi="Calibri" w:cs="Calibri"/>
                <w:color w:val="000000" w:themeColor="text1"/>
              </w:rPr>
              <w:t>Legal drugs</w:t>
            </w:r>
          </w:p>
          <w:p w14:paraId="0EDF221A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12C0009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26317">
              <w:rPr>
                <w:rFonts w:ascii="Calibri" w:eastAsia="Calibri" w:hAnsi="Calibri" w:cs="Calibri"/>
                <w:color w:val="000000" w:themeColor="text1"/>
              </w:rPr>
              <w:t>Illegal drugs</w:t>
            </w:r>
          </w:p>
          <w:p w14:paraId="300A22C7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FE4E70A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26317">
              <w:rPr>
                <w:rFonts w:ascii="Calibri" w:eastAsia="Calibri" w:hAnsi="Calibri" w:cs="Calibri"/>
                <w:color w:val="000000" w:themeColor="text1"/>
              </w:rPr>
              <w:t>Substance misuse</w:t>
            </w:r>
          </w:p>
          <w:p w14:paraId="5B802DB1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F65CEF1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26317">
              <w:rPr>
                <w:rFonts w:ascii="Calibri" w:eastAsia="Calibri" w:hAnsi="Calibri" w:cs="Calibri"/>
                <w:color w:val="000000" w:themeColor="text1"/>
              </w:rPr>
              <w:t>Addiction</w:t>
            </w:r>
          </w:p>
          <w:p w14:paraId="5FC0E61D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648DC54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26317">
              <w:rPr>
                <w:rFonts w:ascii="Calibri" w:eastAsia="Calibri" w:hAnsi="Calibri" w:cs="Calibri"/>
                <w:color w:val="000000" w:themeColor="text1"/>
              </w:rPr>
              <w:lastRenderedPageBreak/>
              <w:t>Dependency</w:t>
            </w:r>
          </w:p>
          <w:p w14:paraId="3439244F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F32C178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26317">
              <w:rPr>
                <w:rFonts w:ascii="Calibri" w:eastAsia="Calibri" w:hAnsi="Calibri" w:cs="Calibri"/>
                <w:color w:val="000000" w:themeColor="text1"/>
              </w:rPr>
              <w:t>Prescription medication</w:t>
            </w:r>
          </w:p>
          <w:p w14:paraId="2934D91C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B79C9B5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26317">
              <w:rPr>
                <w:rFonts w:ascii="Calibri" w:eastAsia="Calibri" w:hAnsi="Calibri" w:cs="Calibri"/>
                <w:color w:val="000000" w:themeColor="text1"/>
              </w:rPr>
              <w:t>Physical health risks</w:t>
            </w:r>
          </w:p>
          <w:p w14:paraId="3A3C09FC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C57CB4F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26317">
              <w:rPr>
                <w:rFonts w:ascii="Calibri" w:eastAsia="Calibri" w:hAnsi="Calibri" w:cs="Calibri"/>
                <w:color w:val="000000" w:themeColor="text1"/>
              </w:rPr>
              <w:t>Psychological health risks</w:t>
            </w:r>
          </w:p>
          <w:p w14:paraId="3F1F6978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31DFD48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26317">
              <w:rPr>
                <w:rFonts w:ascii="Calibri" w:eastAsia="Calibri" w:hAnsi="Calibri" w:cs="Calibri"/>
                <w:color w:val="000000" w:themeColor="text1"/>
              </w:rPr>
              <w:t>Smoking</w:t>
            </w:r>
          </w:p>
          <w:p w14:paraId="208A8115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C86D8DE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26317">
              <w:rPr>
                <w:rFonts w:ascii="Calibri" w:eastAsia="Calibri" w:hAnsi="Calibri" w:cs="Calibri"/>
                <w:color w:val="000000" w:themeColor="text1"/>
              </w:rPr>
              <w:t>Vaping</w:t>
            </w:r>
          </w:p>
          <w:p w14:paraId="5C3ABF79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4D0647D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26317">
              <w:rPr>
                <w:rFonts w:ascii="Calibri" w:eastAsia="Calibri" w:hAnsi="Calibri" w:cs="Calibri"/>
                <w:color w:val="000000" w:themeColor="text1"/>
              </w:rPr>
              <w:t>Drug legislation</w:t>
            </w:r>
          </w:p>
          <w:p w14:paraId="59ABFFF4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68706BD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26317">
              <w:rPr>
                <w:rFonts w:ascii="Calibri" w:eastAsia="Calibri" w:hAnsi="Calibri" w:cs="Calibri"/>
                <w:color w:val="000000" w:themeColor="text1"/>
              </w:rPr>
              <w:t>Overdose</w:t>
            </w:r>
          </w:p>
          <w:p w14:paraId="751A44FE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BD5B74B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26317">
              <w:rPr>
                <w:rFonts w:ascii="Calibri" w:eastAsia="Calibri" w:hAnsi="Calibri" w:cs="Calibri"/>
                <w:color w:val="000000" w:themeColor="text1"/>
              </w:rPr>
              <w:t>Withdrawal</w:t>
            </w:r>
          </w:p>
          <w:p w14:paraId="20E564D5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B59F5C8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26317">
              <w:rPr>
                <w:rFonts w:ascii="Calibri" w:eastAsia="Calibri" w:hAnsi="Calibri" w:cs="Calibri"/>
                <w:color w:val="000000" w:themeColor="text1"/>
              </w:rPr>
              <w:t>Rehabilitation</w:t>
            </w:r>
          </w:p>
          <w:p w14:paraId="6536A82F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1EA2F2D" w14:textId="7CDF0B8E" w:rsidR="1F1BFE12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26317">
              <w:rPr>
                <w:rFonts w:ascii="Calibri" w:eastAsia="Calibri" w:hAnsi="Calibri" w:cs="Calibri"/>
                <w:color w:val="000000" w:themeColor="text1"/>
              </w:rPr>
              <w:t>Harm reduction</w:t>
            </w:r>
          </w:p>
        </w:tc>
      </w:tr>
      <w:tr w:rsidR="1F1BFE12" w14:paraId="307EC9E8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0B3779FA" w14:textId="4AD0965D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7BBF5C60" w14:textId="6E31D5FC" w:rsidR="1F1BFE12" w:rsidRDefault="00A04DD6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Checking for understanding </w:t>
            </w:r>
          </w:p>
        </w:tc>
      </w:tr>
      <w:tr w:rsidR="1F1BFE12" w14:paraId="69C80952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93ACA9" w14:textId="7D5A2E99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959A031" w14:textId="68981A20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Opp</w:t>
            </w:r>
            <w:r w:rsidR="00A04D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ortunities to check for understanding 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6EE18A" w14:textId="13FA8E09" w:rsidR="1F1BFE12" w:rsidRDefault="00A04DD6" w:rsidP="1F1BFE1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0E27B69B" w14:textId="249508CA" w:rsidR="00A04DD6" w:rsidRDefault="00A04DD6" w:rsidP="1F1BFE1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912FB3F" w14:textId="0237E4BD" w:rsidR="00A04DD6" w:rsidRPr="00A04DD6" w:rsidRDefault="00A04DD6" w:rsidP="1F1BFE1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 w:rsidR="00BB7CB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69D8DA92" w14:textId="3F460D3F" w:rsidR="00A04DD6" w:rsidRPr="00A04DD6" w:rsidRDefault="00A04DD6" w:rsidP="1F1BFE1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D770D8A" w14:textId="18D8CF16" w:rsidR="00A04DD6" w:rsidRPr="00A04DD6" w:rsidRDefault="00A04DD6" w:rsidP="1F1BFE1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7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282F3699" w14:textId="5C070EE0" w:rsidR="1F1BFE12" w:rsidRPr="00A04DD6" w:rsidRDefault="1F1BFE12" w:rsidP="1F1BFE12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32808446" w14:textId="39979B46" w:rsidR="008C071A" w:rsidRDefault="00BB7CB6">
      <w:r>
        <w:lastRenderedPageBreak/>
        <w:br w:type="page"/>
      </w:r>
    </w:p>
    <w:tbl>
      <w:tblPr>
        <w:tblStyle w:val="TableGrid"/>
        <w:tblW w:w="13950" w:type="dxa"/>
        <w:tblLayout w:type="fixed"/>
        <w:tblLook w:val="0000" w:firstRow="0" w:lastRow="0" w:firstColumn="0" w:lastColumn="0" w:noHBand="0" w:noVBand="0"/>
      </w:tblPr>
      <w:tblGrid>
        <w:gridCol w:w="1305"/>
        <w:gridCol w:w="12645"/>
      </w:tblGrid>
      <w:tr w:rsidR="1F1BFE12" w14:paraId="044FEA53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2C9D5CC1" w14:textId="55F8302C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Sequenced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2C164DC5" w14:textId="77777777" w:rsidR="00BB7CB6" w:rsidRDefault="1F1BFE12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Core Theme </w:t>
            </w:r>
            <w:r w:rsidR="00A04DD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2 </w:t>
            </w:r>
          </w:p>
          <w:p w14:paraId="06F966D5" w14:textId="354ED38B" w:rsidR="00A04DD6" w:rsidRDefault="00A04DD6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Relationships and sex education </w:t>
            </w:r>
          </w:p>
        </w:tc>
      </w:tr>
      <w:tr w:rsidR="1F1BFE12" w14:paraId="5A08E529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52072B" w14:textId="0E21767A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7B47EA3" w14:textId="243E14B4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F4D85F2" w14:textId="2DF68A37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5EA8864D" w14:textId="4A11B6E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97A6A02" w14:textId="21A66D46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440DD6A4" w14:textId="58CC5FEF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CB087B" w14:textId="40CCBCEC" w:rsidR="1F1BFE12" w:rsidRPr="00A26317" w:rsidRDefault="2A717250" w:rsidP="6BF6F9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26317">
              <w:rPr>
                <w:rFonts w:ascii="Calibri" w:eastAsia="Calibri" w:hAnsi="Calibri" w:cs="Calibri"/>
                <w:color w:val="000000" w:themeColor="text1"/>
              </w:rPr>
              <w:t>To know:</w:t>
            </w:r>
          </w:p>
          <w:p w14:paraId="50F88844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A26317">
              <w:rPr>
                <w:rFonts w:ascii="Calibri" w:eastAsia="Calibri" w:hAnsi="Calibri" w:cs="Calibri"/>
                <w:color w:val="000000" w:themeColor="text1"/>
              </w:rPr>
              <w:t>  Understand</w:t>
            </w:r>
            <w:proofErr w:type="gramEnd"/>
            <w:r w:rsidRPr="00A26317">
              <w:rPr>
                <w:rFonts w:ascii="Calibri" w:eastAsia="Calibri" w:hAnsi="Calibri" w:cs="Calibri"/>
                <w:color w:val="000000" w:themeColor="text1"/>
              </w:rPr>
              <w:t xml:space="preserve"> what misogyny is and how it contributes to gender-based harm.</w:t>
            </w:r>
          </w:p>
          <w:p w14:paraId="6990807A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A26317">
              <w:rPr>
                <w:rFonts w:ascii="Calibri" w:eastAsia="Calibri" w:hAnsi="Calibri" w:cs="Calibri"/>
                <w:color w:val="000000" w:themeColor="text1"/>
              </w:rPr>
              <w:t>  Recognise</w:t>
            </w:r>
            <w:proofErr w:type="gramEnd"/>
            <w:r w:rsidRPr="00A26317">
              <w:rPr>
                <w:rFonts w:ascii="Calibri" w:eastAsia="Calibri" w:hAnsi="Calibri" w:cs="Calibri"/>
                <w:color w:val="000000" w:themeColor="text1"/>
              </w:rPr>
              <w:t xml:space="preserve"> violent, coercive, and controlling behaviours in relationships.</w:t>
            </w:r>
          </w:p>
          <w:p w14:paraId="679DB81C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A26317">
              <w:rPr>
                <w:rFonts w:ascii="Calibri" w:eastAsia="Calibri" w:hAnsi="Calibri" w:cs="Calibri"/>
                <w:color w:val="000000" w:themeColor="text1"/>
              </w:rPr>
              <w:t>  Know</w:t>
            </w:r>
            <w:proofErr w:type="gramEnd"/>
            <w:r w:rsidRPr="00A26317">
              <w:rPr>
                <w:rFonts w:ascii="Calibri" w:eastAsia="Calibri" w:hAnsi="Calibri" w:cs="Calibri"/>
                <w:color w:val="000000" w:themeColor="text1"/>
              </w:rPr>
              <w:t xml:space="preserve"> what sexual harassment and assault are, and their impact and legal consequences.</w:t>
            </w:r>
          </w:p>
          <w:p w14:paraId="28AD0AAD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A26317">
              <w:rPr>
                <w:rFonts w:ascii="Calibri" w:eastAsia="Calibri" w:hAnsi="Calibri" w:cs="Calibri"/>
                <w:color w:val="000000" w:themeColor="text1"/>
              </w:rPr>
              <w:t>  Understand</w:t>
            </w:r>
            <w:proofErr w:type="gramEnd"/>
            <w:r w:rsidRPr="00A26317">
              <w:rPr>
                <w:rFonts w:ascii="Calibri" w:eastAsia="Calibri" w:hAnsi="Calibri" w:cs="Calibri"/>
                <w:color w:val="000000" w:themeColor="text1"/>
              </w:rPr>
              <w:t xml:space="preserve"> the concept of coercion and its role in unhealthy or abusive relationships.</w:t>
            </w:r>
          </w:p>
          <w:p w14:paraId="117F5608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A26317">
              <w:rPr>
                <w:rFonts w:ascii="Calibri" w:eastAsia="Calibri" w:hAnsi="Calibri" w:cs="Calibri"/>
                <w:color w:val="000000" w:themeColor="text1"/>
              </w:rPr>
              <w:t>  Be</w:t>
            </w:r>
            <w:proofErr w:type="gramEnd"/>
            <w:r w:rsidRPr="00A26317">
              <w:rPr>
                <w:rFonts w:ascii="Calibri" w:eastAsia="Calibri" w:hAnsi="Calibri" w:cs="Calibri"/>
                <w:color w:val="000000" w:themeColor="text1"/>
              </w:rPr>
              <w:t xml:space="preserve"> aware of </w:t>
            </w:r>
            <w:proofErr w:type="spellStart"/>
            <w:r w:rsidRPr="00A26317">
              <w:rPr>
                <w:rFonts w:ascii="Calibri" w:eastAsia="Calibri" w:hAnsi="Calibri" w:cs="Calibri"/>
                <w:color w:val="000000" w:themeColor="text1"/>
              </w:rPr>
              <w:t>incel</w:t>
            </w:r>
            <w:proofErr w:type="spellEnd"/>
            <w:r w:rsidRPr="00A26317">
              <w:rPr>
                <w:rFonts w:ascii="Calibri" w:eastAsia="Calibri" w:hAnsi="Calibri" w:cs="Calibri"/>
                <w:color w:val="000000" w:themeColor="text1"/>
              </w:rPr>
              <w:t xml:space="preserve"> culture and its links to online misogyny and radicalisation.</w:t>
            </w:r>
          </w:p>
          <w:p w14:paraId="5D1439CF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A26317">
              <w:rPr>
                <w:rFonts w:ascii="Calibri" w:eastAsia="Calibri" w:hAnsi="Calibri" w:cs="Calibri"/>
                <w:color w:val="000000" w:themeColor="text1"/>
              </w:rPr>
              <w:t>  Know</w:t>
            </w:r>
            <w:proofErr w:type="gramEnd"/>
            <w:r w:rsidRPr="00A26317">
              <w:rPr>
                <w:rFonts w:ascii="Calibri" w:eastAsia="Calibri" w:hAnsi="Calibri" w:cs="Calibri"/>
                <w:color w:val="000000" w:themeColor="text1"/>
              </w:rPr>
              <w:t xml:space="preserve"> the full range of contraceptive options and how to access them.</w:t>
            </w:r>
          </w:p>
          <w:p w14:paraId="6BFAB049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A26317">
              <w:rPr>
                <w:rFonts w:ascii="Calibri" w:eastAsia="Calibri" w:hAnsi="Calibri" w:cs="Calibri"/>
                <w:color w:val="000000" w:themeColor="text1"/>
              </w:rPr>
              <w:t>  Understand</w:t>
            </w:r>
            <w:proofErr w:type="gramEnd"/>
            <w:r w:rsidRPr="00A26317">
              <w:rPr>
                <w:rFonts w:ascii="Calibri" w:eastAsia="Calibri" w:hAnsi="Calibri" w:cs="Calibri"/>
                <w:color w:val="000000" w:themeColor="text1"/>
              </w:rPr>
              <w:t xml:space="preserve"> the prevalence of STIs, how they are transmitted, and how to prevent and manage them.</w:t>
            </w:r>
          </w:p>
          <w:p w14:paraId="0B49C48D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A26317">
              <w:rPr>
                <w:rFonts w:ascii="Calibri" w:eastAsia="Calibri" w:hAnsi="Calibri" w:cs="Calibri"/>
                <w:color w:val="000000" w:themeColor="text1"/>
              </w:rPr>
              <w:t>  Be</w:t>
            </w:r>
            <w:proofErr w:type="gramEnd"/>
            <w:r w:rsidRPr="00A26317">
              <w:rPr>
                <w:rFonts w:ascii="Calibri" w:eastAsia="Calibri" w:hAnsi="Calibri" w:cs="Calibri"/>
                <w:color w:val="000000" w:themeColor="text1"/>
              </w:rPr>
              <w:t xml:space="preserve"> able to distinguish between healthy and unhealthy relationships and know where to seek support.</w:t>
            </w:r>
          </w:p>
          <w:p w14:paraId="527E0AC7" w14:textId="13CB49CA" w:rsidR="1F1BFE12" w:rsidRPr="00A26317" w:rsidRDefault="1F1BFE12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6EADF6E2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7FEB6E" w14:textId="438D102A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B0C1C5E" w14:textId="78399A75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9B4CEB5" w14:textId="0304E7F0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224B159" w14:textId="5B3A2FA7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170CA895" w14:textId="3477540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A2F6C3A" w14:textId="36EBABE8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7318F0B9" w14:textId="6289C04E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43C8BF41" w14:textId="05CB2936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CA7BB2" w14:textId="77777777" w:rsidR="1F1BFE12" w:rsidRPr="00A26317" w:rsidRDefault="00BB7CB6" w:rsidP="7ACF446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26317">
              <w:rPr>
                <w:rFonts w:ascii="Calibri" w:eastAsia="Calibri" w:hAnsi="Calibri" w:cs="Calibri"/>
                <w:color w:val="000000" w:themeColor="text1"/>
              </w:rPr>
              <w:t>To understand:</w:t>
            </w:r>
          </w:p>
          <w:p w14:paraId="2110C6F6" w14:textId="77777777" w:rsidR="00A26317" w:rsidRPr="00A26317" w:rsidRDefault="00CD0D46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2631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gramStart"/>
            <w:r w:rsidR="00A26317" w:rsidRPr="00A26317">
              <w:rPr>
                <w:rFonts w:ascii="Calibri" w:eastAsia="Calibri" w:hAnsi="Calibri" w:cs="Calibri"/>
                <w:color w:val="000000" w:themeColor="text1"/>
              </w:rPr>
              <w:t>  Recognise</w:t>
            </w:r>
            <w:proofErr w:type="gramEnd"/>
            <w:r w:rsidR="00A26317" w:rsidRPr="00A26317">
              <w:rPr>
                <w:rFonts w:ascii="Calibri" w:eastAsia="Calibri" w:hAnsi="Calibri" w:cs="Calibri"/>
                <w:color w:val="000000" w:themeColor="text1"/>
              </w:rPr>
              <w:t xml:space="preserve"> and challenge misogynistic attitudes and behaviours</w:t>
            </w:r>
          </w:p>
          <w:p w14:paraId="1BAD82D1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A26317">
              <w:rPr>
                <w:rFonts w:ascii="Calibri" w:eastAsia="Calibri" w:hAnsi="Calibri" w:cs="Calibri"/>
                <w:color w:val="000000" w:themeColor="text1"/>
              </w:rPr>
              <w:t>  Identify</w:t>
            </w:r>
            <w:proofErr w:type="gramEnd"/>
            <w:r w:rsidRPr="00A26317">
              <w:rPr>
                <w:rFonts w:ascii="Calibri" w:eastAsia="Calibri" w:hAnsi="Calibri" w:cs="Calibri"/>
                <w:color w:val="000000" w:themeColor="text1"/>
              </w:rPr>
              <w:t xml:space="preserve"> signs of violence, coercion, or control in relationships</w:t>
            </w:r>
          </w:p>
          <w:p w14:paraId="6A804F49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A26317">
              <w:rPr>
                <w:rFonts w:ascii="Calibri" w:eastAsia="Calibri" w:hAnsi="Calibri" w:cs="Calibri"/>
                <w:color w:val="000000" w:themeColor="text1"/>
              </w:rPr>
              <w:t>  Respond</w:t>
            </w:r>
            <w:proofErr w:type="gramEnd"/>
            <w:r w:rsidRPr="00A26317">
              <w:rPr>
                <w:rFonts w:ascii="Calibri" w:eastAsia="Calibri" w:hAnsi="Calibri" w:cs="Calibri"/>
                <w:color w:val="000000" w:themeColor="text1"/>
              </w:rPr>
              <w:t xml:space="preserve"> appropriately to sexual harassment or assault, including knowing how to report it</w:t>
            </w:r>
          </w:p>
          <w:p w14:paraId="576E88AC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A26317">
              <w:rPr>
                <w:rFonts w:ascii="Calibri" w:eastAsia="Calibri" w:hAnsi="Calibri" w:cs="Calibri"/>
                <w:color w:val="000000" w:themeColor="text1"/>
              </w:rPr>
              <w:t>  Understand</w:t>
            </w:r>
            <w:proofErr w:type="gramEnd"/>
            <w:r w:rsidRPr="00A26317">
              <w:rPr>
                <w:rFonts w:ascii="Calibri" w:eastAsia="Calibri" w:hAnsi="Calibri" w:cs="Calibri"/>
                <w:color w:val="000000" w:themeColor="text1"/>
              </w:rPr>
              <w:t xml:space="preserve"> and assert the right to give or withhold consent in all situations</w:t>
            </w:r>
          </w:p>
          <w:p w14:paraId="467E1091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A26317">
              <w:rPr>
                <w:rFonts w:ascii="Calibri" w:eastAsia="Calibri" w:hAnsi="Calibri" w:cs="Calibri"/>
                <w:color w:val="000000" w:themeColor="text1"/>
              </w:rPr>
              <w:t>  Critically</w:t>
            </w:r>
            <w:proofErr w:type="gramEnd"/>
            <w:r w:rsidRPr="00A26317">
              <w:rPr>
                <w:rFonts w:ascii="Calibri" w:eastAsia="Calibri" w:hAnsi="Calibri" w:cs="Calibri"/>
                <w:color w:val="000000" w:themeColor="text1"/>
              </w:rPr>
              <w:t xml:space="preserve"> evaluate harmful online ideologies, such as </w:t>
            </w:r>
            <w:proofErr w:type="spellStart"/>
            <w:r w:rsidRPr="00A26317">
              <w:rPr>
                <w:rFonts w:ascii="Calibri" w:eastAsia="Calibri" w:hAnsi="Calibri" w:cs="Calibri"/>
                <w:color w:val="000000" w:themeColor="text1"/>
              </w:rPr>
              <w:t>incel</w:t>
            </w:r>
            <w:proofErr w:type="spellEnd"/>
            <w:r w:rsidRPr="00A26317">
              <w:rPr>
                <w:rFonts w:ascii="Calibri" w:eastAsia="Calibri" w:hAnsi="Calibri" w:cs="Calibri"/>
                <w:color w:val="000000" w:themeColor="text1"/>
              </w:rPr>
              <w:t xml:space="preserve"> culture</w:t>
            </w:r>
          </w:p>
          <w:p w14:paraId="6D4E5B99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A26317">
              <w:rPr>
                <w:rFonts w:ascii="Calibri" w:eastAsia="Calibri" w:hAnsi="Calibri" w:cs="Calibri"/>
                <w:color w:val="000000" w:themeColor="text1"/>
              </w:rPr>
              <w:t>  Make</w:t>
            </w:r>
            <w:proofErr w:type="gramEnd"/>
            <w:r w:rsidRPr="00A26317">
              <w:rPr>
                <w:rFonts w:ascii="Calibri" w:eastAsia="Calibri" w:hAnsi="Calibri" w:cs="Calibri"/>
                <w:color w:val="000000" w:themeColor="text1"/>
              </w:rPr>
              <w:t xml:space="preserve"> informed decisions about contraception and sexual health</w:t>
            </w:r>
          </w:p>
          <w:p w14:paraId="721CDD03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A26317">
              <w:rPr>
                <w:rFonts w:ascii="Calibri" w:eastAsia="Calibri" w:hAnsi="Calibri" w:cs="Calibri"/>
                <w:color w:val="000000" w:themeColor="text1"/>
              </w:rPr>
              <w:t>  Prevent</w:t>
            </w:r>
            <w:proofErr w:type="gramEnd"/>
            <w:r w:rsidRPr="00A26317">
              <w:rPr>
                <w:rFonts w:ascii="Calibri" w:eastAsia="Calibri" w:hAnsi="Calibri" w:cs="Calibri"/>
                <w:color w:val="000000" w:themeColor="text1"/>
              </w:rPr>
              <w:t>, recognise, and manage STIs, including seeking medical advice</w:t>
            </w:r>
          </w:p>
          <w:p w14:paraId="5857B399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A26317">
              <w:rPr>
                <w:rFonts w:ascii="Calibri" w:eastAsia="Calibri" w:hAnsi="Calibri" w:cs="Calibri"/>
                <w:color w:val="000000" w:themeColor="text1"/>
              </w:rPr>
              <w:t>  Build</w:t>
            </w:r>
            <w:proofErr w:type="gramEnd"/>
            <w:r w:rsidRPr="00A26317">
              <w:rPr>
                <w:rFonts w:ascii="Calibri" w:eastAsia="Calibri" w:hAnsi="Calibri" w:cs="Calibri"/>
                <w:color w:val="000000" w:themeColor="text1"/>
              </w:rPr>
              <w:t xml:space="preserve"> and maintain healthy relationships, and know how to leave unsafe ones safely</w:t>
            </w:r>
          </w:p>
          <w:p w14:paraId="1BEB6C5E" w14:textId="3791E9FF" w:rsidR="00CD0D46" w:rsidRPr="00A26317" w:rsidRDefault="00CD0D46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2954266E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1C45622" w14:textId="09806ABE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5A9C528" w14:textId="6DE6ED2C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</w:rPr>
              <w:t>Tier 3 key vocabulary</w:t>
            </w:r>
          </w:p>
        </w:tc>
      </w:tr>
      <w:tr w:rsidR="1F1BFE12" w14:paraId="46CC267C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D6E36A" w14:textId="5F74F642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E041597" w14:textId="463C2463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05404A1" w14:textId="73217FB1" w:rsidR="1F1BFE12" w:rsidRDefault="1F1BFE12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A0C393" w14:textId="77777777" w:rsidR="00A26317" w:rsidRDefault="00817934" w:rsidP="00A26317">
            <w:r>
              <w:t xml:space="preserve"> </w:t>
            </w:r>
            <w:r w:rsidR="00A26317">
              <w:t>Misogyny</w:t>
            </w:r>
          </w:p>
          <w:p w14:paraId="0D7BA1C4" w14:textId="77777777" w:rsidR="00A26317" w:rsidRDefault="00A26317" w:rsidP="00A26317"/>
          <w:p w14:paraId="5AF99AFE" w14:textId="77777777" w:rsidR="00A26317" w:rsidRDefault="00A26317" w:rsidP="00A26317">
            <w:r>
              <w:t>Coercion</w:t>
            </w:r>
          </w:p>
          <w:p w14:paraId="34BBE45B" w14:textId="77777777" w:rsidR="00A26317" w:rsidRDefault="00A26317" w:rsidP="00A26317"/>
          <w:p w14:paraId="273447FC" w14:textId="77777777" w:rsidR="00A26317" w:rsidRDefault="00A26317" w:rsidP="00A26317">
            <w:r>
              <w:t>Consent</w:t>
            </w:r>
          </w:p>
          <w:p w14:paraId="1BBA489E" w14:textId="77777777" w:rsidR="00A26317" w:rsidRDefault="00A26317" w:rsidP="00A26317"/>
          <w:p w14:paraId="5480A678" w14:textId="77777777" w:rsidR="00A26317" w:rsidRDefault="00A26317" w:rsidP="00A26317">
            <w:r>
              <w:t>Sexual harassment</w:t>
            </w:r>
          </w:p>
          <w:p w14:paraId="667F37F6" w14:textId="77777777" w:rsidR="00A26317" w:rsidRDefault="00A26317" w:rsidP="00A26317"/>
          <w:p w14:paraId="3992C790" w14:textId="77777777" w:rsidR="00A26317" w:rsidRDefault="00A26317" w:rsidP="00A26317">
            <w:r>
              <w:lastRenderedPageBreak/>
              <w:t>Sexual assault</w:t>
            </w:r>
          </w:p>
          <w:p w14:paraId="4EFEA811" w14:textId="77777777" w:rsidR="00A26317" w:rsidRDefault="00A26317" w:rsidP="00A26317"/>
          <w:p w14:paraId="1A827C54" w14:textId="77777777" w:rsidR="00A26317" w:rsidRDefault="00A26317" w:rsidP="00A26317">
            <w:r>
              <w:t>Intimate partner violence</w:t>
            </w:r>
          </w:p>
          <w:p w14:paraId="1AE8686D" w14:textId="77777777" w:rsidR="00A26317" w:rsidRDefault="00A26317" w:rsidP="00A26317"/>
          <w:p w14:paraId="60FAE321" w14:textId="77777777" w:rsidR="00A26317" w:rsidRDefault="00A26317" w:rsidP="00A26317">
            <w:proofErr w:type="spellStart"/>
            <w:r>
              <w:t>Incel</w:t>
            </w:r>
            <w:proofErr w:type="spellEnd"/>
            <w:r>
              <w:t xml:space="preserve"> culture</w:t>
            </w:r>
          </w:p>
          <w:p w14:paraId="13E85869" w14:textId="77777777" w:rsidR="00A26317" w:rsidRDefault="00A26317" w:rsidP="00A26317"/>
          <w:p w14:paraId="53946B71" w14:textId="77777777" w:rsidR="00A26317" w:rsidRDefault="00A26317" w:rsidP="00A26317">
            <w:r>
              <w:t>Radicalisation</w:t>
            </w:r>
          </w:p>
          <w:p w14:paraId="7FEAA9D6" w14:textId="77777777" w:rsidR="00A26317" w:rsidRDefault="00A26317" w:rsidP="00A26317"/>
          <w:p w14:paraId="68826423" w14:textId="77777777" w:rsidR="00A26317" w:rsidRDefault="00A26317" w:rsidP="00A26317">
            <w:r>
              <w:t>Contraception</w:t>
            </w:r>
          </w:p>
          <w:p w14:paraId="6D48740B" w14:textId="77777777" w:rsidR="00A26317" w:rsidRDefault="00A26317" w:rsidP="00A26317"/>
          <w:p w14:paraId="0F98C854" w14:textId="77777777" w:rsidR="00A26317" w:rsidRDefault="00A26317" w:rsidP="00A26317">
            <w:r>
              <w:t>Contraceptive methods</w:t>
            </w:r>
          </w:p>
          <w:p w14:paraId="7349FB94" w14:textId="77777777" w:rsidR="00A26317" w:rsidRDefault="00A26317" w:rsidP="00A26317"/>
          <w:p w14:paraId="78455E63" w14:textId="77777777" w:rsidR="00A26317" w:rsidRDefault="00A26317" w:rsidP="00A26317">
            <w:r>
              <w:t>Sexually transmitted infections (STIs)</w:t>
            </w:r>
          </w:p>
          <w:p w14:paraId="18430576" w14:textId="77777777" w:rsidR="00A26317" w:rsidRDefault="00A26317" w:rsidP="00A26317"/>
          <w:p w14:paraId="5E353F54" w14:textId="77777777" w:rsidR="00A26317" w:rsidRDefault="00A26317" w:rsidP="00A26317">
            <w:r>
              <w:t>Transmission</w:t>
            </w:r>
          </w:p>
          <w:p w14:paraId="3BCB73F3" w14:textId="77777777" w:rsidR="00A26317" w:rsidRDefault="00A26317" w:rsidP="00A26317"/>
          <w:p w14:paraId="072C037A" w14:textId="77777777" w:rsidR="00A26317" w:rsidRDefault="00A26317" w:rsidP="00A26317">
            <w:r>
              <w:t>Prevention</w:t>
            </w:r>
          </w:p>
          <w:p w14:paraId="3E8E1CC3" w14:textId="77777777" w:rsidR="00A26317" w:rsidRDefault="00A26317" w:rsidP="00A26317"/>
          <w:p w14:paraId="6CF23C94" w14:textId="77777777" w:rsidR="00A26317" w:rsidRDefault="00A26317" w:rsidP="00A26317">
            <w:r>
              <w:t>Healthy relationships</w:t>
            </w:r>
          </w:p>
          <w:p w14:paraId="240AEE82" w14:textId="77777777" w:rsidR="00A26317" w:rsidRDefault="00A26317" w:rsidP="00A26317"/>
          <w:p w14:paraId="526CA4B4" w14:textId="77777777" w:rsidR="00A26317" w:rsidRDefault="00A26317" w:rsidP="00A26317">
            <w:r>
              <w:t>Unhealthy relationships</w:t>
            </w:r>
          </w:p>
          <w:p w14:paraId="2CF75F10" w14:textId="77777777" w:rsidR="00A26317" w:rsidRDefault="00A26317" w:rsidP="00A26317"/>
          <w:p w14:paraId="2906C234" w14:textId="77777777" w:rsidR="00A26317" w:rsidRDefault="00A26317" w:rsidP="00A26317">
            <w:r>
              <w:t>Support services</w:t>
            </w:r>
          </w:p>
          <w:p w14:paraId="0355131F" w14:textId="77777777" w:rsidR="00A26317" w:rsidRDefault="00A26317" w:rsidP="00A26317"/>
          <w:p w14:paraId="71CB31A6" w14:textId="77777777" w:rsidR="00A26317" w:rsidRDefault="00A26317" w:rsidP="00A26317"/>
          <w:p w14:paraId="1B3C9FA6" w14:textId="77777777" w:rsidR="00A26317" w:rsidRDefault="00A26317" w:rsidP="00A26317"/>
          <w:p w14:paraId="7FC574E6" w14:textId="77777777" w:rsidR="00A26317" w:rsidRDefault="00A26317" w:rsidP="00A26317"/>
          <w:p w14:paraId="55229457" w14:textId="77777777" w:rsidR="00A26317" w:rsidRDefault="00A26317" w:rsidP="00A26317"/>
          <w:p w14:paraId="2AA19FF4" w14:textId="77777777" w:rsidR="00A26317" w:rsidRDefault="00A26317" w:rsidP="00A26317"/>
          <w:p w14:paraId="15821F05" w14:textId="77777777" w:rsidR="00A26317" w:rsidRDefault="00A26317" w:rsidP="00A26317"/>
          <w:p w14:paraId="3BECD251" w14:textId="77777777" w:rsidR="00A26317" w:rsidRDefault="00A26317" w:rsidP="00A26317"/>
          <w:p w14:paraId="182D268F" w14:textId="006E4A36" w:rsidR="00817934" w:rsidRPr="00CD0D46" w:rsidRDefault="00817934" w:rsidP="00A26317">
            <w:pPr>
              <w:spacing w:line="259" w:lineRule="auto"/>
            </w:pPr>
          </w:p>
        </w:tc>
      </w:tr>
      <w:tr w:rsidR="1F1BFE12" w14:paraId="6C11A90A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730EE87D" w14:textId="4AD0965D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4BBF1E25" w14:textId="15EDBFD6" w:rsidR="1F1BFE12" w:rsidRDefault="00266F28" w:rsidP="00266F2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Checking for understanding</w:t>
            </w:r>
          </w:p>
        </w:tc>
      </w:tr>
      <w:tr w:rsidR="1F1BFE12" w14:paraId="572134F1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6928422" w14:textId="5E31FA82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0B6910E" w14:textId="659B3FD0" w:rsidR="1F1BFE12" w:rsidRDefault="00266F28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Opportunities to check for understanding 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D4D1ADB" w14:textId="77777777" w:rsidR="00266F28" w:rsidRDefault="00266F28" w:rsidP="00266F2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320C0DF7" w14:textId="77777777" w:rsidR="00266F28" w:rsidRDefault="00266F28" w:rsidP="00266F2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3807E5F" w14:textId="77777777" w:rsidR="00266F28" w:rsidRPr="00A04DD6" w:rsidRDefault="00266F28" w:rsidP="00266F2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437CBA7C" w14:textId="77777777" w:rsidR="00266F28" w:rsidRPr="00A04DD6" w:rsidRDefault="00266F28" w:rsidP="00266F2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30AF4D3" w14:textId="77777777" w:rsidR="00266F28" w:rsidRPr="00A04DD6" w:rsidRDefault="00266F28" w:rsidP="00266F2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8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4E3869CC" w14:textId="6B7BC7D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0F39244" w14:textId="765F0AF5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FE7FE76" w14:textId="6DD0E94A" w:rsidR="008C071A" w:rsidRDefault="00BB7CB6" w:rsidP="320AC621">
      <w:r>
        <w:br w:type="page"/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365"/>
        <w:gridCol w:w="12577"/>
      </w:tblGrid>
      <w:tr w:rsidR="320AC621" w14:paraId="37DE9C45" w14:textId="77777777" w:rsidTr="00480CDE"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04E3007D" w14:textId="55F8302C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Sequenced</w:t>
            </w:r>
          </w:p>
        </w:tc>
        <w:tc>
          <w:tcPr>
            <w:tcW w:w="125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0970C54E" w14:textId="2492645D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20AC6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Core Theme 3</w:t>
            </w:r>
          </w:p>
          <w:p w14:paraId="1F21195B" w14:textId="53D67C2B" w:rsidR="00266F28" w:rsidRDefault="00266F28" w:rsidP="320AC621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6665BBB" w14:textId="577B1FC3" w:rsidR="00266F28" w:rsidRDefault="00266F28" w:rsidP="320AC621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Wider World </w:t>
            </w:r>
          </w:p>
          <w:p w14:paraId="363613BA" w14:textId="4DBDB10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320AC621" w14:paraId="516E0D5E" w14:textId="77777777" w:rsidTr="00480CDE"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A39CB0" w14:textId="0E21767A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54489B1" w14:textId="243E14B4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046C957" w14:textId="2DF68A37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5CEA09B1" w14:textId="4A11B6E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DABAF8E" w14:textId="21A66D46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1785A014" w14:textId="58CC5FEF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5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7A9988" w14:textId="20E04638" w:rsidR="320AC621" w:rsidRDefault="2A717250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ACF446C">
              <w:rPr>
                <w:rFonts w:ascii="Calibri" w:eastAsia="Calibri" w:hAnsi="Calibri" w:cs="Calibri"/>
                <w:color w:val="000000" w:themeColor="text1"/>
              </w:rPr>
              <w:t>To know:</w:t>
            </w:r>
          </w:p>
          <w:p w14:paraId="3EAC293A" w14:textId="77777777" w:rsidR="00706121" w:rsidRDefault="00706121" w:rsidP="0070612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Employment rights</w:t>
            </w:r>
          </w:p>
          <w:p w14:paraId="6DB65B9A" w14:textId="6F28BB6C" w:rsidR="00706121" w:rsidRDefault="00706121" w:rsidP="0070612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Equality act, direct and indirect discrimination</w:t>
            </w:r>
          </w:p>
          <w:p w14:paraId="3B45867D" w14:textId="66099034" w:rsidR="00706121" w:rsidRDefault="00706121" w:rsidP="0070612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Employment rights</w:t>
            </w:r>
          </w:p>
          <w:p w14:paraId="75453589" w14:textId="77777777" w:rsidR="00706121" w:rsidRDefault="00706121" w:rsidP="0070612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Gender bias in the workplace</w:t>
            </w:r>
          </w:p>
          <w:p w14:paraId="5BC27D6A" w14:textId="77777777" w:rsidR="00706121" w:rsidRDefault="00706121" w:rsidP="0070612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Employment rights</w:t>
            </w:r>
          </w:p>
          <w:p w14:paraId="4F523455" w14:textId="4DB31C49" w:rsidR="00706121" w:rsidRDefault="00706121" w:rsidP="0070612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Invisible disabilities</w:t>
            </w:r>
          </w:p>
          <w:p w14:paraId="7DFA578A" w14:textId="77777777" w:rsidR="00706121" w:rsidRDefault="00706121" w:rsidP="0070612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 16 pathways and local providers</w:t>
            </w:r>
          </w:p>
          <w:p w14:paraId="07FD34BC" w14:textId="093FDA76" w:rsidR="00706121" w:rsidRDefault="00706121" w:rsidP="0070612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Apprenticeships and T levels</w:t>
            </w:r>
          </w:p>
          <w:p w14:paraId="1E63AD0C" w14:textId="77777777" w:rsidR="00706121" w:rsidRDefault="00706121" w:rsidP="0070612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LMI, review employability skills and career choices</w:t>
            </w:r>
          </w:p>
          <w:p w14:paraId="70F26426" w14:textId="6048EE6A" w:rsidR="00706121" w:rsidRDefault="00706121" w:rsidP="0070612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Use of career software</w:t>
            </w:r>
          </w:p>
          <w:p w14:paraId="2BA86686" w14:textId="33AEA7A5" w:rsidR="320AC621" w:rsidRPr="00266F28" w:rsidRDefault="00706121" w:rsidP="0070612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CV writing and interview skills</w:t>
            </w:r>
          </w:p>
        </w:tc>
      </w:tr>
      <w:tr w:rsidR="320AC621" w14:paraId="7232E0CC" w14:textId="77777777" w:rsidTr="00480CDE"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A41A5E" w14:textId="438D102A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3A7DFB1" w14:textId="78399A75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A6F613E" w14:textId="0304E7F0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0AFF77C" w14:textId="5B3A2FA7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29FBC028" w14:textId="3477540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5BB78CA" w14:textId="36EBABE8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49B27CD3" w14:textId="6289C04E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446C22E4" w14:textId="05CB2936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5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E78980" w14:textId="4E9059C9" w:rsidR="00706121" w:rsidRPr="00706121" w:rsidRDefault="00706121" w:rsidP="00706121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383F8B1" w14:textId="77777777" w:rsidR="00706121" w:rsidRDefault="00815AF2" w:rsidP="00706121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9" w:history="1">
              <w:r w:rsidR="00706121" w:rsidRPr="005038CA">
                <w:rPr>
                  <w:rStyle w:val="Hyperlink"/>
                  <w:rFonts w:ascii="Calibri" w:eastAsia="Calibri" w:hAnsi="Calibri" w:cs="Calibri"/>
                </w:rPr>
                <w:t>https://docs.google.com/document/d/1m2nHqJ1dduJMPg4DfHFSs-nNIBD7KL_B/edit</w:t>
              </w:r>
            </w:hyperlink>
          </w:p>
          <w:p w14:paraId="18E8560D" w14:textId="77777777" w:rsidR="00706121" w:rsidRDefault="00706121" w:rsidP="00706121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186BBD7" w14:textId="2439E998" w:rsidR="00767130" w:rsidRPr="00706121" w:rsidRDefault="00706121" w:rsidP="0070612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Please access this link to identify Gatsby Benchmarks and Key Skills</w:t>
            </w:r>
          </w:p>
        </w:tc>
      </w:tr>
      <w:tr w:rsidR="320AC621" w14:paraId="5E84C014" w14:textId="77777777" w:rsidTr="00480CDE"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302D78E7" w14:textId="4AD0965D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5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46E97E55" w14:textId="5A9A58B0" w:rsidR="1F1BFE12" w:rsidRDefault="00767130" w:rsidP="00480CD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Checking for understanding</w:t>
            </w:r>
          </w:p>
        </w:tc>
      </w:tr>
      <w:tr w:rsidR="320AC621" w14:paraId="1FDECBE1" w14:textId="77777777" w:rsidTr="00480CDE"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466B807" w14:textId="630444CB" w:rsidR="320AC621" w:rsidRDefault="00480CDE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Opportunities to check for understanding </w:t>
            </w:r>
          </w:p>
          <w:p w14:paraId="527A11F2" w14:textId="6BC951D0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FD7B00C" w14:textId="7FD40953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37930F0" w14:textId="642FBF5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1052EE9" w14:textId="35D01B3B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5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468629F" w14:textId="3D326713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552C440" w14:textId="77777777" w:rsidR="00480CDE" w:rsidRDefault="00480CDE" w:rsidP="00480CDE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733F9101" w14:textId="77777777" w:rsidR="00480CDE" w:rsidRDefault="00480CDE" w:rsidP="00480CDE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8AAD7AF" w14:textId="77777777" w:rsidR="00480CDE" w:rsidRPr="00A04DD6" w:rsidRDefault="00480CDE" w:rsidP="00480CDE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7D214C62" w14:textId="77777777" w:rsidR="00480CDE" w:rsidRPr="00A04DD6" w:rsidRDefault="00480CDE" w:rsidP="00480CDE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17C3674" w14:textId="77777777" w:rsidR="00480CDE" w:rsidRPr="00A04DD6" w:rsidRDefault="00480CDE" w:rsidP="00480CDE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10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1541B485" w14:textId="77777777" w:rsidR="00480CDE" w:rsidRDefault="00480CDE" w:rsidP="00480CD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B3DFEA0" w14:textId="0BB1671A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D7ABFA7" w14:textId="2C1A0648" w:rsidR="008C071A" w:rsidRDefault="008C071A" w:rsidP="320AC621"/>
    <w:sectPr w:rsidR="008C071A">
      <w:headerReference w:type="default" r:id="rId11"/>
      <w:footerReference w:type="default" r:id="rId12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A9CF" w14:textId="77777777" w:rsidR="00815AF2" w:rsidRDefault="00815AF2">
      <w:pPr>
        <w:spacing w:after="0" w:line="240" w:lineRule="auto"/>
      </w:pPr>
      <w:r>
        <w:separator/>
      </w:r>
    </w:p>
  </w:endnote>
  <w:endnote w:type="continuationSeparator" w:id="0">
    <w:p w14:paraId="63DBEA3C" w14:textId="77777777" w:rsidR="00815AF2" w:rsidRDefault="008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BB7CB6" w14:paraId="30D21DFD" w14:textId="77777777" w:rsidTr="6BF6F9F0">
      <w:tc>
        <w:tcPr>
          <w:tcW w:w="4650" w:type="dxa"/>
        </w:tcPr>
        <w:p w14:paraId="379F3C8F" w14:textId="17CB4221" w:rsidR="00BB7CB6" w:rsidRDefault="00BB7CB6" w:rsidP="6BF6F9F0">
          <w:pPr>
            <w:pStyle w:val="Header"/>
            <w:ind w:left="-115"/>
          </w:pPr>
        </w:p>
      </w:tc>
      <w:tc>
        <w:tcPr>
          <w:tcW w:w="4650" w:type="dxa"/>
        </w:tcPr>
        <w:p w14:paraId="3264D921" w14:textId="3C15C778" w:rsidR="00BB7CB6" w:rsidRDefault="00BB7CB6" w:rsidP="6BF6F9F0">
          <w:pPr>
            <w:pStyle w:val="Header"/>
            <w:jc w:val="center"/>
          </w:pPr>
        </w:p>
      </w:tc>
      <w:tc>
        <w:tcPr>
          <w:tcW w:w="4650" w:type="dxa"/>
        </w:tcPr>
        <w:p w14:paraId="691ECBB6" w14:textId="56CD7460" w:rsidR="00BB7CB6" w:rsidRDefault="00BB7CB6" w:rsidP="6BF6F9F0">
          <w:pPr>
            <w:pStyle w:val="Header"/>
            <w:ind w:right="-115"/>
            <w:jc w:val="right"/>
          </w:pPr>
        </w:p>
      </w:tc>
    </w:tr>
  </w:tbl>
  <w:p w14:paraId="0242798D" w14:textId="25BA256B" w:rsidR="00BB7CB6" w:rsidRDefault="00BB7CB6" w:rsidP="6BF6F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EA4A" w14:textId="77777777" w:rsidR="00815AF2" w:rsidRDefault="00815AF2">
      <w:pPr>
        <w:spacing w:after="0" w:line="240" w:lineRule="auto"/>
      </w:pPr>
      <w:r>
        <w:separator/>
      </w:r>
    </w:p>
  </w:footnote>
  <w:footnote w:type="continuationSeparator" w:id="0">
    <w:p w14:paraId="71392F72" w14:textId="77777777" w:rsidR="00815AF2" w:rsidRDefault="00815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065"/>
      <w:gridCol w:w="2235"/>
      <w:gridCol w:w="4650"/>
    </w:tblGrid>
    <w:tr w:rsidR="00BB7CB6" w14:paraId="51FA9C33" w14:textId="77777777" w:rsidTr="7ACF446C">
      <w:tc>
        <w:tcPr>
          <w:tcW w:w="7065" w:type="dxa"/>
        </w:tcPr>
        <w:p w14:paraId="7ECE50CD" w14:textId="36F80D48" w:rsidR="00BB7CB6" w:rsidRDefault="00BB7CB6" w:rsidP="6BF6F9F0">
          <w:pPr>
            <w:pStyle w:val="Header"/>
            <w:ind w:left="-115"/>
            <w:rPr>
              <w:b/>
              <w:bCs/>
              <w:sz w:val="28"/>
              <w:szCs w:val="28"/>
              <w:u w:val="single"/>
            </w:rPr>
          </w:pPr>
          <w:r w:rsidRPr="7ACF446C">
            <w:rPr>
              <w:b/>
              <w:bCs/>
              <w:sz w:val="28"/>
              <w:szCs w:val="28"/>
              <w:u w:val="single"/>
            </w:rPr>
            <w:t xml:space="preserve">Year 9 PSHE </w:t>
          </w:r>
        </w:p>
        <w:p w14:paraId="04CAAC87" w14:textId="37EA58CD" w:rsidR="00BB7CB6" w:rsidRDefault="00BB7CB6" w:rsidP="6BF6F9F0">
          <w:pPr>
            <w:pStyle w:val="Header"/>
            <w:ind w:left="-115"/>
            <w:rPr>
              <w:b/>
              <w:bCs/>
              <w:sz w:val="28"/>
              <w:szCs w:val="28"/>
              <w:u w:val="single"/>
            </w:rPr>
          </w:pPr>
          <w:r w:rsidRPr="6BF6F9F0">
            <w:rPr>
              <w:b/>
              <w:bCs/>
              <w:sz w:val="28"/>
              <w:szCs w:val="28"/>
              <w:u w:val="single"/>
            </w:rPr>
            <w:t>Knowledge and Skills Mapping</w:t>
          </w:r>
        </w:p>
      </w:tc>
      <w:tc>
        <w:tcPr>
          <w:tcW w:w="2235" w:type="dxa"/>
        </w:tcPr>
        <w:p w14:paraId="1F05EF7C" w14:textId="675259FA" w:rsidR="00BB7CB6" w:rsidRDefault="00BB7CB6" w:rsidP="6BF6F9F0">
          <w:pPr>
            <w:pStyle w:val="Header"/>
            <w:jc w:val="center"/>
            <w:rPr>
              <w:b/>
              <w:bCs/>
              <w:sz w:val="28"/>
              <w:szCs w:val="28"/>
              <w:u w:val="single"/>
            </w:rPr>
          </w:pPr>
        </w:p>
      </w:tc>
      <w:tc>
        <w:tcPr>
          <w:tcW w:w="4650" w:type="dxa"/>
        </w:tcPr>
        <w:p w14:paraId="23E07944" w14:textId="6B2E225B" w:rsidR="00BB7CB6" w:rsidRDefault="00BB7CB6" w:rsidP="6BF6F9F0">
          <w:pPr>
            <w:pStyle w:val="Header"/>
            <w:ind w:right="-115"/>
            <w:jc w:val="right"/>
            <w:rPr>
              <w:b/>
              <w:bCs/>
              <w:sz w:val="28"/>
              <w:szCs w:val="28"/>
              <w:u w:val="single"/>
            </w:rPr>
          </w:pPr>
        </w:p>
      </w:tc>
    </w:tr>
  </w:tbl>
  <w:p w14:paraId="4450014B" w14:textId="0E653282" w:rsidR="00BB7CB6" w:rsidRDefault="00BB7CB6" w:rsidP="6BF6F9F0">
    <w:pPr>
      <w:pStyle w:val="Header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72E"/>
    <w:multiLevelType w:val="hybridMultilevel"/>
    <w:tmpl w:val="28A0D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579C9"/>
    <w:multiLevelType w:val="multilevel"/>
    <w:tmpl w:val="BA70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64135"/>
    <w:multiLevelType w:val="hybridMultilevel"/>
    <w:tmpl w:val="2FDA3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A75EA"/>
    <w:multiLevelType w:val="hybridMultilevel"/>
    <w:tmpl w:val="A75AD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11227"/>
    <w:multiLevelType w:val="hybridMultilevel"/>
    <w:tmpl w:val="46F47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55827"/>
    <w:multiLevelType w:val="hybridMultilevel"/>
    <w:tmpl w:val="414447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A71604"/>
    <w:multiLevelType w:val="hybridMultilevel"/>
    <w:tmpl w:val="A5F8C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D2F73"/>
    <w:multiLevelType w:val="hybridMultilevel"/>
    <w:tmpl w:val="05D6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2D2B"/>
    <w:multiLevelType w:val="hybridMultilevel"/>
    <w:tmpl w:val="1362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B38D3"/>
    <w:multiLevelType w:val="hybridMultilevel"/>
    <w:tmpl w:val="548E2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460D0"/>
    <w:multiLevelType w:val="hybridMultilevel"/>
    <w:tmpl w:val="B3762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CF14A"/>
    <w:rsid w:val="00266F28"/>
    <w:rsid w:val="003D3954"/>
    <w:rsid w:val="00480CDE"/>
    <w:rsid w:val="00706121"/>
    <w:rsid w:val="0073CEF8"/>
    <w:rsid w:val="00767130"/>
    <w:rsid w:val="00815AF2"/>
    <w:rsid w:val="00817934"/>
    <w:rsid w:val="008C071A"/>
    <w:rsid w:val="00A04DD6"/>
    <w:rsid w:val="00A26317"/>
    <w:rsid w:val="00A87FEB"/>
    <w:rsid w:val="00A926F3"/>
    <w:rsid w:val="00BB7CB6"/>
    <w:rsid w:val="00CD0D46"/>
    <w:rsid w:val="00D040E6"/>
    <w:rsid w:val="00D247BC"/>
    <w:rsid w:val="00F823A4"/>
    <w:rsid w:val="0130D40E"/>
    <w:rsid w:val="0151D5AC"/>
    <w:rsid w:val="01CAD0B4"/>
    <w:rsid w:val="02457AED"/>
    <w:rsid w:val="02548698"/>
    <w:rsid w:val="02C4DF22"/>
    <w:rsid w:val="036E8E9B"/>
    <w:rsid w:val="03C557D9"/>
    <w:rsid w:val="04399BB6"/>
    <w:rsid w:val="04492931"/>
    <w:rsid w:val="04C597FD"/>
    <w:rsid w:val="059ECE8A"/>
    <w:rsid w:val="05D0BBEA"/>
    <w:rsid w:val="065D45EB"/>
    <w:rsid w:val="06A62F5D"/>
    <w:rsid w:val="07057C9E"/>
    <w:rsid w:val="071D2C03"/>
    <w:rsid w:val="07633DFF"/>
    <w:rsid w:val="0780C9F3"/>
    <w:rsid w:val="0819EBF6"/>
    <w:rsid w:val="0841FFBE"/>
    <w:rsid w:val="08A14CFF"/>
    <w:rsid w:val="08AA9B4B"/>
    <w:rsid w:val="08ECD93F"/>
    <w:rsid w:val="09033589"/>
    <w:rsid w:val="09312F2A"/>
    <w:rsid w:val="09D5E299"/>
    <w:rsid w:val="09E1FE3F"/>
    <w:rsid w:val="0A466BAC"/>
    <w:rsid w:val="0AC0FFBA"/>
    <w:rsid w:val="0AE980EC"/>
    <w:rsid w:val="0AECED3A"/>
    <w:rsid w:val="0B30B70E"/>
    <w:rsid w:val="0B607823"/>
    <w:rsid w:val="0C1431BD"/>
    <w:rsid w:val="0C543B16"/>
    <w:rsid w:val="0CD474F5"/>
    <w:rsid w:val="0D67A698"/>
    <w:rsid w:val="0D9E89DE"/>
    <w:rsid w:val="0DBE12E6"/>
    <w:rsid w:val="0DF00B77"/>
    <w:rsid w:val="0EAFA218"/>
    <w:rsid w:val="0ECAA60D"/>
    <w:rsid w:val="0F278BD1"/>
    <w:rsid w:val="0F9470DD"/>
    <w:rsid w:val="0FEB2919"/>
    <w:rsid w:val="10864EED"/>
    <w:rsid w:val="108CF14A"/>
    <w:rsid w:val="10AFDD40"/>
    <w:rsid w:val="10D62AA0"/>
    <w:rsid w:val="1384B265"/>
    <w:rsid w:val="13AF81F7"/>
    <w:rsid w:val="13ED4DF2"/>
    <w:rsid w:val="1437796C"/>
    <w:rsid w:val="14506190"/>
    <w:rsid w:val="145F4CFB"/>
    <w:rsid w:val="14B8CA4C"/>
    <w:rsid w:val="14BE9A3C"/>
    <w:rsid w:val="14CDAA04"/>
    <w:rsid w:val="14EEE725"/>
    <w:rsid w:val="1508EE00"/>
    <w:rsid w:val="15FB1D5C"/>
    <w:rsid w:val="1648A2A6"/>
    <w:rsid w:val="165A6A9D"/>
    <w:rsid w:val="16A4BE61"/>
    <w:rsid w:val="16B465A1"/>
    <w:rsid w:val="1746D4A1"/>
    <w:rsid w:val="1764F52C"/>
    <w:rsid w:val="17C60BB6"/>
    <w:rsid w:val="19266DFC"/>
    <w:rsid w:val="19B2F7FD"/>
    <w:rsid w:val="19D3CDA7"/>
    <w:rsid w:val="19D6F7B6"/>
    <w:rsid w:val="1ACE8E7F"/>
    <w:rsid w:val="1B25941A"/>
    <w:rsid w:val="1BA92915"/>
    <w:rsid w:val="1C34F720"/>
    <w:rsid w:val="1C70AA5B"/>
    <w:rsid w:val="1CC3DC31"/>
    <w:rsid w:val="1CD861C9"/>
    <w:rsid w:val="1E74322A"/>
    <w:rsid w:val="1E866920"/>
    <w:rsid w:val="1EE0C9D7"/>
    <w:rsid w:val="1F1BFE12"/>
    <w:rsid w:val="1F26B24D"/>
    <w:rsid w:val="1FA84B1D"/>
    <w:rsid w:val="1FB85704"/>
    <w:rsid w:val="1FCDDF36"/>
    <w:rsid w:val="20366F30"/>
    <w:rsid w:val="2063356D"/>
    <w:rsid w:val="224980D0"/>
    <w:rsid w:val="2298A478"/>
    <w:rsid w:val="2340DB2B"/>
    <w:rsid w:val="237D4A3B"/>
    <w:rsid w:val="238B2EEF"/>
    <w:rsid w:val="239AD62F"/>
    <w:rsid w:val="23D1493B"/>
    <w:rsid w:val="242D452F"/>
    <w:rsid w:val="243474D9"/>
    <w:rsid w:val="247BBC40"/>
    <w:rsid w:val="2557F8E1"/>
    <w:rsid w:val="2564A031"/>
    <w:rsid w:val="26B94E94"/>
    <w:rsid w:val="26D1A9C7"/>
    <w:rsid w:val="26EA9690"/>
    <w:rsid w:val="26F470C1"/>
    <w:rsid w:val="27FC84B7"/>
    <w:rsid w:val="2836C76B"/>
    <w:rsid w:val="29985518"/>
    <w:rsid w:val="29BBBC4D"/>
    <w:rsid w:val="29D297CC"/>
    <w:rsid w:val="2A0A17B3"/>
    <w:rsid w:val="2A717250"/>
    <w:rsid w:val="2B6E682D"/>
    <w:rsid w:val="2BA3A6DA"/>
    <w:rsid w:val="2BBF4CDF"/>
    <w:rsid w:val="2C9A041B"/>
    <w:rsid w:val="2D0A388E"/>
    <w:rsid w:val="2D3F773B"/>
    <w:rsid w:val="2D40AFB7"/>
    <w:rsid w:val="2DDDA797"/>
    <w:rsid w:val="2DE2625C"/>
    <w:rsid w:val="2E1C530B"/>
    <w:rsid w:val="2E8C43AB"/>
    <w:rsid w:val="2EC4F510"/>
    <w:rsid w:val="2EFD391C"/>
    <w:rsid w:val="2F34E98C"/>
    <w:rsid w:val="2F74F004"/>
    <w:rsid w:val="2F772780"/>
    <w:rsid w:val="2FD672EC"/>
    <w:rsid w:val="304EF603"/>
    <w:rsid w:val="3092BE02"/>
    <w:rsid w:val="31A20637"/>
    <w:rsid w:val="31BB2E94"/>
    <w:rsid w:val="320AC621"/>
    <w:rsid w:val="322B1C53"/>
    <w:rsid w:val="3266BA5E"/>
    <w:rsid w:val="328D07BE"/>
    <w:rsid w:val="328DDBA4"/>
    <w:rsid w:val="332AE65B"/>
    <w:rsid w:val="3370F857"/>
    <w:rsid w:val="3428D81F"/>
    <w:rsid w:val="347BED4F"/>
    <w:rsid w:val="34C2079B"/>
    <w:rsid w:val="353E5B96"/>
    <w:rsid w:val="36521481"/>
    <w:rsid w:val="3665C2A1"/>
    <w:rsid w:val="3676D820"/>
    <w:rsid w:val="3726D314"/>
    <w:rsid w:val="373FFB71"/>
    <w:rsid w:val="37978CF1"/>
    <w:rsid w:val="38641F82"/>
    <w:rsid w:val="38917FC5"/>
    <w:rsid w:val="38A5BD6D"/>
    <w:rsid w:val="397D4A9A"/>
    <w:rsid w:val="3A3FEBC3"/>
    <w:rsid w:val="3AD0CCEE"/>
    <w:rsid w:val="3AD86065"/>
    <w:rsid w:val="3AEB2ED3"/>
    <w:rsid w:val="3B8D4513"/>
    <w:rsid w:val="3B91A8AA"/>
    <w:rsid w:val="3C34BDEA"/>
    <w:rsid w:val="3C6C9D4F"/>
    <w:rsid w:val="3CF82850"/>
    <w:rsid w:val="3DD08E4B"/>
    <w:rsid w:val="3E70D486"/>
    <w:rsid w:val="3FF9ED7E"/>
    <w:rsid w:val="408BE599"/>
    <w:rsid w:val="41082F0D"/>
    <w:rsid w:val="41E1F5BD"/>
    <w:rsid w:val="421AA722"/>
    <w:rsid w:val="423C0C5B"/>
    <w:rsid w:val="443FCFCF"/>
    <w:rsid w:val="44E2B339"/>
    <w:rsid w:val="45B2C31A"/>
    <w:rsid w:val="45B3C034"/>
    <w:rsid w:val="45E38DB6"/>
    <w:rsid w:val="4681286F"/>
    <w:rsid w:val="474E937B"/>
    <w:rsid w:val="47777091"/>
    <w:rsid w:val="478F0557"/>
    <w:rsid w:val="47A1D934"/>
    <w:rsid w:val="47DE75A6"/>
    <w:rsid w:val="47EB1DF1"/>
    <w:rsid w:val="484093E2"/>
    <w:rsid w:val="48513741"/>
    <w:rsid w:val="486D511A"/>
    <w:rsid w:val="488886E5"/>
    <w:rsid w:val="4896F77E"/>
    <w:rsid w:val="491340F2"/>
    <w:rsid w:val="49155E88"/>
    <w:rsid w:val="4952B3CE"/>
    <w:rsid w:val="49CC8A32"/>
    <w:rsid w:val="49DE26CF"/>
    <w:rsid w:val="4A4B9B9C"/>
    <w:rsid w:val="4AAEB733"/>
    <w:rsid w:val="4AD0F83B"/>
    <w:rsid w:val="4B4F5A6F"/>
    <w:rsid w:val="4BB2860D"/>
    <w:rsid w:val="4BB7D84A"/>
    <w:rsid w:val="4BBFEC13"/>
    <w:rsid w:val="4DC5C285"/>
    <w:rsid w:val="4E55AF48"/>
    <w:rsid w:val="5022CB92"/>
    <w:rsid w:val="5035FBC6"/>
    <w:rsid w:val="504A1230"/>
    <w:rsid w:val="504BA5C7"/>
    <w:rsid w:val="51B3CF2F"/>
    <w:rsid w:val="51B62288"/>
    <w:rsid w:val="51C15932"/>
    <w:rsid w:val="532435B6"/>
    <w:rsid w:val="54350409"/>
    <w:rsid w:val="545DE11F"/>
    <w:rsid w:val="56CE7C26"/>
    <w:rsid w:val="571E9FDA"/>
    <w:rsid w:val="58BA703B"/>
    <w:rsid w:val="58E1479A"/>
    <w:rsid w:val="596A6B2F"/>
    <w:rsid w:val="59C3B5AF"/>
    <w:rsid w:val="5A061CE8"/>
    <w:rsid w:val="5A2CD976"/>
    <w:rsid w:val="5ACD22A3"/>
    <w:rsid w:val="5AD0A0FF"/>
    <w:rsid w:val="5C83DDED"/>
    <w:rsid w:val="5CC07817"/>
    <w:rsid w:val="5D8C4DC7"/>
    <w:rsid w:val="5D943B4D"/>
    <w:rsid w:val="5E646AB5"/>
    <w:rsid w:val="5EF9575D"/>
    <w:rsid w:val="5F004A99"/>
    <w:rsid w:val="5F29B1BF"/>
    <w:rsid w:val="5F47FEF7"/>
    <w:rsid w:val="5F90B9B5"/>
    <w:rsid w:val="6040B4A9"/>
    <w:rsid w:val="607BC2F3"/>
    <w:rsid w:val="6230F81F"/>
    <w:rsid w:val="624C210A"/>
    <w:rsid w:val="62FA1B70"/>
    <w:rsid w:val="6319F8B6"/>
    <w:rsid w:val="63424706"/>
    <w:rsid w:val="63B7C74C"/>
    <w:rsid w:val="63D3BBBC"/>
    <w:rsid w:val="63E122CE"/>
    <w:rsid w:val="645FD4BA"/>
    <w:rsid w:val="647404E9"/>
    <w:rsid w:val="64A43150"/>
    <w:rsid w:val="64F59DB9"/>
    <w:rsid w:val="660E41B3"/>
    <w:rsid w:val="671E8326"/>
    <w:rsid w:val="672C3228"/>
    <w:rsid w:val="679BCB9A"/>
    <w:rsid w:val="67ABA5AB"/>
    <w:rsid w:val="68BB628E"/>
    <w:rsid w:val="6913CF13"/>
    <w:rsid w:val="69363B35"/>
    <w:rsid w:val="6946443B"/>
    <w:rsid w:val="69AB2403"/>
    <w:rsid w:val="69AB2E9B"/>
    <w:rsid w:val="6A9C18CB"/>
    <w:rsid w:val="6AD36C5C"/>
    <w:rsid w:val="6AE508F9"/>
    <w:rsid w:val="6BF6F9F0"/>
    <w:rsid w:val="6C24E618"/>
    <w:rsid w:val="6C6DB0DD"/>
    <w:rsid w:val="6C6DDBF7"/>
    <w:rsid w:val="6CD99BD1"/>
    <w:rsid w:val="6D5BCEFA"/>
    <w:rsid w:val="6E01BED2"/>
    <w:rsid w:val="6E2E7C0A"/>
    <w:rsid w:val="6E416278"/>
    <w:rsid w:val="6F3BEE99"/>
    <w:rsid w:val="6F3E41F2"/>
    <w:rsid w:val="701508B2"/>
    <w:rsid w:val="70554C93"/>
    <w:rsid w:val="70915226"/>
    <w:rsid w:val="7110855F"/>
    <w:rsid w:val="7179033A"/>
    <w:rsid w:val="71B0D913"/>
    <w:rsid w:val="72AC55C0"/>
    <w:rsid w:val="730851B4"/>
    <w:rsid w:val="730F815E"/>
    <w:rsid w:val="734CA974"/>
    <w:rsid w:val="73CDEB16"/>
    <w:rsid w:val="742FF7FD"/>
    <w:rsid w:val="74E879D5"/>
    <w:rsid w:val="74EC4DAB"/>
    <w:rsid w:val="75C46A99"/>
    <w:rsid w:val="765D00B7"/>
    <w:rsid w:val="766FAAC8"/>
    <w:rsid w:val="769D1DF3"/>
    <w:rsid w:val="774953D7"/>
    <w:rsid w:val="775818BD"/>
    <w:rsid w:val="7774FA1F"/>
    <w:rsid w:val="77B0BD93"/>
    <w:rsid w:val="77DBC2D7"/>
    <w:rsid w:val="77F9E362"/>
    <w:rsid w:val="78201A97"/>
    <w:rsid w:val="782BDBF3"/>
    <w:rsid w:val="789C640B"/>
    <w:rsid w:val="78D973DE"/>
    <w:rsid w:val="79067689"/>
    <w:rsid w:val="79131DD9"/>
    <w:rsid w:val="79BFBECE"/>
    <w:rsid w:val="79F1425E"/>
    <w:rsid w:val="7A26F995"/>
    <w:rsid w:val="7A714D59"/>
    <w:rsid w:val="7AB9CD3C"/>
    <w:rsid w:val="7ACF446C"/>
    <w:rsid w:val="7B136399"/>
    <w:rsid w:val="7C3EBECA"/>
    <w:rsid w:val="7CB663A4"/>
    <w:rsid w:val="7CF75F90"/>
    <w:rsid w:val="7D00E0AD"/>
    <w:rsid w:val="7D2ECCD5"/>
    <w:rsid w:val="7D58CA67"/>
    <w:rsid w:val="7DD9E7AC"/>
    <w:rsid w:val="7ECE521E"/>
    <w:rsid w:val="7EF49AC8"/>
    <w:rsid w:val="7F75B80D"/>
    <w:rsid w:val="7FEE0466"/>
    <w:rsid w:val="7FF4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F14A"/>
  <w15:chartTrackingRefBased/>
  <w15:docId w15:val="{369542D6-1B6C-45B7-8941-D0EE8074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7F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4D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6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m2nHqJ1dduJMPg4DfHFSs-nNIBD7KL_B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Hegarty</dc:creator>
  <cp:keywords/>
  <dc:description/>
  <cp:lastModifiedBy>Lesley Gregory</cp:lastModifiedBy>
  <cp:revision>2</cp:revision>
  <dcterms:created xsi:type="dcterms:W3CDTF">2025-07-17T10:21:00Z</dcterms:created>
  <dcterms:modified xsi:type="dcterms:W3CDTF">2025-07-17T10:21:00Z</dcterms:modified>
</cp:coreProperties>
</file>