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2" w:rsidRDefault="009B262B">
      <w:pPr>
        <w:rPr>
          <w:rFonts w:ascii="Arial" w:hAnsi="Arial" w:cs="Arial"/>
          <w:b/>
          <w:sz w:val="24"/>
          <w:szCs w:val="24"/>
          <w:u w:val="single"/>
        </w:rPr>
      </w:pPr>
      <w:r w:rsidRPr="009B262B">
        <w:rPr>
          <w:rFonts w:ascii="Arial" w:hAnsi="Arial" w:cs="Arial"/>
          <w:b/>
          <w:sz w:val="24"/>
          <w:szCs w:val="24"/>
          <w:u w:val="single"/>
        </w:rPr>
        <w:t xml:space="preserve">Subject Leader Network meetings </w:t>
      </w:r>
      <w:proofErr w:type="gramStart"/>
      <w:r w:rsidRPr="009B262B">
        <w:rPr>
          <w:rFonts w:ascii="Arial" w:hAnsi="Arial" w:cs="Arial"/>
          <w:b/>
          <w:sz w:val="24"/>
          <w:szCs w:val="24"/>
          <w:u w:val="single"/>
        </w:rPr>
        <w:t>Autumn</w:t>
      </w:r>
      <w:proofErr w:type="gramEnd"/>
      <w:r w:rsidR="00E11892">
        <w:rPr>
          <w:rFonts w:ascii="Arial" w:hAnsi="Arial" w:cs="Arial"/>
          <w:b/>
          <w:sz w:val="24"/>
          <w:szCs w:val="24"/>
          <w:u w:val="single"/>
        </w:rPr>
        <w:t xml:space="preserve"> 2018 / Spring 2019</w:t>
      </w:r>
    </w:p>
    <w:p w:rsidR="009B262B" w:rsidRDefault="009B26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Focus of all meetings: </w:t>
      </w:r>
    </w:p>
    <w:p w:rsidR="00EA5890" w:rsidRPr="00AC2050" w:rsidRDefault="00AC2050">
      <w:pPr>
        <w:rPr>
          <w:rFonts w:ascii="Arial" w:hAnsi="Arial" w:cs="Arial"/>
          <w:sz w:val="24"/>
          <w:szCs w:val="24"/>
        </w:rPr>
      </w:pPr>
      <w:r w:rsidRPr="00AC2050">
        <w:rPr>
          <w:rFonts w:ascii="Arial" w:hAnsi="Arial" w:cs="Arial"/>
          <w:sz w:val="24"/>
          <w:szCs w:val="24"/>
        </w:rPr>
        <w:t>In order to continue to</w:t>
      </w:r>
      <w:r w:rsidR="00EA5890" w:rsidRPr="00AC2050">
        <w:rPr>
          <w:rFonts w:ascii="Arial" w:hAnsi="Arial" w:cs="Arial"/>
          <w:sz w:val="24"/>
          <w:szCs w:val="24"/>
        </w:rPr>
        <w:t xml:space="preserve"> </w:t>
      </w:r>
      <w:r w:rsidRPr="00AC2050">
        <w:rPr>
          <w:rFonts w:ascii="Arial" w:hAnsi="Arial" w:cs="Arial"/>
          <w:sz w:val="24"/>
          <w:szCs w:val="24"/>
        </w:rPr>
        <w:t>support schools in</w:t>
      </w:r>
      <w:r w:rsidR="00EA5890" w:rsidRPr="00AC2050">
        <w:rPr>
          <w:rFonts w:ascii="Arial" w:hAnsi="Arial" w:cs="Arial"/>
          <w:sz w:val="24"/>
          <w:szCs w:val="24"/>
        </w:rPr>
        <w:t xml:space="preserve"> develop</w:t>
      </w:r>
      <w:r w:rsidRPr="00AC2050">
        <w:rPr>
          <w:rFonts w:ascii="Arial" w:hAnsi="Arial" w:cs="Arial"/>
          <w:sz w:val="24"/>
          <w:szCs w:val="24"/>
        </w:rPr>
        <w:t>ing</w:t>
      </w:r>
      <w:r w:rsidR="00EA5890" w:rsidRPr="00AC2050">
        <w:rPr>
          <w:rFonts w:ascii="Arial" w:hAnsi="Arial" w:cs="Arial"/>
          <w:sz w:val="24"/>
          <w:szCs w:val="24"/>
        </w:rPr>
        <w:t xml:space="preserve"> a broad and balanced curriculum </w:t>
      </w:r>
      <w:r w:rsidRPr="00AC2050">
        <w:rPr>
          <w:rFonts w:ascii="Arial" w:hAnsi="Arial" w:cs="Arial"/>
          <w:sz w:val="24"/>
          <w:szCs w:val="24"/>
        </w:rPr>
        <w:t xml:space="preserve">offer, as well as supporting subject leaders in their preparation for the new inspection framework from September 2019, </w:t>
      </w:r>
      <w:r>
        <w:rPr>
          <w:rFonts w:ascii="Arial" w:hAnsi="Arial" w:cs="Arial"/>
          <w:sz w:val="24"/>
          <w:szCs w:val="24"/>
        </w:rPr>
        <w:t xml:space="preserve">Lancashire </w:t>
      </w:r>
      <w:r w:rsidR="00E1189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rofessional Development Service </w:t>
      </w:r>
      <w:r w:rsidRPr="00AC2050">
        <w:rPr>
          <w:rFonts w:ascii="Arial" w:hAnsi="Arial" w:cs="Arial"/>
          <w:sz w:val="24"/>
          <w:szCs w:val="24"/>
        </w:rPr>
        <w:t>a</w:t>
      </w:r>
      <w:r w:rsidR="00E11892">
        <w:rPr>
          <w:rFonts w:ascii="Arial" w:hAnsi="Arial" w:cs="Arial"/>
          <w:sz w:val="24"/>
          <w:szCs w:val="24"/>
        </w:rPr>
        <w:t>re running a series of Subject Leader N</w:t>
      </w:r>
      <w:r w:rsidRPr="00AC2050">
        <w:rPr>
          <w:rFonts w:ascii="Arial" w:hAnsi="Arial" w:cs="Arial"/>
          <w:sz w:val="24"/>
          <w:szCs w:val="24"/>
        </w:rPr>
        <w:t>etworks</w:t>
      </w:r>
      <w:r>
        <w:rPr>
          <w:rFonts w:ascii="Arial" w:hAnsi="Arial" w:cs="Arial"/>
          <w:sz w:val="24"/>
          <w:szCs w:val="24"/>
        </w:rPr>
        <w:t xml:space="preserve"> to unpick the significant subject specific issues. The focus for this term will be;</w:t>
      </w:r>
    </w:p>
    <w:p w:rsidR="009B262B" w:rsidRPr="009B262B" w:rsidRDefault="009B262B" w:rsidP="009B26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62B">
        <w:rPr>
          <w:rFonts w:ascii="Arial" w:hAnsi="Arial" w:cs="Arial"/>
          <w:sz w:val="24"/>
          <w:szCs w:val="24"/>
        </w:rPr>
        <w:t>Effective as</w:t>
      </w:r>
      <w:r w:rsidR="00EA5890">
        <w:rPr>
          <w:rFonts w:ascii="Arial" w:hAnsi="Arial" w:cs="Arial"/>
          <w:sz w:val="24"/>
          <w:szCs w:val="24"/>
        </w:rPr>
        <w:t>sessment within the Foundation Su</w:t>
      </w:r>
      <w:r w:rsidRPr="009B262B">
        <w:rPr>
          <w:rFonts w:ascii="Arial" w:hAnsi="Arial" w:cs="Arial"/>
          <w:sz w:val="24"/>
          <w:szCs w:val="24"/>
        </w:rPr>
        <w:t>bject</w:t>
      </w:r>
      <w:r w:rsidR="00AC2050">
        <w:rPr>
          <w:rFonts w:ascii="Arial" w:hAnsi="Arial" w:cs="Arial"/>
          <w:sz w:val="24"/>
          <w:szCs w:val="24"/>
        </w:rPr>
        <w:t>s</w:t>
      </w:r>
    </w:p>
    <w:p w:rsidR="009B262B" w:rsidRDefault="009B262B" w:rsidP="009B26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62B">
        <w:rPr>
          <w:rFonts w:ascii="Arial" w:hAnsi="Arial" w:cs="Arial"/>
          <w:sz w:val="24"/>
          <w:szCs w:val="24"/>
        </w:rPr>
        <w:t>Appropriate monitoring activit</w:t>
      </w:r>
      <w:r>
        <w:rPr>
          <w:rFonts w:ascii="Arial" w:hAnsi="Arial" w:cs="Arial"/>
          <w:sz w:val="24"/>
          <w:szCs w:val="24"/>
        </w:rPr>
        <w:t>i</w:t>
      </w:r>
      <w:r w:rsidRPr="009B262B">
        <w:rPr>
          <w:rFonts w:ascii="Arial" w:hAnsi="Arial" w:cs="Arial"/>
          <w:sz w:val="24"/>
          <w:szCs w:val="24"/>
        </w:rPr>
        <w:t>es to enable subject leaders to justify standards acr</w:t>
      </w:r>
      <w:r>
        <w:rPr>
          <w:rFonts w:ascii="Arial" w:hAnsi="Arial" w:cs="Arial"/>
          <w:sz w:val="24"/>
          <w:szCs w:val="24"/>
        </w:rPr>
        <w:t>oss the school in their subject.</w:t>
      </w:r>
    </w:p>
    <w:p w:rsidR="00AC2050" w:rsidRDefault="00AC2050" w:rsidP="009B26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share ideas and expertise from across the participating schools.</w:t>
      </w:r>
    </w:p>
    <w:p w:rsidR="00AC2050" w:rsidRDefault="00AC2050" w:rsidP="00AC2050">
      <w:pPr>
        <w:rPr>
          <w:rFonts w:ascii="Arial" w:hAnsi="Arial" w:cs="Arial"/>
          <w:sz w:val="24"/>
          <w:szCs w:val="24"/>
        </w:rPr>
      </w:pPr>
    </w:p>
    <w:p w:rsidR="00AC2050" w:rsidRPr="00457B2B" w:rsidRDefault="00E11892" w:rsidP="00AC2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round of the</w:t>
      </w:r>
      <w:r w:rsidR="00AC2050" w:rsidRPr="00457B2B">
        <w:rPr>
          <w:rFonts w:ascii="Arial" w:hAnsi="Arial" w:cs="Arial"/>
          <w:sz w:val="24"/>
          <w:szCs w:val="24"/>
        </w:rPr>
        <w:t xml:space="preserve"> Foundation Subject L</w:t>
      </w:r>
      <w:r w:rsidR="00C56533">
        <w:rPr>
          <w:rFonts w:ascii="Arial" w:hAnsi="Arial" w:cs="Arial"/>
          <w:sz w:val="24"/>
          <w:szCs w:val="24"/>
        </w:rPr>
        <w:t>eader Network meetings is</w:t>
      </w:r>
      <w:r w:rsidR="00AC2050" w:rsidRPr="00457B2B">
        <w:rPr>
          <w:rFonts w:ascii="Arial" w:hAnsi="Arial" w:cs="Arial"/>
          <w:sz w:val="24"/>
          <w:szCs w:val="24"/>
        </w:rPr>
        <w:t xml:space="preserve"> being held in two venues, one in the north of </w:t>
      </w:r>
      <w:r w:rsidR="00AC2050">
        <w:rPr>
          <w:rFonts w:ascii="Arial" w:hAnsi="Arial" w:cs="Arial"/>
          <w:sz w:val="24"/>
          <w:szCs w:val="24"/>
        </w:rPr>
        <w:t xml:space="preserve">the borough and the other in the south. This is to support staff in travelling after school to the venue. </w:t>
      </w:r>
      <w:r w:rsidR="00AC2050" w:rsidRPr="00E11892">
        <w:rPr>
          <w:rFonts w:ascii="Arial" w:hAnsi="Arial" w:cs="Arial"/>
          <w:b/>
          <w:sz w:val="24"/>
          <w:szCs w:val="24"/>
        </w:rPr>
        <w:t>The sessions are a repeat in each venue so staff can choose the venue that is best for them and only need to attend once</w:t>
      </w:r>
      <w:r w:rsidR="00AC2050">
        <w:rPr>
          <w:rFonts w:ascii="Arial" w:hAnsi="Arial" w:cs="Arial"/>
          <w:sz w:val="24"/>
          <w:szCs w:val="24"/>
        </w:rPr>
        <w:t>.</w:t>
      </w:r>
    </w:p>
    <w:p w:rsidR="009B262B" w:rsidRPr="00AC2050" w:rsidRDefault="009B262B" w:rsidP="00AC20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1985"/>
        <w:gridCol w:w="3402"/>
        <w:gridCol w:w="3402"/>
      </w:tblGrid>
      <w:tr w:rsidR="00457B2B" w:rsidTr="00E11892">
        <w:tc>
          <w:tcPr>
            <w:tcW w:w="1985" w:type="dxa"/>
          </w:tcPr>
          <w:p w:rsidR="00457B2B" w:rsidRPr="00EA5890" w:rsidRDefault="00457B2B" w:rsidP="009B2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589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5890">
              <w:rPr>
                <w:rFonts w:ascii="Arial" w:hAnsi="Arial" w:cs="Arial"/>
                <w:b/>
                <w:sz w:val="24"/>
                <w:szCs w:val="24"/>
              </w:rPr>
              <w:t>North</w:t>
            </w:r>
            <w:r w:rsidR="00E11892">
              <w:rPr>
                <w:rFonts w:ascii="Arial" w:hAnsi="Arial" w:cs="Arial"/>
                <w:b/>
                <w:sz w:val="24"/>
                <w:szCs w:val="24"/>
              </w:rPr>
              <w:t xml:space="preserve"> Venue</w:t>
            </w:r>
          </w:p>
          <w:p w:rsidR="00E11892" w:rsidRPr="00EA5890" w:rsidRDefault="00E11892" w:rsidP="009B2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Anchorsholme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Academy, </w:t>
            </w:r>
            <w:proofErr w:type="spellStart"/>
            <w:r>
              <w:rPr>
                <w:rFonts w:ascii="Calibri" w:hAnsi="Calibri"/>
                <w:color w:val="222222"/>
              </w:rPr>
              <w:t>Eastpines</w:t>
            </w:r>
            <w:proofErr w:type="spellEnd"/>
            <w:r>
              <w:rPr>
                <w:rFonts w:ascii="Calibri" w:hAnsi="Calibri"/>
                <w:color w:val="222222"/>
              </w:rPr>
              <w:t xml:space="preserve"> Dr, Blackpool, Thornton-Cleveleys FY5 3RX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5890">
              <w:rPr>
                <w:rFonts w:ascii="Arial" w:hAnsi="Arial" w:cs="Arial"/>
                <w:b/>
                <w:sz w:val="24"/>
                <w:szCs w:val="24"/>
              </w:rPr>
              <w:t>South</w:t>
            </w:r>
            <w:r w:rsidR="00E11892">
              <w:rPr>
                <w:rFonts w:ascii="Arial" w:hAnsi="Arial" w:cs="Arial"/>
                <w:b/>
                <w:sz w:val="24"/>
                <w:szCs w:val="24"/>
              </w:rPr>
              <w:t xml:space="preserve"> Venue</w:t>
            </w:r>
          </w:p>
          <w:p w:rsidR="00E11892" w:rsidRPr="00EA5890" w:rsidRDefault="00E11892" w:rsidP="009B2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Hawes Side Academy, </w:t>
            </w:r>
            <w:proofErr w:type="spellStart"/>
            <w:r>
              <w:rPr>
                <w:rFonts w:ascii="Calibri" w:hAnsi="Calibri" w:cs="Arial"/>
                <w:color w:val="222222"/>
              </w:rPr>
              <w:t>Johnsville</w:t>
            </w:r>
            <w:proofErr w:type="spellEnd"/>
            <w:r>
              <w:rPr>
                <w:rFonts w:ascii="Calibri" w:hAnsi="Calibri" w:cs="Arial"/>
                <w:color w:val="222222"/>
              </w:rPr>
              <w:t xml:space="preserve"> Ave, Blackpool FY4 3LN</w:t>
            </w:r>
          </w:p>
        </w:tc>
      </w:tr>
      <w:tr w:rsidR="00457B2B" w:rsidTr="00E11892">
        <w:tc>
          <w:tcPr>
            <w:tcW w:w="1985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57B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</w:tr>
      <w:tr w:rsidR="00457B2B" w:rsidTr="00E11892">
        <w:tc>
          <w:tcPr>
            <w:tcW w:w="1985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57B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  <w:tr w:rsidR="00457B2B" w:rsidTr="00E11892">
        <w:tc>
          <w:tcPr>
            <w:tcW w:w="1985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457B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Technology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</w:tr>
      <w:tr w:rsidR="00457B2B" w:rsidTr="00E11892">
        <w:tc>
          <w:tcPr>
            <w:tcW w:w="1985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57B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</w:tr>
      <w:tr w:rsidR="00457B2B" w:rsidTr="00E11892">
        <w:tc>
          <w:tcPr>
            <w:tcW w:w="1985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57B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3402" w:type="dxa"/>
          </w:tcPr>
          <w:p w:rsidR="00457B2B" w:rsidRDefault="00457B2B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Technology</w:t>
            </w:r>
          </w:p>
        </w:tc>
      </w:tr>
      <w:tr w:rsidR="00E11892" w:rsidTr="00E11892">
        <w:tc>
          <w:tcPr>
            <w:tcW w:w="1985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118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</w:tr>
      <w:tr w:rsidR="00E11892" w:rsidTr="00E11892">
        <w:tc>
          <w:tcPr>
            <w:tcW w:w="1985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E118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</w:tr>
      <w:tr w:rsidR="00E11892" w:rsidTr="00E11892">
        <w:tc>
          <w:tcPr>
            <w:tcW w:w="1985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E118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</w:tr>
      <w:tr w:rsidR="00E11892" w:rsidTr="00E11892">
        <w:tc>
          <w:tcPr>
            <w:tcW w:w="1985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18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3402" w:type="dxa"/>
          </w:tcPr>
          <w:p w:rsidR="00E11892" w:rsidRDefault="00E11892" w:rsidP="009B2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</w:tr>
    </w:tbl>
    <w:p w:rsidR="009B262B" w:rsidRDefault="009B262B" w:rsidP="009B262B">
      <w:pPr>
        <w:pStyle w:val="ListParagraph"/>
        <w:rPr>
          <w:rFonts w:ascii="Arial" w:hAnsi="Arial" w:cs="Arial"/>
          <w:sz w:val="24"/>
          <w:szCs w:val="24"/>
        </w:rPr>
      </w:pPr>
    </w:p>
    <w:p w:rsidR="00457B2B" w:rsidRDefault="00EA5890" w:rsidP="00EA5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sessions to be led by Lancashire Professional Development Service Teaching and Learning Consultants.</w:t>
      </w:r>
    </w:p>
    <w:p w:rsidR="00EA5890" w:rsidRDefault="00EA5890" w:rsidP="00EA5890">
      <w:pPr>
        <w:rPr>
          <w:rFonts w:ascii="Arial" w:hAnsi="Arial" w:cs="Arial"/>
          <w:sz w:val="24"/>
          <w:szCs w:val="24"/>
        </w:rPr>
      </w:pPr>
    </w:p>
    <w:p w:rsidR="00EA5890" w:rsidRDefault="00EA5890" w:rsidP="00EA5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sessions will run from 4.00 – 5.30pm</w:t>
      </w:r>
    </w:p>
    <w:sectPr w:rsidR="00EA5890" w:rsidSect="00AC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01B"/>
    <w:multiLevelType w:val="hybridMultilevel"/>
    <w:tmpl w:val="5D02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62B"/>
    <w:rsid w:val="000C4C6C"/>
    <w:rsid w:val="001129EF"/>
    <w:rsid w:val="00457B2B"/>
    <w:rsid w:val="00661629"/>
    <w:rsid w:val="008C13D1"/>
    <w:rsid w:val="009B262B"/>
    <w:rsid w:val="009B5FF8"/>
    <w:rsid w:val="00AC1885"/>
    <w:rsid w:val="00AC2050"/>
    <w:rsid w:val="00C56533"/>
    <w:rsid w:val="00E11892"/>
    <w:rsid w:val="00EA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2B"/>
    <w:pPr>
      <w:ind w:left="720"/>
      <w:contextualSpacing/>
    </w:pPr>
  </w:style>
  <w:style w:type="table" w:styleId="TableGrid">
    <w:name w:val="Table Grid"/>
    <w:basedOn w:val="TableNormal"/>
    <w:uiPriority w:val="39"/>
    <w:rsid w:val="009B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Pimlott, Lee</dc:creator>
  <cp:lastModifiedBy>Catherine</cp:lastModifiedBy>
  <cp:revision>2</cp:revision>
  <cp:lastPrinted>2018-09-25T07:58:00Z</cp:lastPrinted>
  <dcterms:created xsi:type="dcterms:W3CDTF">2018-09-25T08:33:00Z</dcterms:created>
  <dcterms:modified xsi:type="dcterms:W3CDTF">2018-09-25T08:33:00Z</dcterms:modified>
</cp:coreProperties>
</file>