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149" w:rsidRDefault="00B671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pPr w:leftFromText="180" w:rightFromText="180" w:vertAnchor="page" w:horzAnchor="margin" w:tblpY="1535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560"/>
        <w:gridCol w:w="1417"/>
        <w:gridCol w:w="2977"/>
        <w:gridCol w:w="5164"/>
      </w:tblGrid>
      <w:tr w:rsidR="00B67149">
        <w:tc>
          <w:tcPr>
            <w:tcW w:w="5807" w:type="dxa"/>
            <w:gridSpan w:val="3"/>
            <w:shd w:val="clear" w:color="auto" w:fill="DEEAF6"/>
          </w:tcPr>
          <w:p w:rsidR="00B67149" w:rsidRDefault="00612A03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>Our half term work has a History Focus</w:t>
            </w:r>
          </w:p>
          <w:p w:rsidR="00B67149" w:rsidRDefault="00B67149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41" w:type="dxa"/>
            <w:gridSpan w:val="2"/>
            <w:shd w:val="clear" w:color="auto" w:fill="DEEAF6"/>
          </w:tcPr>
          <w:p w:rsidR="00B67149" w:rsidRDefault="00612A03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As Historians we will be answering these questions:</w:t>
            </w:r>
          </w:p>
          <w:p w:rsidR="00B67149" w:rsidRDefault="00B67149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B67149">
        <w:trPr>
          <w:trHeight w:val="989"/>
        </w:trPr>
        <w:tc>
          <w:tcPr>
            <w:tcW w:w="2830" w:type="dxa"/>
            <w:shd w:val="clear" w:color="auto" w:fill="DEEAF6"/>
            <w:vAlign w:val="center"/>
          </w:tcPr>
          <w:p w:rsidR="00B67149" w:rsidRDefault="00612A0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Learning challenge:</w:t>
            </w:r>
          </w:p>
        </w:tc>
        <w:tc>
          <w:tcPr>
            <w:tcW w:w="2977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Were the Vikings always victorious and vicious?</w:t>
            </w:r>
          </w:p>
        </w:tc>
        <w:tc>
          <w:tcPr>
            <w:tcW w:w="8141" w:type="dxa"/>
            <w:gridSpan w:val="2"/>
            <w:vMerge w:val="restart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LC1 – Why did the Vikings come to Britain?</w:t>
            </w:r>
            <w:r>
              <w:rPr>
                <w:sz w:val="20"/>
              </w:rPr>
              <w:br/>
              <w:t>LC2 – Were the Vikings simply violent raiders?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LC3 – How did Alfred the Great resist the Vikings?</w:t>
            </w:r>
            <w:r>
              <w:rPr>
                <w:sz w:val="20"/>
              </w:rPr>
              <w:br/>
              <w:t>LC4 – How did Viking settlement change Britain?</w:t>
            </w:r>
            <w:r>
              <w:rPr>
                <w:sz w:val="20"/>
              </w:rPr>
              <w:br/>
              <w:t>LC5 – How did England become one kingdom?</w:t>
            </w:r>
            <w:r>
              <w:rPr>
                <w:sz w:val="20"/>
              </w:rPr>
              <w:br/>
              <w:t>LC6 – How did the Viking and Anglo-Saxon struggle end?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Enquiry: How did the Vikings change Britain, and who ultima</w:t>
            </w:r>
            <w:r>
              <w:rPr>
                <w:sz w:val="20"/>
              </w:rPr>
              <w:t>tely won the struggle for England?</w:t>
            </w:r>
          </w:p>
        </w:tc>
      </w:tr>
      <w:tr w:rsidR="00B67149">
        <w:trPr>
          <w:trHeight w:val="1176"/>
        </w:trPr>
        <w:tc>
          <w:tcPr>
            <w:tcW w:w="2830" w:type="dxa"/>
            <w:shd w:val="clear" w:color="auto" w:fill="DEEAF6"/>
            <w:vAlign w:val="center"/>
          </w:tcPr>
          <w:p w:rsidR="00B67149" w:rsidRDefault="00612A0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Wow moment</w:t>
            </w:r>
          </w:p>
        </w:tc>
        <w:tc>
          <w:tcPr>
            <w:tcW w:w="2977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Viking Workshop: exploring artefacts, Viking life and battle tactics.</w:t>
            </w:r>
          </w:p>
        </w:tc>
        <w:tc>
          <w:tcPr>
            <w:tcW w:w="8141" w:type="dxa"/>
            <w:gridSpan w:val="2"/>
            <w:vMerge/>
          </w:tcPr>
          <w:p w:rsidR="00B67149" w:rsidRDefault="00B67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67149">
        <w:trPr>
          <w:trHeight w:val="535"/>
        </w:trPr>
        <w:tc>
          <w:tcPr>
            <w:tcW w:w="4390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As writers:  </w:t>
            </w:r>
          </w:p>
          <w:p w:rsidR="00B67149" w:rsidRDefault="00B67149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394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spellers:</w:t>
            </w:r>
          </w:p>
        </w:tc>
        <w:tc>
          <w:tcPr>
            <w:tcW w:w="5164" w:type="dxa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As editors:   </w:t>
            </w:r>
          </w:p>
        </w:tc>
      </w:tr>
      <w:tr w:rsidR="00B67149">
        <w:tc>
          <w:tcPr>
            <w:tcW w:w="4390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We will be able to:</w:t>
            </w:r>
            <w:r>
              <w:rPr>
                <w:sz w:val="20"/>
              </w:rPr>
              <w:br/>
              <w:t xml:space="preserve">• Write atmospheric setting descriptions inspired by Dracula’s Whitby, </w:t>
            </w:r>
            <w:r>
              <w:rPr>
                <w:sz w:val="20"/>
              </w:rPr>
              <w:t>choosing precise vocabulary and figurative language.</w:t>
            </w:r>
            <w:r>
              <w:rPr>
                <w:sz w:val="20"/>
              </w:rPr>
              <w:br/>
              <w:t>• Plan, organise and write a non-chronological report about wolves, using headings, factual language and cohesive paragraphs.</w:t>
            </w:r>
            <w:r>
              <w:rPr>
                <w:sz w:val="20"/>
              </w:rPr>
              <w:br/>
              <w:t>• Adapt language and sentence structures for purpose and audience.</w:t>
            </w:r>
            <w:r>
              <w:rPr>
                <w:sz w:val="20"/>
              </w:rPr>
              <w:br/>
              <w:t>• Draft, p</w:t>
            </w:r>
            <w:r>
              <w:rPr>
                <w:sz w:val="20"/>
              </w:rPr>
              <w:t>roofread and edit for clarity, accuracy and effect.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Descriptive writing uses sensory detail, imagery and carefully selected verbs to create atmosphere.</w:t>
            </w:r>
            <w:r>
              <w:rPr>
                <w:sz w:val="20"/>
              </w:rPr>
              <w:br/>
              <w:t xml:space="preserve">• Non-chronological reports group factual information under clear subheadings and use </w:t>
            </w:r>
            <w:r>
              <w:rPr>
                <w:sz w:val="20"/>
              </w:rPr>
              <w:t>formal, objective language.</w:t>
            </w:r>
          </w:p>
        </w:tc>
        <w:tc>
          <w:tcPr>
            <w:tcW w:w="4394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We will be able to:</w:t>
            </w:r>
            <w:r>
              <w:rPr>
                <w:sz w:val="20"/>
              </w:rPr>
              <w:br/>
              <w:t>• Apply Year 5/6 spelling patterns and statutory words in independent writing.</w:t>
            </w:r>
            <w:r>
              <w:rPr>
                <w:sz w:val="20"/>
              </w:rPr>
              <w:br/>
              <w:t>• Use dictionaries, word families and morphology to check unfamiliar spellings.</w:t>
            </w:r>
            <w:r>
              <w:rPr>
                <w:sz w:val="20"/>
              </w:rPr>
              <w:br/>
              <w:t>• Identify and distinguish homophones and near-ho</w:t>
            </w:r>
            <w:r>
              <w:rPr>
                <w:sz w:val="20"/>
              </w:rPr>
              <w:t>mophones.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Prefixes, suffixes and word roots help explain spelling and meaning.</w:t>
            </w:r>
            <w:r>
              <w:rPr>
                <w:sz w:val="20"/>
              </w:rPr>
              <w:br/>
              <w:t>• Proofreading helps identify and correct spelling errors.</w:t>
            </w:r>
          </w:p>
        </w:tc>
        <w:tc>
          <w:tcPr>
            <w:tcW w:w="5164" w:type="dxa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Grammar and punctuation</w:t>
            </w:r>
            <w:r>
              <w:rPr>
                <w:sz w:val="20"/>
              </w:rPr>
              <w:br/>
              <w:t>We will be able to:</w:t>
            </w:r>
            <w:r>
              <w:rPr>
                <w:sz w:val="20"/>
              </w:rPr>
              <w:br/>
              <w:t>• Apply knowledge of word classes and punctuation when d</w:t>
            </w:r>
            <w:r>
              <w:rPr>
                <w:sz w:val="20"/>
              </w:rPr>
              <w:t>rafting and editing.</w:t>
            </w:r>
            <w:r>
              <w:rPr>
                <w:sz w:val="20"/>
              </w:rPr>
              <w:br/>
              <w:t>• Improve sentence construction and choose punctuation for clarity and effect.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Nouns, verbs, adjectives, adverbs and other word classes have different grammatical functions.</w:t>
            </w:r>
            <w:r>
              <w:rPr>
                <w:sz w:val="20"/>
              </w:rPr>
              <w:br/>
              <w:t>• Main and subordinate clauses can be combi</w:t>
            </w:r>
            <w:r>
              <w:rPr>
                <w:sz w:val="20"/>
              </w:rPr>
              <w:t>ned for variety and cohesion.</w:t>
            </w:r>
            <w:r>
              <w:rPr>
                <w:sz w:val="20"/>
              </w:rPr>
              <w:br/>
              <w:t>• Commas, colons, semicolons and dashes can clarify meaning where appropriate.</w:t>
            </w:r>
          </w:p>
        </w:tc>
      </w:tr>
      <w:tr w:rsidR="00B67149">
        <w:tc>
          <w:tcPr>
            <w:tcW w:w="4390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Communicators:</w:t>
            </w:r>
          </w:p>
        </w:tc>
        <w:tc>
          <w:tcPr>
            <w:tcW w:w="4394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As scribes: </w:t>
            </w:r>
          </w:p>
        </w:tc>
        <w:tc>
          <w:tcPr>
            <w:tcW w:w="5164" w:type="dxa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As readers: </w:t>
            </w:r>
          </w:p>
          <w:p w:rsidR="00B67149" w:rsidRDefault="00B67149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B67149">
        <w:tc>
          <w:tcPr>
            <w:tcW w:w="4390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Speaking and listening</w:t>
            </w:r>
            <w:r>
              <w:rPr>
                <w:sz w:val="20"/>
              </w:rPr>
              <w:br/>
              <w:t>We will be able to: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 xml:space="preserve">• Read aloud fluently with expression, pace and clear </w:t>
            </w:r>
            <w:r>
              <w:rPr>
                <w:sz w:val="20"/>
              </w:rPr>
              <w:t>pronunciation.</w:t>
            </w:r>
            <w:r>
              <w:rPr>
                <w:sz w:val="20"/>
              </w:rPr>
              <w:br/>
              <w:t>• Explain and justify opinions using evidence from texts.</w:t>
            </w:r>
            <w:r>
              <w:rPr>
                <w:sz w:val="20"/>
              </w:rPr>
              <w:br/>
              <w:t>• Listen carefully, build on others’ ideas and participate in discussions.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Tone, volume and emphasis influence meaning.</w:t>
            </w:r>
            <w:r>
              <w:rPr>
                <w:sz w:val="20"/>
              </w:rPr>
              <w:br/>
              <w:t xml:space="preserve">• Effective discussion involves turn-taking, </w:t>
            </w:r>
            <w:r>
              <w:rPr>
                <w:sz w:val="20"/>
              </w:rPr>
              <w:t>respectful listening and relevant responses.</w:t>
            </w:r>
          </w:p>
        </w:tc>
        <w:tc>
          <w:tcPr>
            <w:tcW w:w="4394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lastRenderedPageBreak/>
              <w:t>Handwriting</w:t>
            </w:r>
            <w:r>
              <w:rPr>
                <w:sz w:val="20"/>
              </w:rPr>
              <w:br/>
              <w:t>We will be able to: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• Develop consistent, fluent and legible joined handwriting.</w:t>
            </w:r>
            <w:r>
              <w:rPr>
                <w:sz w:val="20"/>
              </w:rPr>
              <w:br/>
              <w:t>• Apply accurate letter formation, spacing and presentation across written work.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Correct joins, cons</w:t>
            </w:r>
            <w:r>
              <w:rPr>
                <w:sz w:val="20"/>
              </w:rPr>
              <w:t>istent letter size and appropriate spacing support fluency.</w:t>
            </w:r>
            <w:r>
              <w:rPr>
                <w:sz w:val="20"/>
              </w:rPr>
              <w:br/>
              <w:t>• Regular practice improves automaticity and stamina.</w:t>
            </w:r>
          </w:p>
        </w:tc>
        <w:tc>
          <w:tcPr>
            <w:tcW w:w="5164" w:type="dxa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lastRenderedPageBreak/>
              <w:t>We will read: The Wolf Wilder and Robin Hood.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We will be able to:</w:t>
            </w:r>
            <w:r>
              <w:rPr>
                <w:sz w:val="20"/>
              </w:rPr>
              <w:br/>
              <w:t>• Read and discuss increasingly challenging fiction and non-fiction.</w:t>
            </w:r>
            <w:r>
              <w:rPr>
                <w:sz w:val="20"/>
              </w:rPr>
              <w:br/>
              <w:t>• Retr</w:t>
            </w:r>
            <w:r>
              <w:rPr>
                <w:sz w:val="20"/>
              </w:rPr>
              <w:t>ieve and summarise key information accurately.</w:t>
            </w:r>
            <w:r>
              <w:rPr>
                <w:sz w:val="20"/>
              </w:rPr>
              <w:br/>
              <w:t>• Infer characters’ feelings, motives and attitudes, justifying ideas with evidence.</w:t>
            </w:r>
            <w:r>
              <w:rPr>
                <w:sz w:val="20"/>
              </w:rPr>
              <w:br/>
              <w:t>• Explore themes, vocabulary, language choices and authorial intent.</w:t>
            </w:r>
            <w:r>
              <w:rPr>
                <w:sz w:val="20"/>
              </w:rPr>
              <w:br/>
              <w:t>• Predict and compare events, characters and viewpoints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Evidence from a text supports interpretations.</w:t>
            </w:r>
            <w:r>
              <w:rPr>
                <w:sz w:val="20"/>
              </w:rPr>
              <w:br/>
              <w:t>• Context and vocabulary choices help shape meaning.</w:t>
            </w:r>
          </w:p>
        </w:tc>
      </w:tr>
      <w:tr w:rsidR="00B67149">
        <w:tc>
          <w:tcPr>
            <w:tcW w:w="4390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As Mathematicians:</w:t>
            </w:r>
          </w:p>
        </w:tc>
        <w:tc>
          <w:tcPr>
            <w:tcW w:w="4394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scientists:</w:t>
            </w:r>
          </w:p>
        </w:tc>
        <w:tc>
          <w:tcPr>
            <w:tcW w:w="5164" w:type="dxa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artists:</w:t>
            </w:r>
          </w:p>
          <w:p w:rsidR="00B67149" w:rsidRDefault="00B67149">
            <w:pPr>
              <w:rPr>
                <w:rFonts w:ascii="Arial" w:eastAsia="Arial" w:hAnsi="Arial" w:cs="Arial"/>
              </w:rPr>
            </w:pPr>
          </w:p>
        </w:tc>
      </w:tr>
      <w:tr w:rsidR="00B67149">
        <w:tc>
          <w:tcPr>
            <w:tcW w:w="4390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We will be able to:</w:t>
            </w:r>
            <w:r>
              <w:rPr>
                <w:sz w:val="20"/>
              </w:rPr>
              <w:br/>
              <w:t>• Recognise, simplify and find equivalent fractions.</w:t>
            </w:r>
            <w:r>
              <w:rPr>
                <w:sz w:val="20"/>
              </w:rPr>
              <w:br/>
              <w:t xml:space="preserve">• Compare and </w:t>
            </w:r>
            <w:r>
              <w:rPr>
                <w:sz w:val="20"/>
              </w:rPr>
              <w:t>order fractions using common denominators or numerators.</w:t>
            </w:r>
            <w:r>
              <w:rPr>
                <w:sz w:val="20"/>
              </w:rPr>
              <w:br/>
              <w:t>• Add and subtract fractions, including mixed numbers.</w:t>
            </w:r>
            <w:r>
              <w:rPr>
                <w:sz w:val="20"/>
              </w:rPr>
              <w:br/>
              <w:t>• Multiply and divide fractions, applying efficient methods.</w:t>
            </w:r>
            <w:r>
              <w:rPr>
                <w:sz w:val="20"/>
              </w:rPr>
              <w:br/>
              <w:t>• Solve multi-step fraction problems and explain reasoning.</w:t>
            </w:r>
            <w:r>
              <w:rPr>
                <w:sz w:val="20"/>
              </w:rPr>
              <w:br/>
              <w:t>• Convert between metri</w:t>
            </w:r>
            <w:r>
              <w:rPr>
                <w:sz w:val="20"/>
              </w:rPr>
              <w:t>c units and solve measurement problems.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Equivalent fractions represent the same value.</w:t>
            </w:r>
            <w:r>
              <w:rPr>
                <w:sz w:val="20"/>
              </w:rPr>
              <w:br/>
              <w:t>• Common denominators support comparison and addition/subtraction.</w:t>
            </w:r>
            <w:r>
              <w:rPr>
                <w:sz w:val="20"/>
              </w:rPr>
              <w:br/>
              <w:t>• Fraction operations and unit conversions can be checked for reasonableness.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White</w:t>
            </w:r>
            <w:r>
              <w:rPr>
                <w:sz w:val="20"/>
              </w:rPr>
              <w:t xml:space="preserve"> Rose: Fractions A (3 weeks), Fractions B (2 weeks), Converting units (2 weeks).</w:t>
            </w:r>
          </w:p>
        </w:tc>
        <w:tc>
          <w:tcPr>
            <w:tcW w:w="4394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lastRenderedPageBreak/>
              <w:t>We will be able to:</w:t>
            </w:r>
            <w:r>
              <w:rPr>
                <w:sz w:val="20"/>
              </w:rPr>
              <w:br/>
              <w:t>• Construct and represent series circuits using recognised symbols.</w:t>
            </w:r>
            <w:r>
              <w:rPr>
                <w:sz w:val="20"/>
              </w:rPr>
              <w:br/>
              <w:t>• Identify complete and incomplete circuits and explain how components affect them.</w:t>
            </w:r>
            <w:r>
              <w:rPr>
                <w:sz w:val="20"/>
              </w:rPr>
              <w:br/>
              <w:t xml:space="preserve">• </w:t>
            </w:r>
            <w:r>
              <w:rPr>
                <w:sz w:val="20"/>
              </w:rPr>
              <w:t>Plan, carry out and evaluate a fair investigation into the effect of voltage.</w:t>
            </w:r>
            <w:r>
              <w:rPr>
                <w:sz w:val="20"/>
              </w:rPr>
              <w:br/>
              <w:t>• Explain what renewable energy is and compare it with fossil fuels.</w:t>
            </w:r>
            <w:r>
              <w:rPr>
                <w:sz w:val="20"/>
              </w:rPr>
              <w:br/>
              <w:t>• Explore the use of solar and wind power to generate electricity.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A complete circuit is ne</w:t>
            </w:r>
            <w:r>
              <w:rPr>
                <w:sz w:val="20"/>
              </w:rPr>
              <w:t>eded for components to operate.</w:t>
            </w:r>
            <w:r>
              <w:rPr>
                <w:sz w:val="20"/>
              </w:rPr>
              <w:br/>
              <w:t>• Increasing the number of cells can affect the brightness of a lamp or volume of a buzzer.</w:t>
            </w:r>
            <w:r>
              <w:rPr>
                <w:sz w:val="20"/>
              </w:rPr>
              <w:br/>
              <w:t>• Circuit diagrams use standard symbols.</w:t>
            </w:r>
            <w:r>
              <w:rPr>
                <w:sz w:val="20"/>
              </w:rPr>
              <w:br/>
              <w:t xml:space="preserve">• Renewable energy sources can be replenished naturally; energy choices have environmental </w:t>
            </w:r>
            <w:r>
              <w:rPr>
                <w:sz w:val="20"/>
              </w:rPr>
              <w:t>advantages and disadvantages.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br/>
              <w:t>White Rose Science: Electricity (6 steps) and Renewable Energy (2 steps).</w:t>
            </w:r>
          </w:p>
        </w:tc>
        <w:tc>
          <w:tcPr>
            <w:tcW w:w="5164" w:type="dxa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lastRenderedPageBreak/>
              <w:t>We will be able to:</w:t>
            </w:r>
            <w:r>
              <w:rPr>
                <w:sz w:val="20"/>
              </w:rPr>
              <w:br/>
              <w:t>• Explore visual ideas and apply drawing skills to communicate meaning.</w:t>
            </w:r>
            <w:r>
              <w:rPr>
                <w:sz w:val="20"/>
              </w:rPr>
              <w:br/>
              <w:t>• Reflect on and evaluate the effectiveness of our artwork.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Line, tone, contrast and composition can influence the mood of an image.</w:t>
            </w:r>
            <w:r>
              <w:rPr>
                <w:sz w:val="20"/>
              </w:rPr>
              <w:br/>
              <w:t>• Artists select techniques and materials to communicate ideas.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Art focus: continue or consolidate drawing work as appropriate to the school sequence; the long-ter</w:t>
            </w:r>
            <w:r>
              <w:rPr>
                <w:sz w:val="20"/>
              </w:rPr>
              <w:t>m plan does not specify a separate Autumn 2 art unit.</w:t>
            </w:r>
          </w:p>
        </w:tc>
      </w:tr>
      <w:tr w:rsidR="00B67149">
        <w:tc>
          <w:tcPr>
            <w:tcW w:w="4390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Computer Programmers:</w:t>
            </w:r>
          </w:p>
          <w:p w:rsidR="00B67149" w:rsidRDefault="00B67149">
            <w:pPr>
              <w:rPr>
                <w:rFonts w:ascii="Arial" w:eastAsia="Arial" w:hAnsi="Arial" w:cs="Arial"/>
              </w:rPr>
            </w:pPr>
          </w:p>
        </w:tc>
        <w:tc>
          <w:tcPr>
            <w:tcW w:w="4394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Theologians:</w:t>
            </w:r>
          </w:p>
          <w:p w:rsidR="00B67149" w:rsidRDefault="00B67149">
            <w:pPr>
              <w:rPr>
                <w:rFonts w:ascii="Arial" w:eastAsia="Arial" w:hAnsi="Arial" w:cs="Arial"/>
              </w:rPr>
            </w:pPr>
          </w:p>
        </w:tc>
        <w:tc>
          <w:tcPr>
            <w:tcW w:w="5164" w:type="dxa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Athletes:</w:t>
            </w:r>
          </w:p>
          <w:p w:rsidR="00B67149" w:rsidRDefault="00B67149">
            <w:pPr>
              <w:rPr>
                <w:rFonts w:ascii="Arial" w:eastAsia="Arial" w:hAnsi="Arial" w:cs="Arial"/>
              </w:rPr>
            </w:pPr>
          </w:p>
        </w:tc>
      </w:tr>
      <w:tr w:rsidR="00B67149">
        <w:tc>
          <w:tcPr>
            <w:tcW w:w="4390" w:type="dxa"/>
            <w:gridSpan w:val="2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We will be able to:</w:t>
            </w:r>
            <w:r>
              <w:rPr>
                <w:sz w:val="20"/>
              </w:rPr>
              <w:br/>
              <w:t>Networks</w:t>
            </w:r>
            <w:r>
              <w:rPr>
                <w:sz w:val="20"/>
              </w:rPr>
              <w:br/>
              <w:t>• Identify computer networks at home, school and in the wider world.</w:t>
            </w:r>
            <w:r>
              <w:rPr>
                <w:sz w:val="20"/>
              </w:rPr>
              <w:br/>
              <w:t>• Explain the difference between the internet</w:t>
            </w:r>
            <w:r>
              <w:rPr>
                <w:sz w:val="20"/>
              </w:rPr>
              <w:t xml:space="preserve"> and the World Wide Web.</w:t>
            </w:r>
            <w:r>
              <w:rPr>
                <w:sz w:val="20"/>
              </w:rPr>
              <w:br/>
              <w:t>• Communicate and collaborate online safely and respectfully.</w:t>
            </w:r>
            <w:r>
              <w:rPr>
                <w:sz w:val="20"/>
              </w:rPr>
              <w:br/>
              <w:t>• Discuss internet governance, rules, filtering and website blocking.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Graphing</w:t>
            </w:r>
            <w:r>
              <w:rPr>
                <w:sz w:val="20"/>
              </w:rPr>
              <w:br/>
              <w:t>• Create comparative bar charts, pie charts and line graphs using 2Graph and 2Calculate.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• Choose appropriate graph types to present data clearly.</w:t>
            </w:r>
            <w:r>
              <w:rPr>
                <w:sz w:val="20"/>
              </w:rPr>
              <w:br/>
              <w:t>• Use graphs and data to support an argument.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Networks connect devices and enable information sharing.</w:t>
            </w:r>
            <w:r>
              <w:rPr>
                <w:sz w:val="20"/>
              </w:rPr>
              <w:br/>
              <w:t>• The Web is one service that uses the internet.</w:t>
            </w:r>
            <w:r>
              <w:rPr>
                <w:sz w:val="20"/>
              </w:rPr>
              <w:br/>
              <w:t>• Digital communication requ</w:t>
            </w:r>
            <w:r>
              <w:rPr>
                <w:sz w:val="20"/>
              </w:rPr>
              <w:t>ires privacy, safety and respect.</w:t>
            </w:r>
            <w:r>
              <w:rPr>
                <w:sz w:val="20"/>
              </w:rPr>
              <w:br/>
              <w:t>• Different graphs reveal different patterns and comparisons.</w:t>
            </w:r>
          </w:p>
        </w:tc>
        <w:tc>
          <w:tcPr>
            <w:tcW w:w="4394" w:type="dxa"/>
            <w:gridSpan w:val="2"/>
          </w:tcPr>
          <w:p w:rsidR="00B67149" w:rsidRDefault="00612A03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We will be able to:</w:t>
            </w:r>
          </w:p>
          <w:p w:rsidR="00B67149" w:rsidRDefault="00612A03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We can think about the following key question: 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>What do religions say to use when life gets hard?</w:t>
            </w:r>
          </w:p>
          <w:p w:rsidR="00B67149" w:rsidRDefault="00B67149">
            <w:pPr>
              <w:rPr>
                <w:rFonts w:ascii="Arial" w:eastAsia="Arial" w:hAnsi="Arial" w:cs="Arial"/>
                <w:color w:val="000000"/>
              </w:rPr>
            </w:pPr>
          </w:p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Key knowledge: </w:t>
            </w:r>
          </w:p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• Express ideas about how and why religion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can help believers when times are hard,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giving examples (B2).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• Outline Christian, Hindu and/or non-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religious beliefs about life after death (A1).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• Explain some similarities and differences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between beliefs about life after death (B2).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• Explain some reasons why Christians and</w:t>
            </w:r>
            <w:r>
              <w:rPr>
                <w:rFonts w:ascii="Arial" w:eastAsia="Arial" w:hAnsi="Arial" w:cs="Arial"/>
                <w:color w:val="222222"/>
              </w:rPr>
              <w:br/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Humanists have different ideas about an</w:t>
            </w:r>
            <w:r>
              <w:rPr>
                <w:rFonts w:ascii="Arial" w:eastAsia="Arial" w:hAnsi="Arial" w:cs="Arial"/>
                <w:color w:val="222222"/>
              </w:rPr>
              <w:t xml:space="preserve"> </w:t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afterlife.</w:t>
            </w:r>
          </w:p>
          <w:p w:rsidR="00B67149" w:rsidRDefault="00B67149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164" w:type="dxa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t>We will be able to:</w:t>
            </w:r>
            <w:r>
              <w:rPr>
                <w:sz w:val="20"/>
              </w:rPr>
              <w:br/>
              <w:t>• Develop control, balance, sequencing and coordination through gymnastics.</w:t>
            </w:r>
            <w:r>
              <w:rPr>
                <w:sz w:val="20"/>
              </w:rPr>
              <w:br/>
              <w:t>• Apply movement, throwing, catching and evasion skills in dodgeball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br/>
              <w:t>• Work cooperatively, follow rules and evaluate performance.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Safe technique, spatial awareness and warm-ups reduce injury risk.</w:t>
            </w:r>
            <w:r>
              <w:rPr>
                <w:sz w:val="20"/>
              </w:rPr>
              <w:br/>
              <w:t>• Constructive feedback and practice help improve performance.</w:t>
            </w:r>
            <w:r>
              <w:rPr>
                <w:sz w:val="20"/>
              </w:rPr>
              <w:br/>
              <w:t>• Respect, teamwork and fair play are essenti</w:t>
            </w:r>
            <w:r>
              <w:rPr>
                <w:sz w:val="20"/>
              </w:rPr>
              <w:t>al in competitive games.</w:t>
            </w:r>
          </w:p>
        </w:tc>
      </w:tr>
      <w:tr w:rsidR="00B67149">
        <w:tc>
          <w:tcPr>
            <w:tcW w:w="4390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 Citizens:</w:t>
            </w:r>
          </w:p>
          <w:p w:rsidR="00B67149" w:rsidRDefault="00B6714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 Musicians:</w:t>
            </w:r>
          </w:p>
          <w:p w:rsidR="00B67149" w:rsidRDefault="00B6714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164" w:type="dxa"/>
            <w:shd w:val="clear" w:color="auto" w:fill="DEEAF6"/>
          </w:tcPr>
          <w:p w:rsidR="00B67149" w:rsidRDefault="00612A0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 Language Specialists:</w:t>
            </w:r>
          </w:p>
          <w:p w:rsidR="00B67149" w:rsidRDefault="00B6714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B67149">
        <w:tc>
          <w:tcPr>
            <w:tcW w:w="4390" w:type="dxa"/>
            <w:gridSpan w:val="2"/>
          </w:tcPr>
          <w:p w:rsidR="00CA394C" w:rsidRDefault="005E1B22">
            <w:pPr>
              <w:spacing w:after="80"/>
            </w:pPr>
            <w:r>
              <w:t>We will be able to:</w:t>
            </w:r>
            <w:r>
              <w:br/>
              <w:t xml:space="preserve">• Recognise and describe emotions in </w:t>
            </w:r>
            <w:r>
              <w:lastRenderedPageBreak/>
              <w:t>different situations and understand that feelings can change.</w:t>
            </w:r>
            <w:r>
              <w:br/>
              <w:t>• Identify our Happy Place, Middle Place and Busy Place</w:t>
            </w:r>
            <w:r>
              <w:t xml:space="preserve"> using myHappymind Places.</w:t>
            </w:r>
            <w:r>
              <w:br/>
              <w:t>• Explore and choose strategies to regulate our emotions and know when to ask a trusted adult for help.</w:t>
            </w:r>
            <w:r>
              <w:br/>
              <w:t>• Create a personalised myHappymind Places map and reflect on which strategies help us.</w:t>
            </w:r>
            <w:r>
              <w:br/>
              <w:t>• Celebrate our character strengths a</w:t>
            </w:r>
            <w:r>
              <w:t>nd the strengths of others.</w:t>
            </w:r>
            <w:r>
              <w:br/>
              <w:t>• Show respect, take responsibility and respond appropriately to hurtful behaviour.</w:t>
            </w:r>
            <w:r>
              <w:br/>
            </w:r>
            <w:r>
              <w:br/>
              <w:t>Key knowledge:</w:t>
            </w:r>
            <w:r>
              <w:br/>
              <w:t>• Team H-A-P includes the Hippocampus, Amygdala and Prefrontal Cortex.</w:t>
            </w:r>
            <w:r>
              <w:br/>
              <w:t>• Different emotions affect how we think, feel and behave</w:t>
            </w:r>
            <w:r>
              <w:t>; no Place is ‘bad’.</w:t>
            </w:r>
            <w:r>
              <w:br/>
              <w:t>• Happy Breathing, positive self-talk, talking to someone and other strategies can help us move towards our Happy Place.</w:t>
            </w:r>
            <w:r>
              <w:br/>
              <w:t>• Everyone can develop emotional awareness, self-regulation and respectful relationships.</w:t>
            </w:r>
          </w:p>
        </w:tc>
        <w:tc>
          <w:tcPr>
            <w:tcW w:w="4394" w:type="dxa"/>
            <w:gridSpan w:val="2"/>
          </w:tcPr>
          <w:p w:rsidR="00CA394C" w:rsidRDefault="005E1B22">
            <w:pPr>
              <w:spacing w:after="80"/>
            </w:pPr>
            <w:r>
              <w:lastRenderedPageBreak/>
              <w:t>We will be able to:</w:t>
            </w:r>
            <w:r>
              <w:br/>
              <w:t>• Li</w:t>
            </w:r>
            <w:r>
              <w:t xml:space="preserve">sten to and appraise the pieces ‘Bacharach </w:t>
            </w:r>
            <w:r>
              <w:lastRenderedPageBreak/>
              <w:t>Anorak’ and ‘Meet The Blues’, alongside supporting tunes.</w:t>
            </w:r>
            <w:r>
              <w:br/>
              <w:t>• Develop our understanding of the interrelated dimensions of music through listening and musical activities.</w:t>
            </w:r>
            <w:r>
              <w:br/>
              <w:t>• Play instruments and practise musical ideas</w:t>
            </w:r>
            <w:r>
              <w:t xml:space="preserve"> with increasing confidence and accuracy.</w:t>
            </w:r>
            <w:r>
              <w:br/>
              <w:t>• Improvise musical responses and share our ideas with others.</w:t>
            </w:r>
            <w:r>
              <w:br/>
              <w:t>• Rehearse, perform and share music as part of a group.</w:t>
            </w:r>
            <w:r>
              <w:br/>
            </w:r>
            <w:r>
              <w:br/>
              <w:t>Key knowledge:</w:t>
            </w:r>
            <w:r>
              <w:br/>
              <w:t>• Classroom Jazz 2 is a six-week unit built around ‘Bacharach Anorak’ and ‘Meet</w:t>
            </w:r>
            <w:r>
              <w:t xml:space="preserve"> The Blues’.</w:t>
            </w:r>
            <w:r>
              <w:br/>
              <w:t>• Listening and appraising help us recognise and discuss musical features.</w:t>
            </w:r>
            <w:r>
              <w:br/>
              <w:t>• Improvisation involves creating musical ideas in the moment.</w:t>
            </w:r>
            <w:r>
              <w:br/>
              <w:t>• Performing and sharing provide opportunities to communicate and evaluate musical learning.</w:t>
            </w:r>
          </w:p>
        </w:tc>
        <w:tc>
          <w:tcPr>
            <w:tcW w:w="5164" w:type="dxa"/>
          </w:tcPr>
          <w:p w:rsidR="00CA394C" w:rsidRDefault="005E1B22">
            <w:pPr>
              <w:spacing w:after="80"/>
            </w:pPr>
            <w:r>
              <w:rPr>
                <w:sz w:val="20"/>
              </w:rPr>
              <w:lastRenderedPageBreak/>
              <w:t>Spanish: Hom</w:t>
            </w:r>
            <w:r>
              <w:rPr>
                <w:sz w:val="20"/>
              </w:rPr>
              <w:t>es and houses</w:t>
            </w:r>
            <w:r>
              <w:rPr>
                <w:sz w:val="20"/>
              </w:rPr>
              <w:br/>
              <w:t>We will be able to: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>• Name rooms and furniture in Spanish.</w:t>
            </w:r>
            <w:r>
              <w:rPr>
                <w:sz w:val="20"/>
              </w:rPr>
              <w:br/>
              <w:t>• Read, say and write simple sentences describing a house using nouns and adjectives.</w:t>
            </w:r>
            <w:r>
              <w:rPr>
                <w:sz w:val="20"/>
              </w:rPr>
              <w:br/>
              <w:t>• Use prepositions to explain where things are.</w:t>
            </w:r>
            <w:r>
              <w:rPr>
                <w:sz w:val="20"/>
              </w:rPr>
              <w:br/>
              <w:t>• Explore castle vocabulary and create a short ca</w:t>
            </w:r>
            <w:r>
              <w:rPr>
                <w:sz w:val="20"/>
              </w:rPr>
              <w:t>stle-inspired story.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Key knowledge:</w:t>
            </w:r>
            <w:r>
              <w:rPr>
                <w:sz w:val="20"/>
              </w:rPr>
              <w:br/>
              <w:t>• Spanish nouns and adjectives can be combined to describe rooms.</w:t>
            </w:r>
            <w:r>
              <w:rPr>
                <w:sz w:val="20"/>
              </w:rPr>
              <w:br/>
              <w:t>• Prepositions help answer questions about location.</w:t>
            </w:r>
            <w:r>
              <w:rPr>
                <w:sz w:val="20"/>
              </w:rPr>
              <w:br/>
              <w:t>• Spanish castles and homes provide a cultural context for language learning.</w:t>
            </w:r>
          </w:p>
        </w:tc>
      </w:tr>
    </w:tbl>
    <w:p w:rsidR="00B67149" w:rsidRDefault="00B67149">
      <w:pPr>
        <w:rPr>
          <w:rFonts w:ascii="Arial" w:eastAsia="Arial" w:hAnsi="Arial" w:cs="Arial"/>
          <w:sz w:val="28"/>
          <w:szCs w:val="28"/>
        </w:rPr>
      </w:pPr>
    </w:p>
    <w:p w:rsidR="00CA394C" w:rsidRDefault="005E1B22">
      <w:r>
        <w:rPr>
          <w:b/>
          <w:sz w:val="20"/>
        </w:rPr>
        <w:t>As Designers (Design</w:t>
      </w:r>
      <w:r>
        <w:rPr>
          <w:b/>
          <w:sz w:val="20"/>
        </w:rPr>
        <w:t xml:space="preserve"> Technology – unchanged):</w:t>
      </w:r>
    </w:p>
    <w:p w:rsidR="00CA394C" w:rsidRDefault="005E1B22">
      <w:r>
        <w:rPr>
          <w:sz w:val="20"/>
        </w:rPr>
        <w:t xml:space="preserve">Cooking and Nutrition: Come Dine With Me. We will plan and prepare food safely, consider balanced nutrition and evaluate dishes against design criteria. Key knowledge: food hygiene, safe preparation, ingredients and nutritional </w:t>
      </w:r>
      <w:r>
        <w:rPr>
          <w:sz w:val="20"/>
        </w:rPr>
        <w:t>choices.</w:t>
      </w:r>
    </w:p>
    <w:sectPr w:rsidR="00CA394C">
      <w:headerReference w:type="default" r:id="rId8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A03" w:rsidRDefault="00612A03">
      <w:pPr>
        <w:spacing w:after="0" w:line="240" w:lineRule="auto"/>
      </w:pPr>
      <w:r>
        <w:separator/>
      </w:r>
    </w:p>
  </w:endnote>
  <w:endnote w:type="continuationSeparator" w:id="0">
    <w:p w:rsidR="00612A03" w:rsidRDefault="00612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8DD11E-52A4-4DB0-B2C7-4089C7728B0C}"/>
    <w:embedBold r:id="rId2" w:fontKey="{10C0E570-2DEE-4314-A409-AAAFBCB20FD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1A8AE75-F791-4B72-89CC-B8A09D70D9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22EDD9C-4B8B-4103-946E-99680DFAECC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A03" w:rsidRDefault="00612A03">
      <w:pPr>
        <w:spacing w:after="0" w:line="240" w:lineRule="auto"/>
      </w:pPr>
      <w:r>
        <w:separator/>
      </w:r>
    </w:p>
  </w:footnote>
  <w:footnote w:type="continuationSeparator" w:id="0">
    <w:p w:rsidR="00612A03" w:rsidRDefault="00612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149" w:rsidRDefault="00612A03">
    <w:pPr>
      <w:rPr>
        <w:rFonts w:ascii="Arial" w:eastAsia="Arial" w:hAnsi="Arial" w:cs="Arial"/>
        <w:sz w:val="28"/>
        <w:szCs w:val="28"/>
      </w:rPr>
    </w:pPr>
    <w:r>
      <w:rPr>
        <w:rFonts w:ascii="Arial" w:eastAsia="Arial" w:hAnsi="Arial" w:cs="Arial"/>
        <w:sz w:val="28"/>
        <w:szCs w:val="28"/>
      </w:rPr>
      <w:t xml:space="preserve">Medium Term Planning          Class: </w:t>
    </w:r>
    <w:r>
      <w:rPr>
        <w:rFonts w:ascii="Arial" w:eastAsia="Arial" w:hAnsi="Arial" w:cs="Arial"/>
        <w:color w:val="0070C0"/>
        <w:sz w:val="28"/>
        <w:szCs w:val="28"/>
      </w:rPr>
      <w:t xml:space="preserve">Year 6         </w:t>
    </w:r>
    <w:r>
      <w:rPr>
        <w:rFonts w:ascii="Arial" w:eastAsia="Arial" w:hAnsi="Arial" w:cs="Arial"/>
        <w:sz w:val="28"/>
        <w:szCs w:val="28"/>
      </w:rPr>
      <w:t xml:space="preserve">Term: </w:t>
    </w:r>
    <w:r>
      <w:rPr>
        <w:rFonts w:ascii="Arial" w:eastAsia="Arial" w:hAnsi="Arial" w:cs="Arial"/>
        <w:color w:val="0070C0"/>
        <w:sz w:val="28"/>
        <w:szCs w:val="28"/>
      </w:rPr>
      <w:t xml:space="preserve">Autumn </w:t>
    </w:r>
    <w:r w:rsidR="005E1B22">
      <w:rPr>
        <w:rFonts w:ascii="Arial" w:eastAsia="Arial" w:hAnsi="Arial" w:cs="Arial"/>
        <w:color w:val="0070C0"/>
        <w:sz w:val="28"/>
        <w:szCs w:val="28"/>
      </w:rPr>
      <w:t>2</w:t>
    </w:r>
    <w:r>
      <w:rPr>
        <w:rFonts w:ascii="Arial" w:eastAsia="Arial" w:hAnsi="Arial" w:cs="Arial"/>
        <w:color w:val="0070C0"/>
        <w:sz w:val="28"/>
        <w:szCs w:val="28"/>
      </w:rPr>
      <w:t xml:space="preserve"> </w:t>
    </w:r>
  </w:p>
  <w:p w:rsidR="00B67149" w:rsidRDefault="00B6714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653B3"/>
    <w:multiLevelType w:val="multilevel"/>
    <w:tmpl w:val="8288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0D1162"/>
    <w:multiLevelType w:val="multilevel"/>
    <w:tmpl w:val="1980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149"/>
    <w:rsid w:val="005E1B22"/>
    <w:rsid w:val="00612A03"/>
    <w:rsid w:val="00797B32"/>
    <w:rsid w:val="00B67149"/>
    <w:rsid w:val="00CA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613EB"/>
  <w15:docId w15:val="{4EEEEC10-550B-4995-90DD-FA9F5B04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E1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B22"/>
  </w:style>
  <w:style w:type="paragraph" w:styleId="Footer">
    <w:name w:val="footer"/>
    <w:basedOn w:val="Normal"/>
    <w:link w:val="FooterChar"/>
    <w:uiPriority w:val="99"/>
    <w:unhideWhenUsed/>
    <w:rsid w:val="005E1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Rt2zdp9eUicYaF7jxjey66SWKA==">CgMxLjAyDmguY21xbmg5Y2pubHgyOAByITE5eFJ3SmhvR0tXbmwzSW9QNVF0T0dpbHM3cDdQUDh2ZA==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SJSB</Company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 Gavin</dc:creator>
  <cp:lastModifiedBy>Elle Gavin</cp:lastModifiedBy>
  <cp:revision>2</cp:revision>
  <dcterms:created xsi:type="dcterms:W3CDTF">2026-11-03T13:31:00Z</dcterms:created>
  <dcterms:modified xsi:type="dcterms:W3CDTF">2026-11-03T13:31:00Z</dcterms:modified>
</cp:coreProperties>
</file>