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08" w:rsidRPr="00123B64" w:rsidRDefault="008C73B5">
      <w:pPr>
        <w:rPr>
          <w:rFonts w:ascii="Century Gothic" w:hAnsi="Century Gothic" w:cs="Tahoma"/>
          <w:b/>
          <w:color w:val="003399"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7882255</wp:posOffset>
            </wp:positionH>
            <wp:positionV relativeFrom="paragraph">
              <wp:posOffset>-1905</wp:posOffset>
            </wp:positionV>
            <wp:extent cx="1890395" cy="1896745"/>
            <wp:effectExtent l="0" t="0" r="0" b="0"/>
            <wp:wrapTight wrapText="bothSides">
              <wp:wrapPolygon edited="0">
                <wp:start x="0" y="0"/>
                <wp:lineTo x="0" y="21477"/>
                <wp:lineTo x="21332" y="21477"/>
                <wp:lineTo x="213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51" w:rsidRPr="008C73B5">
        <w:rPr>
          <w:rFonts w:ascii="Century Gothic" w:hAnsi="Century Gothic" w:cs="Tahoma"/>
          <w:b/>
          <w:color w:val="00B050"/>
          <w:sz w:val="52"/>
        </w:rPr>
        <w:t>Bra</w:t>
      </w:r>
      <w:r w:rsidR="00C96C17" w:rsidRPr="008C73B5">
        <w:rPr>
          <w:rFonts w:ascii="Century Gothic" w:hAnsi="Century Gothic" w:cs="Tahoma"/>
          <w:b/>
          <w:color w:val="00B050"/>
          <w:sz w:val="52"/>
        </w:rPr>
        <w:t>d</w:t>
      </w:r>
      <w:r w:rsidR="003A4A51" w:rsidRPr="008C73B5">
        <w:rPr>
          <w:rFonts w:ascii="Century Gothic" w:hAnsi="Century Gothic" w:cs="Tahoma"/>
          <w:b/>
          <w:color w:val="00B050"/>
          <w:sz w:val="52"/>
        </w:rPr>
        <w:t>l</w:t>
      </w:r>
      <w:r w:rsidR="00C96C17" w:rsidRPr="008C73B5">
        <w:rPr>
          <w:rFonts w:ascii="Century Gothic" w:hAnsi="Century Gothic" w:cs="Tahoma"/>
          <w:b/>
          <w:color w:val="00B050"/>
          <w:sz w:val="52"/>
        </w:rPr>
        <w:t xml:space="preserve">ey Green Primary </w:t>
      </w:r>
      <w:r w:rsidRPr="008C73B5">
        <w:rPr>
          <w:rFonts w:ascii="Century Gothic" w:hAnsi="Century Gothic" w:cs="Tahoma"/>
          <w:b/>
          <w:color w:val="00B050"/>
          <w:sz w:val="52"/>
        </w:rPr>
        <w:t>Academy</w:t>
      </w:r>
    </w:p>
    <w:p w:rsidR="00FA7041" w:rsidRPr="00123B64" w:rsidRDefault="00FA7041">
      <w:pPr>
        <w:rPr>
          <w:rFonts w:ascii="Century Gothic" w:hAnsi="Century Gothic" w:cs="Tahoma"/>
          <w:b/>
          <w:color w:val="003399"/>
          <w:sz w:val="52"/>
        </w:rPr>
      </w:pPr>
    </w:p>
    <w:p w:rsidR="00FA7041" w:rsidRPr="00123B64" w:rsidRDefault="00FA7041">
      <w:pPr>
        <w:rPr>
          <w:rFonts w:ascii="Century Gothic" w:hAnsi="Century Gothic" w:cs="Tahoma"/>
          <w:b/>
          <w:color w:val="595959" w:themeColor="text1" w:themeTint="A6"/>
          <w:sz w:val="52"/>
        </w:rPr>
      </w:pPr>
      <w:r w:rsidRPr="00123B64">
        <w:rPr>
          <w:rFonts w:ascii="Century Gothic" w:hAnsi="Century Gothic" w:cs="Tahoma"/>
          <w:b/>
          <w:color w:val="595959" w:themeColor="text1" w:themeTint="A6"/>
          <w:sz w:val="52"/>
        </w:rPr>
        <w:t xml:space="preserve">Sport Premium Funding </w:t>
      </w:r>
      <w:r w:rsidR="00BC6E4F">
        <w:rPr>
          <w:rFonts w:ascii="Century Gothic" w:hAnsi="Century Gothic" w:cs="Tahoma"/>
          <w:b/>
          <w:color w:val="595959" w:themeColor="text1" w:themeTint="A6"/>
          <w:sz w:val="52"/>
        </w:rPr>
        <w:t>20</w:t>
      </w:r>
      <w:r w:rsidR="00AF4406">
        <w:rPr>
          <w:rFonts w:ascii="Century Gothic" w:hAnsi="Century Gothic" w:cs="Tahoma"/>
          <w:b/>
          <w:color w:val="595959" w:themeColor="text1" w:themeTint="A6"/>
          <w:sz w:val="52"/>
        </w:rPr>
        <w:t>19</w:t>
      </w:r>
      <w:r w:rsidR="00BC6E4F">
        <w:rPr>
          <w:rFonts w:ascii="Century Gothic" w:hAnsi="Century Gothic" w:cs="Tahoma"/>
          <w:b/>
          <w:color w:val="595959" w:themeColor="text1" w:themeTint="A6"/>
          <w:sz w:val="52"/>
        </w:rPr>
        <w:t>-</w:t>
      </w:r>
      <w:r w:rsidR="00AF4406">
        <w:rPr>
          <w:rFonts w:ascii="Century Gothic" w:hAnsi="Century Gothic" w:cs="Tahoma"/>
          <w:b/>
          <w:color w:val="595959" w:themeColor="text1" w:themeTint="A6"/>
          <w:sz w:val="52"/>
        </w:rPr>
        <w:t>20</w:t>
      </w:r>
    </w:p>
    <w:p w:rsidR="001E0B42" w:rsidRPr="001E0B42" w:rsidRDefault="001E0B42">
      <w:pPr>
        <w:rPr>
          <w:rFonts w:ascii="Century Gothic" w:hAnsi="Century Gothic" w:cs="Tahoma"/>
          <w:b/>
          <w:color w:val="595959" w:themeColor="text1" w:themeTint="A6"/>
          <w:sz w:val="40"/>
        </w:rPr>
      </w:pPr>
    </w:p>
    <w:p w:rsidR="00FA7041" w:rsidRPr="001E0B42" w:rsidRDefault="00FA7041" w:rsidP="00123B64">
      <w:pPr>
        <w:spacing w:line="360" w:lineRule="auto"/>
        <w:rPr>
          <w:rFonts w:ascii="Century Gothic" w:hAnsi="Century Gothic" w:cs="Tahoma"/>
          <w:b/>
          <w:color w:val="000000" w:themeColor="text1"/>
          <w:sz w:val="26"/>
        </w:rPr>
      </w:pPr>
      <w:r w:rsidRPr="001E0B42">
        <w:rPr>
          <w:rFonts w:ascii="Century Gothic" w:hAnsi="Century Gothic" w:cs="Tahoma"/>
          <w:b/>
          <w:color w:val="000000" w:themeColor="text1"/>
          <w:sz w:val="26"/>
        </w:rPr>
        <w:t>D</w:t>
      </w:r>
      <w:r w:rsidR="008A5050">
        <w:rPr>
          <w:rFonts w:ascii="Century Gothic" w:hAnsi="Century Gothic" w:cs="Tahoma"/>
          <w:b/>
          <w:color w:val="000000" w:themeColor="text1"/>
          <w:sz w:val="26"/>
        </w:rPr>
        <w:t xml:space="preserve">uring the school year of </w:t>
      </w:r>
      <w:proofErr w:type="gramStart"/>
      <w:r w:rsidR="00BC6E4F">
        <w:rPr>
          <w:rFonts w:ascii="Century Gothic" w:hAnsi="Century Gothic" w:cs="Tahoma"/>
          <w:b/>
          <w:color w:val="000000" w:themeColor="text1"/>
          <w:sz w:val="26"/>
        </w:rPr>
        <w:t>20</w:t>
      </w:r>
      <w:r w:rsidR="00AF4406">
        <w:rPr>
          <w:rFonts w:ascii="Century Gothic" w:hAnsi="Century Gothic" w:cs="Tahoma"/>
          <w:b/>
          <w:color w:val="000000" w:themeColor="text1"/>
          <w:sz w:val="26"/>
        </w:rPr>
        <w:t>19</w:t>
      </w:r>
      <w:r w:rsidR="00BC6E4F">
        <w:rPr>
          <w:rFonts w:ascii="Century Gothic" w:hAnsi="Century Gothic" w:cs="Tahoma"/>
          <w:b/>
          <w:color w:val="000000" w:themeColor="text1"/>
          <w:sz w:val="26"/>
        </w:rPr>
        <w:t>-</w:t>
      </w:r>
      <w:r w:rsidR="00AF4406">
        <w:rPr>
          <w:rFonts w:ascii="Century Gothic" w:hAnsi="Century Gothic" w:cs="Tahoma"/>
          <w:b/>
          <w:color w:val="000000" w:themeColor="text1"/>
          <w:sz w:val="26"/>
        </w:rPr>
        <w:t>20</w:t>
      </w:r>
      <w:proofErr w:type="gramEnd"/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th</w:t>
      </w:r>
      <w:r w:rsidR="002451B2" w:rsidRPr="001E0B42">
        <w:rPr>
          <w:rFonts w:ascii="Century Gothic" w:hAnsi="Century Gothic" w:cs="Tahoma"/>
          <w:b/>
          <w:color w:val="000000" w:themeColor="text1"/>
          <w:sz w:val="26"/>
        </w:rPr>
        <w:t xml:space="preserve">e school will have </w:t>
      </w:r>
      <w:r w:rsidR="002451B2" w:rsidRPr="00AB09E6">
        <w:rPr>
          <w:rFonts w:ascii="Century Gothic" w:hAnsi="Century Gothic" w:cs="Tahoma"/>
          <w:b/>
          <w:color w:val="000000" w:themeColor="text1"/>
          <w:sz w:val="26"/>
        </w:rPr>
        <w:t xml:space="preserve">received </w:t>
      </w:r>
      <w:r w:rsidR="00AB09E6" w:rsidRPr="00AB09E6">
        <w:rPr>
          <w:rFonts w:ascii="Century Gothic" w:hAnsi="Century Gothic" w:cs="Tahoma"/>
          <w:b/>
          <w:color w:val="000000" w:themeColor="text1"/>
          <w:sz w:val="26"/>
        </w:rPr>
        <w:t>£</w:t>
      </w:r>
      <w:r w:rsidR="00C07766">
        <w:rPr>
          <w:rFonts w:ascii="Century Gothic" w:hAnsi="Century Gothic" w:cs="Tahoma"/>
          <w:b/>
          <w:color w:val="000000" w:themeColor="text1"/>
          <w:sz w:val="26"/>
        </w:rPr>
        <w:t>17,154.77</w:t>
      </w:r>
      <w:r w:rsidR="00AB09E6" w:rsidRPr="00AB09E6">
        <w:rPr>
          <w:rFonts w:ascii="Century Gothic" w:hAnsi="Century Gothic" w:cs="Tahoma"/>
          <w:b/>
          <w:color w:val="000000" w:themeColor="text1"/>
          <w:sz w:val="26"/>
        </w:rPr>
        <w:t xml:space="preserve"> </w:t>
      </w:r>
      <w:r w:rsidRPr="00AB09E6">
        <w:rPr>
          <w:rFonts w:ascii="Century Gothic" w:hAnsi="Century Gothic" w:cs="Tahoma"/>
          <w:b/>
          <w:color w:val="000000" w:themeColor="text1"/>
          <w:sz w:val="26"/>
        </w:rPr>
        <w:t>to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improve the quality of sport</w:t>
      </w:r>
      <w:r w:rsidR="002451B2" w:rsidRPr="001E0B42">
        <w:rPr>
          <w:rFonts w:ascii="Century Gothic" w:hAnsi="Century Gothic" w:cs="Tahoma"/>
          <w:b/>
          <w:color w:val="000000" w:themeColor="text1"/>
          <w:sz w:val="26"/>
        </w:rPr>
        <w:t>, health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and PE provision at Bradley Green Primary </w:t>
      </w:r>
      <w:r w:rsidR="00F06847">
        <w:rPr>
          <w:rFonts w:ascii="Century Gothic" w:hAnsi="Century Gothic" w:cs="Tahoma"/>
          <w:b/>
          <w:color w:val="000000" w:themeColor="text1"/>
          <w:sz w:val="26"/>
        </w:rPr>
        <w:t>Academy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. Our </w:t>
      </w:r>
      <w:r w:rsidR="002451B2" w:rsidRPr="001E0B42">
        <w:rPr>
          <w:rFonts w:ascii="Century Gothic" w:hAnsi="Century Gothic" w:cs="Tahoma"/>
          <w:b/>
          <w:color w:val="000000" w:themeColor="text1"/>
          <w:sz w:val="26"/>
        </w:rPr>
        <w:t>aim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is to create a culture that encourages all children to be active and have positive attitudes towards </w:t>
      </w:r>
      <w:r w:rsidR="00032E1D" w:rsidRPr="001E0B42">
        <w:rPr>
          <w:rFonts w:ascii="Century Gothic" w:hAnsi="Century Gothic" w:cs="Tahoma"/>
          <w:b/>
          <w:color w:val="000000" w:themeColor="text1"/>
          <w:sz w:val="26"/>
        </w:rPr>
        <w:t xml:space="preserve">sport, 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>physical a</w:t>
      </w:r>
      <w:r w:rsidR="007B3103" w:rsidRPr="001E0B42">
        <w:rPr>
          <w:rFonts w:ascii="Century Gothic" w:hAnsi="Century Gothic" w:cs="Tahoma"/>
          <w:b/>
          <w:color w:val="000000" w:themeColor="text1"/>
          <w:sz w:val="26"/>
        </w:rPr>
        <w:t>ctivity and healthy lifestyles.</w:t>
      </w:r>
    </w:p>
    <w:p w:rsidR="002451B2" w:rsidRPr="00ED46AC" w:rsidRDefault="002451B2" w:rsidP="00123B64">
      <w:pPr>
        <w:spacing w:line="360" w:lineRule="auto"/>
        <w:rPr>
          <w:rFonts w:ascii="Century Gothic" w:hAnsi="Century Gothic" w:cs="Tahoma"/>
          <w:color w:val="000000" w:themeColor="text1"/>
          <w:sz w:val="26"/>
        </w:rPr>
      </w:pPr>
      <w:r w:rsidRPr="00ED46AC">
        <w:rPr>
          <w:rFonts w:ascii="Century Gothic" w:hAnsi="Century Gothic" w:cs="Tahoma"/>
          <w:color w:val="000000" w:themeColor="text1"/>
          <w:sz w:val="26"/>
        </w:rPr>
        <w:t xml:space="preserve">The funding will develop </w:t>
      </w:r>
      <w:r w:rsidR="00032E1D" w:rsidRPr="00ED46AC">
        <w:rPr>
          <w:rFonts w:ascii="Century Gothic" w:hAnsi="Century Gothic" w:cs="Tahoma"/>
          <w:color w:val="000000" w:themeColor="text1"/>
          <w:sz w:val="26"/>
        </w:rPr>
        <w:t>the delivery of PE, sport and health awareness in school, which includes</w:t>
      </w:r>
      <w:r w:rsidRPr="00ED46AC">
        <w:rPr>
          <w:rFonts w:ascii="Century Gothic" w:hAnsi="Century Gothic" w:cs="Tahoma"/>
          <w:color w:val="000000" w:themeColor="text1"/>
          <w:sz w:val="26"/>
        </w:rPr>
        <w:t>: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1. The engagement of all pupils in regular physical activity – kick-starting healthy</w:t>
      </w:r>
      <w:r w:rsidR="008A55A3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,</w:t>
      </w: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 xml:space="preserve"> active lifestyles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 xml:space="preserve">2. The profile of PE and sport </w:t>
      </w:r>
      <w:proofErr w:type="gramStart"/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being raised</w:t>
      </w:r>
      <w:proofErr w:type="gramEnd"/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 xml:space="preserve"> across the school as a tool for whole school improvement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3. Increased confidence, knowledge and skills of all staff in teaching PE and sport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4. Broader experience of a range of sports and activities offered to all pupils</w:t>
      </w:r>
    </w:p>
    <w:p w:rsid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5. Increased participation in competitive sport</w:t>
      </w:r>
    </w:p>
    <w:p w:rsidR="008A55A3" w:rsidRPr="00C07766" w:rsidRDefault="008A55A3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6. Improve the general health and mental well-being of children in school</w:t>
      </w:r>
    </w:p>
    <w:p w:rsidR="00ED46AC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F06847" w:rsidRDefault="00F06847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ED46AC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910DBC" w:rsidRPr="00C07766" w:rsidRDefault="00910DBC" w:rsidP="00910DBC">
      <w:pPr>
        <w:rPr>
          <w:rFonts w:ascii="Century Gothic" w:hAnsi="Century Gothic" w:cs="Tahoma"/>
          <w:b/>
          <w:color w:val="595959" w:themeColor="text1" w:themeTint="A6"/>
          <w:sz w:val="52"/>
        </w:rPr>
      </w:pPr>
      <w:r w:rsidRPr="00C07766">
        <w:rPr>
          <w:rFonts w:ascii="Century Gothic" w:hAnsi="Century Gothic" w:cs="Tahoma"/>
          <w:b/>
          <w:color w:val="595959" w:themeColor="text1" w:themeTint="A6"/>
          <w:sz w:val="52"/>
        </w:rPr>
        <w:lastRenderedPageBreak/>
        <w:t>Sports Premium Action Plan for 20</w:t>
      </w:r>
      <w:r>
        <w:rPr>
          <w:rFonts w:ascii="Century Gothic" w:hAnsi="Century Gothic" w:cs="Tahoma"/>
          <w:b/>
          <w:color w:val="595959" w:themeColor="text1" w:themeTint="A6"/>
          <w:sz w:val="52"/>
        </w:rPr>
        <w:t>19-20</w:t>
      </w:r>
    </w:p>
    <w:p w:rsidR="00910DBC" w:rsidRDefault="00910DBC" w:rsidP="00910DBC">
      <w:pPr>
        <w:rPr>
          <w:rFonts w:ascii="Century Gothic" w:hAnsi="Century Gothic" w:cs="Tahoma"/>
          <w:color w:val="000000" w:themeColor="text1"/>
          <w:sz w:val="28"/>
          <w:szCs w:val="30"/>
        </w:rPr>
      </w:pPr>
      <w:r w:rsidRPr="00A54557">
        <w:rPr>
          <w:rFonts w:ascii="Century Gothic" w:hAnsi="Century Gothic" w:cs="Tahoma"/>
          <w:color w:val="000000" w:themeColor="text1"/>
          <w:sz w:val="28"/>
          <w:szCs w:val="30"/>
        </w:rPr>
        <w:t xml:space="preserve">Below is the proposed Sport Premium Action Plan for </w:t>
      </w:r>
      <w:r>
        <w:rPr>
          <w:rFonts w:ascii="Century Gothic" w:hAnsi="Century Gothic" w:cs="Tahoma"/>
          <w:color w:val="000000" w:themeColor="text1"/>
          <w:sz w:val="28"/>
          <w:szCs w:val="30"/>
        </w:rPr>
        <w:t>2019-20, with projected costs and impacts for the delivery of high-quality PE at Bradley Green Primary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3486"/>
        <w:gridCol w:w="1920"/>
        <w:gridCol w:w="4211"/>
        <w:gridCol w:w="2727"/>
      </w:tblGrid>
      <w:tr w:rsidR="00910DBC" w:rsidTr="00B10E53">
        <w:trPr>
          <w:trHeight w:val="542"/>
        </w:trPr>
        <w:tc>
          <w:tcPr>
            <w:tcW w:w="3236" w:type="dxa"/>
            <w:shd w:val="clear" w:color="auto" w:fill="00B050"/>
            <w:vAlign w:val="center"/>
          </w:tcPr>
          <w:p w:rsidR="00910DBC" w:rsidRPr="00C07766" w:rsidRDefault="00910DBC" w:rsidP="00B10E53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Aim</w:t>
            </w:r>
          </w:p>
        </w:tc>
        <w:tc>
          <w:tcPr>
            <w:tcW w:w="3486" w:type="dxa"/>
            <w:shd w:val="clear" w:color="auto" w:fill="00B050"/>
            <w:vAlign w:val="center"/>
          </w:tcPr>
          <w:p w:rsidR="00910DBC" w:rsidRPr="00C07766" w:rsidRDefault="00910DBC" w:rsidP="00B10E53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Description</w:t>
            </w:r>
          </w:p>
        </w:tc>
        <w:tc>
          <w:tcPr>
            <w:tcW w:w="1920" w:type="dxa"/>
            <w:shd w:val="clear" w:color="auto" w:fill="00B050"/>
            <w:vAlign w:val="center"/>
          </w:tcPr>
          <w:p w:rsidR="00910DBC" w:rsidRPr="00C07766" w:rsidRDefault="00910DBC" w:rsidP="00B10E53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Cost</w:t>
            </w:r>
          </w:p>
        </w:tc>
        <w:tc>
          <w:tcPr>
            <w:tcW w:w="4211" w:type="dxa"/>
            <w:shd w:val="clear" w:color="auto" w:fill="00B050"/>
            <w:vAlign w:val="center"/>
          </w:tcPr>
          <w:p w:rsidR="00910DBC" w:rsidRPr="00C07766" w:rsidRDefault="00910DBC" w:rsidP="00B10E53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 xml:space="preserve">Projected </w:t>
            </w: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 xml:space="preserve"> impact</w:t>
            </w:r>
          </w:p>
        </w:tc>
        <w:tc>
          <w:tcPr>
            <w:tcW w:w="2727" w:type="dxa"/>
            <w:shd w:val="clear" w:color="auto" w:fill="00B050"/>
            <w:vAlign w:val="center"/>
          </w:tcPr>
          <w:p w:rsidR="00910DBC" w:rsidRDefault="00910DBC" w:rsidP="00E11E69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766A94">
              <w:rPr>
                <w:rFonts w:ascii="Century Gothic" w:hAnsi="Century Gothic" w:cs="Tahoma"/>
                <w:b/>
                <w:color w:val="000000" w:themeColor="text1"/>
                <w:sz w:val="18"/>
                <w:szCs w:val="30"/>
              </w:rPr>
              <w:t>Review of Impact</w:t>
            </w:r>
            <w:r w:rsidR="00E11E69">
              <w:rPr>
                <w:rFonts w:ascii="Century Gothic" w:hAnsi="Century Gothic" w:cs="Tahoma"/>
                <w:b/>
                <w:color w:val="000000" w:themeColor="text1"/>
                <w:sz w:val="18"/>
                <w:szCs w:val="30"/>
              </w:rPr>
              <w:t xml:space="preserve"> </w:t>
            </w:r>
          </w:p>
        </w:tc>
      </w:tr>
      <w:tr w:rsidR="00910DBC" w:rsidRPr="009976ED" w:rsidTr="00B10E53">
        <w:trPr>
          <w:trHeight w:val="1969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participation in competitive sport</w:t>
            </w: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Tameside School Sports Partnership</w:t>
            </w:r>
          </w:p>
          <w:p w:rsidR="00910DBC" w:rsidRPr="002B524D" w:rsidRDefault="00910DBC" w:rsidP="00B10E53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Staff training</w:t>
            </w:r>
          </w:p>
          <w:p w:rsidR="00910DBC" w:rsidRPr="002B524D" w:rsidRDefault="00910DBC" w:rsidP="00B10E53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Level 2 competition fixtures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£1000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x12 Level 2 events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win hockey and rounder’s Heat Competitions.</w:t>
            </w:r>
          </w:p>
          <w:p w:rsidR="00910DBC" w:rsidRPr="002B524D" w:rsidRDefault="00910DBC" w:rsidP="00B10E53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Playleader</w:t>
            </w:r>
            <w:proofErr w:type="spellEnd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training to improve participation in under-active children</w:t>
            </w:r>
          </w:p>
        </w:tc>
        <w:tc>
          <w:tcPr>
            <w:tcW w:w="2727" w:type="dxa"/>
            <w:vAlign w:val="center"/>
          </w:tcPr>
          <w:p w:rsidR="00910DBC" w:rsidRDefault="00E11E69" w:rsidP="00E11E69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 xml:space="preserve">COVID-19 – all awards </w:t>
            </w:r>
            <w:proofErr w:type="gramStart"/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are carried on</w:t>
            </w:r>
            <w:proofErr w:type="gramEnd"/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 xml:space="preserve"> from last year.</w:t>
            </w:r>
          </w:p>
          <w:p w:rsidR="00E11E69" w:rsidRDefault="00E11E69" w:rsidP="00E11E69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 will received Gold again</w:t>
            </w:r>
          </w:p>
          <w:p w:rsidR="00E11E69" w:rsidRPr="00E11E69" w:rsidRDefault="00E11E69" w:rsidP="00E11E69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 would HAVE received gold anyway</w:t>
            </w:r>
          </w:p>
        </w:tc>
      </w:tr>
      <w:tr w:rsidR="00910DBC" w:rsidRPr="009976ED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Overtime for staff to attend sports competitions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£255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x12 Level 2 events</w:t>
            </w:r>
          </w:p>
        </w:tc>
        <w:tc>
          <w:tcPr>
            <w:tcW w:w="2727" w:type="dxa"/>
            <w:vAlign w:val="center"/>
          </w:tcPr>
          <w:p w:rsidR="00E11E69" w:rsidRDefault="00E11E69" w:rsidP="00E11E69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 xml:space="preserve">COVID-19 – all awards </w:t>
            </w:r>
            <w:proofErr w:type="gramStart"/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are carried on</w:t>
            </w:r>
            <w:proofErr w:type="gramEnd"/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 xml:space="preserve"> from last year.</w:t>
            </w:r>
          </w:p>
          <w:p w:rsidR="00E11E69" w:rsidRDefault="00E11E69" w:rsidP="00E11E69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 will received Gold again</w:t>
            </w:r>
          </w:p>
          <w:p w:rsidR="00910DBC" w:rsidRPr="009976ED" w:rsidRDefault="00E11E69" w:rsidP="00E11E69">
            <w:pPr>
              <w:pStyle w:val="ListParagraph"/>
              <w:ind w:left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 would HAVE received gold anyway</w:t>
            </w:r>
          </w:p>
        </w:tc>
      </w:tr>
      <w:tr w:rsidR="00910DBC" w:rsidRPr="009976ED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Additional booster swimming lessons</w:t>
            </w:r>
          </w:p>
          <w:p w:rsidR="00910DBC" w:rsidRPr="002B524D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Transport to additional lessons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£1,044</w:t>
            </w: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£744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has an 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9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0% National Curriculum pass rate for Year 6 students</w:t>
            </w:r>
          </w:p>
        </w:tc>
        <w:tc>
          <w:tcPr>
            <w:tcW w:w="2727" w:type="dxa"/>
            <w:vAlign w:val="center"/>
          </w:tcPr>
          <w:p w:rsidR="00910DBC" w:rsidRDefault="00E11E69" w:rsidP="00B10E53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National Curriculum Pass Rate: c. 65%</w:t>
            </w:r>
          </w:p>
          <w:p w:rsidR="00E11E69" w:rsidRPr="009976ED" w:rsidRDefault="00E11E69" w:rsidP="00B10E53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Swimming Booster lessons were due to take place over Summer Term</w:t>
            </w:r>
          </w:p>
        </w:tc>
      </w:tr>
      <w:tr w:rsidR="00910DBC" w:rsidRPr="009976ED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</w:tc>
        <w:tc>
          <w:tcPr>
            <w:tcW w:w="3486" w:type="dxa"/>
            <w:vAlign w:val="center"/>
          </w:tcPr>
          <w:p w:rsidR="00910DBC" w:rsidRPr="00227B35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27B35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Bike-ability</w:t>
            </w:r>
          </w:p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Cycling proficiency course for Y6 students 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£0</w:t>
            </w:r>
          </w:p>
        </w:tc>
        <w:tc>
          <w:tcPr>
            <w:tcW w:w="4211" w:type="dxa"/>
            <w:vAlign w:val="center"/>
          </w:tcPr>
          <w:p w:rsidR="00910DBC" w:rsidRPr="00227B35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Year 6 students pass the course and are able </w:t>
            </w:r>
            <w:proofErr w:type="gramStart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to safely cycle</w:t>
            </w:r>
            <w:proofErr w:type="gramEnd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their bikes on the road and on bike paths.</w:t>
            </w:r>
          </w:p>
        </w:tc>
        <w:tc>
          <w:tcPr>
            <w:tcW w:w="2727" w:type="dxa"/>
            <w:vAlign w:val="center"/>
          </w:tcPr>
          <w:p w:rsidR="00910DBC" w:rsidRPr="009976ED" w:rsidRDefault="00E11E69" w:rsidP="00E11E69">
            <w:pPr>
              <w:pStyle w:val="ListParagraph"/>
              <w:numPr>
                <w:ilvl w:val="0"/>
                <w:numId w:val="35"/>
              </w:numPr>
              <w:ind w:left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Completed with 100% pass rate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Increased participation in competitive sport</w:t>
            </w: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Transportation to Level 2 competitions in the local area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57200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£1</w:t>
            </w:r>
            <w:r w:rsidR="0057200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x12 Level 2 events</w:t>
            </w:r>
          </w:p>
        </w:tc>
        <w:tc>
          <w:tcPr>
            <w:tcW w:w="2727" w:type="dxa"/>
            <w:vAlign w:val="center"/>
          </w:tcPr>
          <w:p w:rsidR="00910DBC" w:rsidRPr="00E11E69" w:rsidRDefault="00E11E69" w:rsidP="00E11E69">
            <w:pPr>
              <w:pStyle w:val="ListParagraph"/>
              <w:numPr>
                <w:ilvl w:val="0"/>
                <w:numId w:val="35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 w:rsidRPr="00E11E69"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 xml:space="preserve">BG achieved Gold Award Sports Mark 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Clayton Palmer Sports Coach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AF4406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AF4406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 w:rsidR="00AF4406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9235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Teaching Assistant are better equipped to deliver quality games and sports in PE lessons, afterschool clubs and lunchtime clubs.</w:t>
            </w:r>
          </w:p>
        </w:tc>
        <w:tc>
          <w:tcPr>
            <w:tcW w:w="2727" w:type="dxa"/>
            <w:vAlign w:val="center"/>
          </w:tcPr>
          <w:p w:rsidR="00910DBC" w:rsidRDefault="00E11E69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Popular afterschool clubs</w:t>
            </w:r>
          </w:p>
          <w:p w:rsidR="00E11E69" w:rsidRDefault="00E11E69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High quality coaching provided by Sports Coach</w:t>
            </w:r>
          </w:p>
          <w:p w:rsidR="00E11E69" w:rsidRPr="005533AC" w:rsidRDefault="00E11E69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Increase in dance and gymnastic delivery confidence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participation in competitive sport</w:t>
            </w: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Affiliation fees to Hyde Schools Sport Partnership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, Tameside FA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£600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x6 Hyde School Level 2 events</w:t>
            </w:r>
          </w:p>
          <w:p w:rsidR="00910DBC" w:rsidRPr="002B524D" w:rsidRDefault="00910DBC" w:rsidP="00B10E53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consistent compet</w:t>
            </w:r>
            <w:r w:rsidR="00CB75A0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e and finish in the Top 5 teams in 6+ competitions</w:t>
            </w:r>
          </w:p>
        </w:tc>
        <w:tc>
          <w:tcPr>
            <w:tcW w:w="2727" w:type="dxa"/>
            <w:vAlign w:val="center"/>
          </w:tcPr>
          <w:p w:rsidR="00910DBC" w:rsidRPr="005533AC" w:rsidRDefault="00E11E69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 achieved Gold Award Sports Mark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PE Primary Passport</w:t>
            </w:r>
          </w:p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Online app for planning and assessment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5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11" w:type="dxa"/>
            <w:vAlign w:val="center"/>
          </w:tcPr>
          <w:p w:rsidR="00910DBC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Teachers using PE Primary Passport to plan and deliver high-quality PE lessons</w:t>
            </w:r>
          </w:p>
          <w:p w:rsidR="00CB75A0" w:rsidRPr="002B524D" w:rsidRDefault="00CB75A0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Options for assessment with the PE Primary Passport app for teachers</w:t>
            </w:r>
          </w:p>
        </w:tc>
        <w:tc>
          <w:tcPr>
            <w:tcW w:w="2727" w:type="dxa"/>
            <w:vAlign w:val="center"/>
          </w:tcPr>
          <w:p w:rsidR="00910DBC" w:rsidRDefault="009C4E27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Good for LTP and ensuring coverage of PE</w:t>
            </w:r>
          </w:p>
          <w:p w:rsidR="009C4E27" w:rsidRPr="005533AC" w:rsidRDefault="009C4E27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Is it being used to it full potential as we have a Sports coach providing most PE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well-being of children in school</w:t>
            </w:r>
          </w:p>
        </w:tc>
        <w:tc>
          <w:tcPr>
            <w:tcW w:w="3486" w:type="dxa"/>
            <w:vAlign w:val="center"/>
          </w:tcPr>
          <w:p w:rsidR="00910DBC" w:rsidRPr="000C779A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Forest School</w:t>
            </w:r>
          </w:p>
          <w:p w:rsidR="00910DBC" w:rsidRPr="000C779A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Overtime payment for Forest School staff for a weekly Forest school session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and resources</w:t>
            </w:r>
          </w:p>
        </w:tc>
        <w:tc>
          <w:tcPr>
            <w:tcW w:w="1920" w:type="dxa"/>
            <w:vAlign w:val="center"/>
          </w:tcPr>
          <w:p w:rsidR="00910DBC" w:rsidRPr="000C779A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£500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to provide weekly Forest School Club with an emphasis outdoor activity, </w:t>
            </w:r>
            <w:r w:rsidR="00E60086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healthy minds, 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teamwork and  communication</w:t>
            </w:r>
          </w:p>
        </w:tc>
        <w:tc>
          <w:tcPr>
            <w:tcW w:w="2727" w:type="dxa"/>
            <w:vAlign w:val="center"/>
          </w:tcPr>
          <w:p w:rsidR="00910DBC" w:rsidRPr="005533AC" w:rsidRDefault="00E11E69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Successful and oversubscribed afterschool club with traditionally ‘non-active/ non-sporting’ children taking part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Broader experience of a range of sports and 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activities offered to all pupils</w:t>
            </w:r>
          </w:p>
        </w:tc>
        <w:tc>
          <w:tcPr>
            <w:tcW w:w="3486" w:type="dxa"/>
            <w:vAlign w:val="center"/>
          </w:tcPr>
          <w:p w:rsidR="00910DBC" w:rsidRPr="000C779A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Health Action Day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External sports providers to deliver a variety of sports to children</w:t>
            </w:r>
          </w:p>
          <w:p w:rsidR="00910DBC" w:rsidRPr="000C779A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Resources for the day including; healthy foods and equipment</w:t>
            </w:r>
          </w:p>
        </w:tc>
        <w:tc>
          <w:tcPr>
            <w:tcW w:w="1920" w:type="dxa"/>
            <w:vAlign w:val="center"/>
          </w:tcPr>
          <w:p w:rsidR="00910DBC" w:rsidRPr="000C779A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£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to provide children with an opportunity to experience a wide variety of physical activity and the increase the awareness and importance of a healthy lifestyle. </w:t>
            </w:r>
          </w:p>
        </w:tc>
        <w:tc>
          <w:tcPr>
            <w:tcW w:w="2727" w:type="dxa"/>
            <w:vAlign w:val="center"/>
          </w:tcPr>
          <w:p w:rsidR="00910DBC" w:rsidRPr="005533AC" w:rsidRDefault="00AF4406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Cancelled due to COVID-19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</w:tc>
        <w:tc>
          <w:tcPr>
            <w:tcW w:w="3486" w:type="dxa"/>
            <w:vAlign w:val="center"/>
          </w:tcPr>
          <w:p w:rsidR="00910DBC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Cooking Club</w:t>
            </w:r>
          </w:p>
          <w:p w:rsidR="00910DBC" w:rsidRPr="000C779A" w:rsidRDefault="00910DBC" w:rsidP="00E60086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Overtime payment for </w:t>
            </w:r>
            <w:r w:rsidR="00E60086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cooking club</w:t>
            </w: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staff for a weekly 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cooking club</w:t>
            </w: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session and resources</w:t>
            </w:r>
          </w:p>
        </w:tc>
        <w:tc>
          <w:tcPr>
            <w:tcW w:w="1920" w:type="dxa"/>
            <w:vAlign w:val="center"/>
          </w:tcPr>
          <w:p w:rsidR="00910DBC" w:rsidRPr="000C779A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£500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provide children with examples of healthy food choices and give children experience of making fresh, healthy meals.</w:t>
            </w:r>
          </w:p>
        </w:tc>
        <w:tc>
          <w:tcPr>
            <w:tcW w:w="2727" w:type="dxa"/>
            <w:vAlign w:val="center"/>
          </w:tcPr>
          <w:p w:rsidR="00910DBC" w:rsidRPr="005533AC" w:rsidRDefault="00E11E69" w:rsidP="00E11E6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 xml:space="preserve">Successful and oversubscribed afterschool club targeting </w:t>
            </w:r>
            <w:r w:rsidR="009C4E27"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children inY5/6 with healthy lifestyle/ cooking programme</w:t>
            </w:r>
          </w:p>
        </w:tc>
      </w:tr>
      <w:tr w:rsidR="00910DBC" w:rsidRPr="008C7275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486" w:type="dxa"/>
            <w:vAlign w:val="center"/>
          </w:tcPr>
          <w:p w:rsidR="00910DBC" w:rsidRPr="000C779A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Dance coach</w:t>
            </w:r>
          </w:p>
          <w:p w:rsidR="00910DBC" w:rsidRPr="000C779A" w:rsidRDefault="00910DBC" w:rsidP="00B10E53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Coach providing physical activity to a targeted group of children</w:t>
            </w:r>
          </w:p>
        </w:tc>
        <w:tc>
          <w:tcPr>
            <w:tcW w:w="1920" w:type="dxa"/>
            <w:vAlign w:val="center"/>
          </w:tcPr>
          <w:p w:rsidR="00910DBC" w:rsidRPr="000C779A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a team to compete in Hyde’s Got Talent</w:t>
            </w:r>
          </w:p>
        </w:tc>
        <w:tc>
          <w:tcPr>
            <w:tcW w:w="2727" w:type="dxa"/>
            <w:vAlign w:val="center"/>
          </w:tcPr>
          <w:p w:rsidR="00910DBC" w:rsidRPr="008C7275" w:rsidRDefault="009C4E27" w:rsidP="009C4E27">
            <w:pPr>
              <w:pStyle w:val="ListParagraph"/>
              <w:numPr>
                <w:ilvl w:val="0"/>
                <w:numId w:val="34"/>
              </w:numPr>
              <w:ind w:left="364" w:hanging="425"/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Popular dance club targeting less traditional sporting groups (e.g. girls)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486" w:type="dxa"/>
            <w:vAlign w:val="center"/>
          </w:tcPr>
          <w:p w:rsidR="00910DBC" w:rsidRPr="002B524D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Equipment 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Audit of sports equipment and r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eplacements ordered as required over the course of the year (balls, playtime equipment, costumes for dances, etc.)</w:t>
            </w:r>
          </w:p>
        </w:tc>
        <w:tc>
          <w:tcPr>
            <w:tcW w:w="2727" w:type="dxa"/>
            <w:vAlign w:val="center"/>
          </w:tcPr>
          <w:p w:rsidR="00910DBC" w:rsidRPr="005533AC" w:rsidRDefault="009C4E27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A full range of high quality equipment to increase participation and activity during PE lessons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well-being of children in school</w:t>
            </w:r>
          </w:p>
        </w:tc>
        <w:tc>
          <w:tcPr>
            <w:tcW w:w="3486" w:type="dxa"/>
            <w:vAlign w:val="center"/>
          </w:tcPr>
          <w:p w:rsidR="00910DBC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Transportation </w:t>
            </w:r>
          </w:p>
          <w:p w:rsidR="00910DBC" w:rsidRPr="00843A2D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Subsidised </w:t>
            </w:r>
            <w:r w:rsidRPr="00843A2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costs to </w:t>
            </w:r>
            <w:proofErr w:type="spellStart"/>
            <w:r w:rsidRPr="00843A2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Robinwood</w:t>
            </w:r>
            <w:proofErr w:type="spellEnd"/>
            <w:r w:rsidRPr="00843A2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Outdoor Activity Centre</w:t>
            </w:r>
          </w:p>
        </w:tc>
        <w:tc>
          <w:tcPr>
            <w:tcW w:w="1920" w:type="dxa"/>
            <w:vAlign w:val="center"/>
          </w:tcPr>
          <w:p w:rsidR="00910DBC" w:rsidRPr="002B524D" w:rsidRDefault="00910DBC" w:rsidP="0057200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 w:rsidR="0057200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4211" w:type="dxa"/>
            <w:vAlign w:val="center"/>
          </w:tcPr>
          <w:p w:rsidR="00910DBC" w:rsidRPr="002B524D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provides subsidised costs to travel to </w:t>
            </w:r>
            <w:proofErr w:type="spellStart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Robinwood</w:t>
            </w:r>
            <w:proofErr w:type="spellEnd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Outdoor Activity Centre – developing teamwork, social and physical skills. Enabling more children to be able to attend.</w:t>
            </w:r>
          </w:p>
        </w:tc>
        <w:tc>
          <w:tcPr>
            <w:tcW w:w="2727" w:type="dxa"/>
            <w:vAlign w:val="center"/>
          </w:tcPr>
          <w:p w:rsidR="00910DBC" w:rsidRPr="005533AC" w:rsidRDefault="00AF4406" w:rsidP="00AF4406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Cancelled due to COVID-19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</w:t>
            </w: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being of children in school</w:t>
            </w:r>
          </w:p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profile of PE and sport being raised across the school as a tool for whole school improvement</w:t>
            </w:r>
          </w:p>
        </w:tc>
        <w:tc>
          <w:tcPr>
            <w:tcW w:w="3486" w:type="dxa"/>
            <w:vAlign w:val="center"/>
          </w:tcPr>
          <w:p w:rsidR="00910DBC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Sports Resources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Certificates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66D7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T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rophies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66D7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Stickers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66D7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Sport Ambassador badges</w:t>
            </w:r>
          </w:p>
          <w:p w:rsidR="00910DBC" w:rsidRPr="00066D7A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Printing</w:t>
            </w:r>
          </w:p>
        </w:tc>
        <w:tc>
          <w:tcPr>
            <w:tcW w:w="1920" w:type="dxa"/>
            <w:vAlign w:val="center"/>
          </w:tcPr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£100</w:t>
            </w:r>
          </w:p>
        </w:tc>
        <w:tc>
          <w:tcPr>
            <w:tcW w:w="4211" w:type="dxa"/>
            <w:vAlign w:val="center"/>
          </w:tcPr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100% of EYFS, KS1 and KS2 children to partake in a 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range of competitions on Sports Day</w:t>
            </w:r>
          </w:p>
          <w:p w:rsidR="00910DBC" w:rsidRPr="00EC560F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G&amp;T children to become Sports Ambassadors and to have badges, roles and responsibilities. </w:t>
            </w:r>
          </w:p>
        </w:tc>
        <w:tc>
          <w:tcPr>
            <w:tcW w:w="2727" w:type="dxa"/>
            <w:vAlign w:val="center"/>
          </w:tcPr>
          <w:p w:rsidR="00910DBC" w:rsidRPr="005533AC" w:rsidRDefault="009C4E27" w:rsidP="00B10E5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lastRenderedPageBreak/>
              <w:t>N/A due to COVID-19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  <w:p w:rsidR="00910DBC" w:rsidRPr="002B524D" w:rsidRDefault="00910DBC" w:rsidP="00B10E53">
            <w:pPr>
              <w:pStyle w:val="NormalWeb"/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8A55A3">
              <w:rPr>
                <w:rFonts w:ascii="Century Gothic" w:eastAsiaTheme="minorHAnsi" w:hAnsi="Century Gothic" w:cs="Tahoma"/>
                <w:color w:val="000000" w:themeColor="text1"/>
                <w:lang w:eastAsia="en-US"/>
              </w:rPr>
              <w:t>The profile of PE and sport being raised across the school as a tool for whole school improvement</w:t>
            </w:r>
          </w:p>
        </w:tc>
        <w:tc>
          <w:tcPr>
            <w:tcW w:w="3486" w:type="dxa"/>
            <w:vAlign w:val="center"/>
          </w:tcPr>
          <w:p w:rsidR="00910DBC" w:rsidRDefault="00910DBC" w:rsidP="00B10E53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Classroom Cover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PE Lead to attend x3 PLT leadership courses per year</w:t>
            </w:r>
          </w:p>
          <w:p w:rsidR="00910DBC" w:rsidRPr="002A0135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PE leader to take sports teams to various sports competitions during the day </w:t>
            </w:r>
          </w:p>
        </w:tc>
        <w:tc>
          <w:tcPr>
            <w:tcW w:w="1920" w:type="dxa"/>
            <w:vAlign w:val="center"/>
          </w:tcPr>
          <w:p w:rsidR="00910DBC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£600</w:t>
            </w:r>
          </w:p>
        </w:tc>
        <w:tc>
          <w:tcPr>
            <w:tcW w:w="4211" w:type="dxa"/>
            <w:vAlign w:val="center"/>
          </w:tcPr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PE Lead to remain informed about developments to Sport Premium funding and the wider PE curriculum</w:t>
            </w:r>
          </w:p>
          <w:p w:rsidR="00910DBC" w:rsidRDefault="00910DBC" w:rsidP="00B10E53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be  able to attend approximately 20 competitions per year</w:t>
            </w:r>
          </w:p>
        </w:tc>
        <w:tc>
          <w:tcPr>
            <w:tcW w:w="2727" w:type="dxa"/>
            <w:vAlign w:val="center"/>
          </w:tcPr>
          <w:p w:rsidR="00910DBC" w:rsidRPr="005533AC" w:rsidRDefault="009C4E27" w:rsidP="00572003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 xml:space="preserve">BG achieved </w:t>
            </w:r>
            <w:bookmarkStart w:id="0" w:name="_GoBack"/>
            <w:bookmarkEnd w:id="0"/>
            <w:r w:rsidR="00572003"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 xml:space="preserve">Virtual Sports Mark </w:t>
            </w:r>
          </w:p>
        </w:tc>
      </w:tr>
      <w:tr w:rsidR="00910DBC" w:rsidRPr="005533AC" w:rsidTr="00B10E53">
        <w:trPr>
          <w:trHeight w:val="542"/>
        </w:trPr>
        <w:tc>
          <w:tcPr>
            <w:tcW w:w="3236" w:type="dxa"/>
            <w:vAlign w:val="center"/>
          </w:tcPr>
          <w:p w:rsidR="00910DBC" w:rsidRPr="002B524D" w:rsidRDefault="00910DBC" w:rsidP="00B10E53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910DBC" w:rsidRPr="00066D7A" w:rsidRDefault="00910DBC" w:rsidP="00B10E53">
            <w:pPr>
              <w:jc w:val="right"/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</w:pPr>
            <w:r w:rsidRPr="00066D7A"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  <w:t>TOTAL</w:t>
            </w:r>
          </w:p>
        </w:tc>
        <w:tc>
          <w:tcPr>
            <w:tcW w:w="1920" w:type="dxa"/>
            <w:vAlign w:val="center"/>
          </w:tcPr>
          <w:p w:rsidR="00910DBC" w:rsidRPr="00066D7A" w:rsidRDefault="00AF4406" w:rsidP="00572003">
            <w:pPr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  <w:t>£</w:t>
            </w:r>
            <w:r w:rsidR="00572003"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  <w:t>17,478</w:t>
            </w:r>
          </w:p>
        </w:tc>
        <w:tc>
          <w:tcPr>
            <w:tcW w:w="4211" w:type="dxa"/>
            <w:vAlign w:val="center"/>
          </w:tcPr>
          <w:p w:rsidR="00910DBC" w:rsidRDefault="00910DBC" w:rsidP="00B10E53">
            <w:pPr>
              <w:pStyle w:val="ListParagraph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910DBC" w:rsidRPr="005533AC" w:rsidRDefault="00910DBC" w:rsidP="00B10E53">
            <w:pPr>
              <w:pStyle w:val="ListParagraph"/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</w:p>
        </w:tc>
      </w:tr>
    </w:tbl>
    <w:p w:rsidR="00AF4406" w:rsidRDefault="00AF4406">
      <w:pPr>
        <w:rPr>
          <w:rFonts w:ascii="Century Gothic" w:hAnsi="Century Gothic" w:cs="Tahoma"/>
          <w:b/>
          <w:color w:val="000000" w:themeColor="text1"/>
          <w:sz w:val="26"/>
          <w:szCs w:val="30"/>
          <w:u w:val="single"/>
        </w:rPr>
      </w:pPr>
    </w:p>
    <w:p w:rsidR="001E0B42" w:rsidRPr="00A7403E" w:rsidRDefault="001E0B42">
      <w:pPr>
        <w:rPr>
          <w:rFonts w:ascii="Century Gothic" w:hAnsi="Century Gothic" w:cs="Tahoma"/>
          <w:b/>
          <w:color w:val="000000" w:themeColor="text1"/>
          <w:sz w:val="26"/>
          <w:szCs w:val="30"/>
          <w:u w:val="single"/>
        </w:rPr>
      </w:pPr>
      <w:r w:rsidRPr="00A7403E">
        <w:rPr>
          <w:rFonts w:ascii="Century Gothic" w:hAnsi="Century Gothic" w:cs="Tahoma"/>
          <w:b/>
          <w:color w:val="000000" w:themeColor="text1"/>
          <w:sz w:val="26"/>
          <w:szCs w:val="30"/>
          <w:u w:val="single"/>
        </w:rPr>
        <w:t>Sustainability &amp; Monitoring</w:t>
      </w:r>
    </w:p>
    <w:p w:rsidR="001E0B42" w:rsidRPr="00A7403E" w:rsidRDefault="00A07900">
      <w:pPr>
        <w:rPr>
          <w:rFonts w:ascii="Century Gothic" w:hAnsi="Century Gothic" w:cs="Tahoma"/>
          <w:color w:val="000000" w:themeColor="text1"/>
          <w:sz w:val="26"/>
          <w:szCs w:val="30"/>
        </w:rPr>
      </w:pPr>
      <w:r>
        <w:rPr>
          <w:rFonts w:ascii="Century Gothic" w:hAnsi="Century Gothic" w:cs="Tahoma"/>
          <w:color w:val="000000" w:themeColor="text1"/>
          <w:sz w:val="26"/>
          <w:szCs w:val="30"/>
        </w:rPr>
        <w:t>We</w:t>
      </w:r>
      <w:r w:rsidR="001E0B42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will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>monitor</w:t>
      </w:r>
      <w:r w:rsidR="001E0B42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>the</w:t>
      </w:r>
      <w:r w:rsidR="001E0B42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Sports Premium Funding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in conjunction with the </w:t>
      </w:r>
      <w:r w:rsidR="00F06847">
        <w:rPr>
          <w:rFonts w:ascii="Century Gothic" w:hAnsi="Century Gothic" w:cs="Tahoma"/>
          <w:color w:val="000000" w:themeColor="text1"/>
          <w:sz w:val="26"/>
          <w:szCs w:val="30"/>
        </w:rPr>
        <w:t>Sainsbury’s School Games Mark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, so we can evaluate and assess the impact that this </w:t>
      </w:r>
      <w:r w:rsidR="00F06847">
        <w:rPr>
          <w:rFonts w:ascii="Century Gothic" w:hAnsi="Century Gothic" w:cs="Tahoma"/>
          <w:color w:val="000000" w:themeColor="text1"/>
          <w:sz w:val="26"/>
          <w:szCs w:val="30"/>
        </w:rPr>
        <w:t xml:space="preserve">funding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>is having across the school.</w:t>
      </w:r>
      <w:r w:rsidR="009C08AE">
        <w:rPr>
          <w:rFonts w:ascii="Century Gothic" w:hAnsi="Century Gothic" w:cs="Tahoma"/>
          <w:color w:val="000000" w:themeColor="text1"/>
          <w:sz w:val="26"/>
          <w:szCs w:val="30"/>
        </w:rPr>
        <w:t xml:space="preserve"> In addition, the Sports Leader in Bradley Green will perform </w:t>
      </w:r>
      <w:proofErr w:type="gramStart"/>
      <w:r w:rsidR="009C08AE">
        <w:rPr>
          <w:rFonts w:ascii="Century Gothic" w:hAnsi="Century Gothic" w:cs="Tahoma"/>
          <w:color w:val="000000" w:themeColor="text1"/>
          <w:sz w:val="26"/>
          <w:szCs w:val="30"/>
        </w:rPr>
        <w:t>a recurring checks</w:t>
      </w:r>
      <w:proofErr w:type="gramEnd"/>
      <w:r w:rsidR="009C08AE">
        <w:rPr>
          <w:rFonts w:ascii="Century Gothic" w:hAnsi="Century Gothic" w:cs="Tahoma"/>
          <w:color w:val="000000" w:themeColor="text1"/>
          <w:sz w:val="26"/>
          <w:szCs w:val="30"/>
        </w:rPr>
        <w:t xml:space="preserve"> on the impact of the Sports Premium Action Plan.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In achieving the aims set forward </w:t>
      </w:r>
      <w:r w:rsidR="00F06847">
        <w:rPr>
          <w:rFonts w:ascii="Century Gothic" w:hAnsi="Century Gothic" w:cs="Tahoma"/>
          <w:color w:val="000000" w:themeColor="text1"/>
          <w:sz w:val="26"/>
          <w:szCs w:val="30"/>
        </w:rPr>
        <w:t xml:space="preserve">here and with reference to the Sainsbury’s School Games Mark, Bradley Green Primary Academy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will have a sustainable and </w:t>
      </w:r>
      <w:r w:rsidR="00123B64" w:rsidRPr="00A7403E">
        <w:rPr>
          <w:rFonts w:ascii="Century Gothic" w:hAnsi="Century Gothic" w:cs="Tahoma"/>
          <w:color w:val="000000" w:themeColor="text1"/>
          <w:sz w:val="26"/>
          <w:szCs w:val="30"/>
        </w:rPr>
        <w:t>effective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s</w:t>
      </w:r>
      <w:r w:rsidR="00A7403E">
        <w:rPr>
          <w:rFonts w:ascii="Century Gothic" w:hAnsi="Century Gothic" w:cs="Tahoma"/>
          <w:color w:val="000000" w:themeColor="text1"/>
          <w:sz w:val="26"/>
          <w:szCs w:val="30"/>
        </w:rPr>
        <w:t>ports programme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. </w:t>
      </w:r>
    </w:p>
    <w:sectPr w:rsidR="001E0B42" w:rsidRPr="00A7403E" w:rsidSect="00C94FAE">
      <w:footerReference w:type="default" r:id="rId9"/>
      <w:pgSz w:w="16838" w:h="11906" w:orient="landscape"/>
      <w:pgMar w:top="567" w:right="624" w:bottom="624" w:left="62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14" w:rsidRDefault="00A77614">
      <w:pPr>
        <w:spacing w:after="0" w:line="240" w:lineRule="auto"/>
      </w:pPr>
      <w:r>
        <w:separator/>
      </w:r>
    </w:p>
  </w:endnote>
  <w:endnote w:type="continuationSeparator" w:id="0">
    <w:p w:rsidR="00A77614" w:rsidRDefault="00A7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AF" w:rsidRPr="00F253AF" w:rsidRDefault="00F253AF">
    <w:pPr>
      <w:pStyle w:val="Footer"/>
      <w:rPr>
        <w:rFonts w:ascii="Century Gothic" w:hAnsi="Century Gothic"/>
      </w:rPr>
    </w:pPr>
    <w:r w:rsidRPr="00F253AF">
      <w:rPr>
        <w:rFonts w:ascii="Century Gothic" w:hAnsi="Century Gothic"/>
      </w:rPr>
      <w:t>Bradley Green</w:t>
    </w:r>
    <w:r w:rsidR="008C73B5">
      <w:rPr>
        <w:rFonts w:ascii="Century Gothic" w:hAnsi="Century Gothic"/>
      </w:rPr>
      <w:t xml:space="preserve"> Primary Academy</w:t>
    </w:r>
    <w:r w:rsidRPr="00F253AF">
      <w:rPr>
        <w:rFonts w:ascii="Century Gothic" w:hAnsi="Century Gothic"/>
      </w:rPr>
      <w:t xml:space="preserve">   |    </w:t>
    </w:r>
    <w:r w:rsidR="00FA7041">
      <w:rPr>
        <w:rFonts w:ascii="Century Gothic" w:hAnsi="Century Gothic"/>
      </w:rPr>
      <w:t>Sports Premium</w:t>
    </w:r>
    <w:r w:rsidRPr="00F253AF">
      <w:rPr>
        <w:rFonts w:ascii="Century Gothic" w:hAnsi="Century Gothic"/>
      </w:rPr>
      <w:t xml:space="preserve"> </w:t>
    </w:r>
    <w:r w:rsidR="00843A2D">
      <w:rPr>
        <w:rFonts w:ascii="Century Gothic" w:hAnsi="Century Gothic"/>
      </w:rPr>
      <w:t xml:space="preserve">Action Plan </w:t>
    </w:r>
    <w:r w:rsidR="00AF4406">
      <w:rPr>
        <w:rFonts w:ascii="Century Gothic" w:hAnsi="Century Gothic"/>
      </w:rPr>
      <w:t>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14" w:rsidRDefault="00A77614">
      <w:pPr>
        <w:spacing w:after="0" w:line="240" w:lineRule="auto"/>
      </w:pPr>
      <w:r>
        <w:separator/>
      </w:r>
    </w:p>
  </w:footnote>
  <w:footnote w:type="continuationSeparator" w:id="0">
    <w:p w:rsidR="00A77614" w:rsidRDefault="00A7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FA1"/>
    <w:multiLevelType w:val="hybridMultilevel"/>
    <w:tmpl w:val="5434B326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5543"/>
    <w:multiLevelType w:val="hybridMultilevel"/>
    <w:tmpl w:val="8B06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043"/>
    <w:multiLevelType w:val="hybridMultilevel"/>
    <w:tmpl w:val="F3409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0FA8"/>
    <w:multiLevelType w:val="hybridMultilevel"/>
    <w:tmpl w:val="9CACF206"/>
    <w:lvl w:ilvl="0" w:tplc="8B4C522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0034D"/>
    <w:multiLevelType w:val="multilevel"/>
    <w:tmpl w:val="C4AA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5" w15:restartNumberingAfterBreak="0">
    <w:nsid w:val="0B060EBC"/>
    <w:multiLevelType w:val="hybridMultilevel"/>
    <w:tmpl w:val="C042192A"/>
    <w:lvl w:ilvl="0" w:tplc="40FC672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357A5"/>
    <w:multiLevelType w:val="hybridMultilevel"/>
    <w:tmpl w:val="E15AE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5A43"/>
    <w:multiLevelType w:val="multilevel"/>
    <w:tmpl w:val="F3409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6E65"/>
    <w:multiLevelType w:val="hybridMultilevel"/>
    <w:tmpl w:val="C8B67378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F603E"/>
    <w:multiLevelType w:val="hybridMultilevel"/>
    <w:tmpl w:val="09A65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44CA"/>
    <w:multiLevelType w:val="hybridMultilevel"/>
    <w:tmpl w:val="28A21728"/>
    <w:lvl w:ilvl="0" w:tplc="DD3243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743C"/>
    <w:multiLevelType w:val="hybridMultilevel"/>
    <w:tmpl w:val="E3283028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0171"/>
    <w:multiLevelType w:val="multilevel"/>
    <w:tmpl w:val="C4AA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13" w15:restartNumberingAfterBreak="0">
    <w:nsid w:val="347C4364"/>
    <w:multiLevelType w:val="hybridMultilevel"/>
    <w:tmpl w:val="4C4E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945"/>
    <w:multiLevelType w:val="hybridMultilevel"/>
    <w:tmpl w:val="8B06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C13"/>
    <w:multiLevelType w:val="hybridMultilevel"/>
    <w:tmpl w:val="DC5EAF64"/>
    <w:lvl w:ilvl="0" w:tplc="64CC79B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EC31CC"/>
    <w:multiLevelType w:val="hybridMultilevel"/>
    <w:tmpl w:val="4448CA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46189"/>
    <w:multiLevelType w:val="hybridMultilevel"/>
    <w:tmpl w:val="28A21728"/>
    <w:lvl w:ilvl="0" w:tplc="DD3243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BF1955"/>
    <w:multiLevelType w:val="hybridMultilevel"/>
    <w:tmpl w:val="28A21728"/>
    <w:lvl w:ilvl="0" w:tplc="DD3243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2659"/>
    <w:multiLevelType w:val="hybridMultilevel"/>
    <w:tmpl w:val="C564FEA6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954FF"/>
    <w:multiLevelType w:val="hybridMultilevel"/>
    <w:tmpl w:val="22044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93D10"/>
    <w:multiLevelType w:val="hybridMultilevel"/>
    <w:tmpl w:val="2F74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712B0"/>
    <w:multiLevelType w:val="hybridMultilevel"/>
    <w:tmpl w:val="5C48B7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76ED0"/>
    <w:multiLevelType w:val="hybridMultilevel"/>
    <w:tmpl w:val="35820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C3960"/>
    <w:multiLevelType w:val="hybridMultilevel"/>
    <w:tmpl w:val="96D4EE7E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54F3E"/>
    <w:multiLevelType w:val="hybridMultilevel"/>
    <w:tmpl w:val="679E94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01F5F"/>
    <w:multiLevelType w:val="hybridMultilevel"/>
    <w:tmpl w:val="A0987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A42BB"/>
    <w:multiLevelType w:val="multilevel"/>
    <w:tmpl w:val="C4AA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28" w15:restartNumberingAfterBreak="0">
    <w:nsid w:val="62EC380A"/>
    <w:multiLevelType w:val="multilevel"/>
    <w:tmpl w:val="D93C6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29" w15:restartNumberingAfterBreak="0">
    <w:nsid w:val="663D73E0"/>
    <w:multiLevelType w:val="hybridMultilevel"/>
    <w:tmpl w:val="8B06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1425"/>
    <w:multiLevelType w:val="hybridMultilevel"/>
    <w:tmpl w:val="180CE414"/>
    <w:lvl w:ilvl="0" w:tplc="8B4C522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F93824"/>
    <w:multiLevelType w:val="hybridMultilevel"/>
    <w:tmpl w:val="E15AE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1C98"/>
    <w:multiLevelType w:val="hybridMultilevel"/>
    <w:tmpl w:val="2E641C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4D81"/>
    <w:multiLevelType w:val="hybridMultilevel"/>
    <w:tmpl w:val="23DC0C62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563D5"/>
    <w:multiLevelType w:val="hybridMultilevel"/>
    <w:tmpl w:val="7DF0E236"/>
    <w:lvl w:ilvl="0" w:tplc="64CC79B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30"/>
  </w:num>
  <w:num w:numId="4">
    <w:abstractNumId w:val="28"/>
  </w:num>
  <w:num w:numId="5">
    <w:abstractNumId w:val="3"/>
  </w:num>
  <w:num w:numId="6">
    <w:abstractNumId w:val="1"/>
  </w:num>
  <w:num w:numId="7">
    <w:abstractNumId w:val="14"/>
  </w:num>
  <w:num w:numId="8">
    <w:abstractNumId w:val="2"/>
  </w:num>
  <w:num w:numId="9">
    <w:abstractNumId w:val="31"/>
  </w:num>
  <w:num w:numId="10">
    <w:abstractNumId w:val="6"/>
  </w:num>
  <w:num w:numId="11">
    <w:abstractNumId w:val="29"/>
  </w:num>
  <w:num w:numId="12">
    <w:abstractNumId w:val="7"/>
  </w:num>
  <w:num w:numId="13">
    <w:abstractNumId w:val="12"/>
  </w:num>
  <w:num w:numId="14">
    <w:abstractNumId w:val="4"/>
  </w:num>
  <w:num w:numId="15">
    <w:abstractNumId w:val="27"/>
  </w:num>
  <w:num w:numId="16">
    <w:abstractNumId w:val="16"/>
  </w:num>
  <w:num w:numId="17">
    <w:abstractNumId w:val="9"/>
  </w:num>
  <w:num w:numId="18">
    <w:abstractNumId w:val="20"/>
  </w:num>
  <w:num w:numId="19">
    <w:abstractNumId w:val="21"/>
  </w:num>
  <w:num w:numId="20">
    <w:abstractNumId w:val="10"/>
  </w:num>
  <w:num w:numId="21">
    <w:abstractNumId w:val="17"/>
  </w:num>
  <w:num w:numId="22">
    <w:abstractNumId w:val="26"/>
  </w:num>
  <w:num w:numId="23">
    <w:abstractNumId w:val="18"/>
  </w:num>
  <w:num w:numId="24">
    <w:abstractNumId w:val="34"/>
  </w:num>
  <w:num w:numId="25">
    <w:abstractNumId w:val="15"/>
  </w:num>
  <w:num w:numId="26">
    <w:abstractNumId w:val="19"/>
  </w:num>
  <w:num w:numId="27">
    <w:abstractNumId w:val="11"/>
  </w:num>
  <w:num w:numId="28">
    <w:abstractNumId w:val="0"/>
  </w:num>
  <w:num w:numId="29">
    <w:abstractNumId w:val="8"/>
  </w:num>
  <w:num w:numId="30">
    <w:abstractNumId w:val="33"/>
  </w:num>
  <w:num w:numId="31">
    <w:abstractNumId w:val="24"/>
  </w:num>
  <w:num w:numId="32">
    <w:abstractNumId w:val="13"/>
  </w:num>
  <w:num w:numId="33">
    <w:abstractNumId w:val="32"/>
  </w:num>
  <w:num w:numId="34">
    <w:abstractNumId w:val="25"/>
  </w:num>
  <w:num w:numId="3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08"/>
    <w:rsid w:val="0000468B"/>
    <w:rsid w:val="00027853"/>
    <w:rsid w:val="00030D18"/>
    <w:rsid w:val="00032E1D"/>
    <w:rsid w:val="000406D9"/>
    <w:rsid w:val="00066D7A"/>
    <w:rsid w:val="00095EEB"/>
    <w:rsid w:val="000A3BD3"/>
    <w:rsid w:val="000B2CBB"/>
    <w:rsid w:val="000C779A"/>
    <w:rsid w:val="000D6CCB"/>
    <w:rsid w:val="000E5805"/>
    <w:rsid w:val="000E785A"/>
    <w:rsid w:val="00123B64"/>
    <w:rsid w:val="001578B5"/>
    <w:rsid w:val="00184C12"/>
    <w:rsid w:val="001A0A0E"/>
    <w:rsid w:val="001A40F3"/>
    <w:rsid w:val="001B41E8"/>
    <w:rsid w:val="001C5BB6"/>
    <w:rsid w:val="001D4D6C"/>
    <w:rsid w:val="001E0B42"/>
    <w:rsid w:val="002141DD"/>
    <w:rsid w:val="0022455E"/>
    <w:rsid w:val="00224BE7"/>
    <w:rsid w:val="00227B35"/>
    <w:rsid w:val="002451B2"/>
    <w:rsid w:val="00294A74"/>
    <w:rsid w:val="002A0135"/>
    <w:rsid w:val="002A331C"/>
    <w:rsid w:val="002B4AAB"/>
    <w:rsid w:val="002B524D"/>
    <w:rsid w:val="002E6F64"/>
    <w:rsid w:val="00390818"/>
    <w:rsid w:val="003A4A51"/>
    <w:rsid w:val="004169AD"/>
    <w:rsid w:val="00435BDB"/>
    <w:rsid w:val="00444874"/>
    <w:rsid w:val="004477CF"/>
    <w:rsid w:val="00474178"/>
    <w:rsid w:val="004848B5"/>
    <w:rsid w:val="004928E6"/>
    <w:rsid w:val="004A0628"/>
    <w:rsid w:val="004D1FA1"/>
    <w:rsid w:val="00511C65"/>
    <w:rsid w:val="00517510"/>
    <w:rsid w:val="005226CC"/>
    <w:rsid w:val="005533AC"/>
    <w:rsid w:val="005669D1"/>
    <w:rsid w:val="00572003"/>
    <w:rsid w:val="00581FFD"/>
    <w:rsid w:val="005D42BE"/>
    <w:rsid w:val="005E03BA"/>
    <w:rsid w:val="00603C19"/>
    <w:rsid w:val="006177DA"/>
    <w:rsid w:val="00672ABF"/>
    <w:rsid w:val="006A068A"/>
    <w:rsid w:val="006C7EC9"/>
    <w:rsid w:val="006E0BE6"/>
    <w:rsid w:val="00766A94"/>
    <w:rsid w:val="007773C0"/>
    <w:rsid w:val="007830AC"/>
    <w:rsid w:val="007B3103"/>
    <w:rsid w:val="007F3D1D"/>
    <w:rsid w:val="00802C2E"/>
    <w:rsid w:val="008055D5"/>
    <w:rsid w:val="00823AE1"/>
    <w:rsid w:val="00843A2D"/>
    <w:rsid w:val="00872030"/>
    <w:rsid w:val="00883457"/>
    <w:rsid w:val="00886597"/>
    <w:rsid w:val="008923DF"/>
    <w:rsid w:val="008A5050"/>
    <w:rsid w:val="008A55A3"/>
    <w:rsid w:val="008B61A1"/>
    <w:rsid w:val="008C5BCA"/>
    <w:rsid w:val="008C7275"/>
    <w:rsid w:val="008C73B5"/>
    <w:rsid w:val="009037D0"/>
    <w:rsid w:val="00910DBC"/>
    <w:rsid w:val="009278D0"/>
    <w:rsid w:val="009951CB"/>
    <w:rsid w:val="009976ED"/>
    <w:rsid w:val="009C08AE"/>
    <w:rsid w:val="009C4E27"/>
    <w:rsid w:val="009D7C6B"/>
    <w:rsid w:val="009F61C0"/>
    <w:rsid w:val="00A07900"/>
    <w:rsid w:val="00A3361B"/>
    <w:rsid w:val="00A53608"/>
    <w:rsid w:val="00A54557"/>
    <w:rsid w:val="00A7403E"/>
    <w:rsid w:val="00A77614"/>
    <w:rsid w:val="00AA64DC"/>
    <w:rsid w:val="00AB09E6"/>
    <w:rsid w:val="00AF33AF"/>
    <w:rsid w:val="00AF4406"/>
    <w:rsid w:val="00B545AC"/>
    <w:rsid w:val="00B55534"/>
    <w:rsid w:val="00BA793F"/>
    <w:rsid w:val="00BC6E4F"/>
    <w:rsid w:val="00C07766"/>
    <w:rsid w:val="00C21D2C"/>
    <w:rsid w:val="00C43A09"/>
    <w:rsid w:val="00C66C3B"/>
    <w:rsid w:val="00C94FAE"/>
    <w:rsid w:val="00C96C17"/>
    <w:rsid w:val="00CA30AB"/>
    <w:rsid w:val="00CB75A0"/>
    <w:rsid w:val="00CD4D4F"/>
    <w:rsid w:val="00CE4822"/>
    <w:rsid w:val="00D1278C"/>
    <w:rsid w:val="00DA5FC4"/>
    <w:rsid w:val="00DB76B1"/>
    <w:rsid w:val="00DC6F9F"/>
    <w:rsid w:val="00DE4905"/>
    <w:rsid w:val="00E11E69"/>
    <w:rsid w:val="00E60086"/>
    <w:rsid w:val="00EA5ECF"/>
    <w:rsid w:val="00EB2906"/>
    <w:rsid w:val="00EC560F"/>
    <w:rsid w:val="00ED2B81"/>
    <w:rsid w:val="00ED46AC"/>
    <w:rsid w:val="00ED7510"/>
    <w:rsid w:val="00F06847"/>
    <w:rsid w:val="00F253AF"/>
    <w:rsid w:val="00F325F3"/>
    <w:rsid w:val="00F335C1"/>
    <w:rsid w:val="00F642C1"/>
    <w:rsid w:val="00F71C74"/>
    <w:rsid w:val="00F76243"/>
    <w:rsid w:val="00F83D0D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EB2BFBD"/>
  <w15:docId w15:val="{15E76064-AB7C-4242-A83C-5DFF0FC1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4123D-51C6-4D71-9921-98341FF2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Astley Sports College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Murray</dc:creator>
  <cp:lastModifiedBy>Allen, David</cp:lastModifiedBy>
  <cp:revision>2</cp:revision>
  <cp:lastPrinted>2017-01-06T21:13:00Z</cp:lastPrinted>
  <dcterms:created xsi:type="dcterms:W3CDTF">2020-11-19T13:07:00Z</dcterms:created>
  <dcterms:modified xsi:type="dcterms:W3CDTF">2020-11-19T13:07:00Z</dcterms:modified>
</cp:coreProperties>
</file>