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C3D7" w14:textId="31CD723B" w:rsidR="00FC008B" w:rsidRPr="00D62D07" w:rsidRDefault="005C4CE6">
      <w:pPr>
        <w:pStyle w:val="Title"/>
        <w:jc w:val="center"/>
        <w:rPr>
          <w:rFonts w:cstheme="majorHAnsi"/>
        </w:rPr>
      </w:pPr>
      <w:r w:rsidRPr="00D62D07">
        <w:rPr>
          <w:rFonts w:cstheme="majorHAnsi"/>
        </w:rPr>
        <w:t>Accessibility Plan</w:t>
      </w:r>
      <w:r w:rsidR="00CC482A">
        <w:rPr>
          <w:rFonts w:cstheme="majorHAnsi"/>
        </w:rPr>
        <w:t xml:space="preserve"> 2025-2027</w:t>
      </w:r>
    </w:p>
    <w:p w14:paraId="66A1B70B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Accessibility Plan</w:t>
      </w:r>
    </w:p>
    <w:p w14:paraId="64F7FF37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July 2024</w:t>
      </w:r>
    </w:p>
    <w:p w14:paraId="1906DDD0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Statutory or non-statutory:</w:t>
      </w:r>
    </w:p>
    <w:p w14:paraId="37783F91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Statutory</w:t>
      </w:r>
    </w:p>
    <w:p w14:paraId="1B2B70B3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Author/Reviewer:</w:t>
      </w:r>
    </w:p>
    <w:p w14:paraId="50499581" w14:textId="2665987C" w:rsidR="00FC008B" w:rsidRPr="00D62D07" w:rsidRDefault="00B73DBA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Becky Edwards</w:t>
      </w:r>
    </w:p>
    <w:p w14:paraId="31F9467D" w14:textId="77777777" w:rsidR="00FC008B" w:rsidRPr="00D62D07" w:rsidRDefault="005C4CE6">
      <w:pPr>
        <w:pStyle w:val="Heading1"/>
        <w:rPr>
          <w:rFonts w:cstheme="majorHAnsi"/>
        </w:rPr>
      </w:pPr>
      <w:r w:rsidRPr="00D62D07">
        <w:rPr>
          <w:rFonts w:cstheme="majorHAnsi"/>
        </w:rPr>
        <w:t>1. Aims</w:t>
      </w:r>
    </w:p>
    <w:p w14:paraId="6072DD9C" w14:textId="22CE66B9" w:rsidR="00FC008B" w:rsidRPr="00D62D07" w:rsidRDefault="00D62D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</w:t>
      </w:r>
      <w:r w:rsidR="005C4CE6" w:rsidRPr="00D62D07">
        <w:rPr>
          <w:rFonts w:asciiTheme="majorHAnsi" w:hAnsiTheme="majorHAnsi" w:cstheme="majorHAnsi"/>
        </w:rPr>
        <w:t xml:space="preserve"> </w:t>
      </w:r>
      <w:r w:rsidR="00B73DBA" w:rsidRPr="00D62D07">
        <w:rPr>
          <w:rFonts w:asciiTheme="majorHAnsi" w:hAnsiTheme="majorHAnsi" w:cstheme="majorHAnsi"/>
        </w:rPr>
        <w:t>Bramcote College</w:t>
      </w:r>
      <w:r w:rsidR="005C4CE6" w:rsidRPr="00D62D07">
        <w:rPr>
          <w:rFonts w:asciiTheme="majorHAnsi" w:hAnsiTheme="majorHAnsi" w:cstheme="majorHAnsi"/>
        </w:rPr>
        <w:t xml:space="preserve"> our aim is for all learners</w:t>
      </w:r>
      <w:r w:rsidR="00B73DBA" w:rsidRPr="00D62D07">
        <w:rPr>
          <w:rFonts w:asciiTheme="majorHAnsi" w:hAnsiTheme="majorHAnsi" w:cstheme="majorHAnsi"/>
        </w:rPr>
        <w:t xml:space="preserve"> </w:t>
      </w:r>
      <w:r w:rsidR="005C4CE6" w:rsidRPr="00D62D07">
        <w:rPr>
          <w:rFonts w:asciiTheme="majorHAnsi" w:hAnsiTheme="majorHAnsi" w:cstheme="majorHAnsi"/>
        </w:rPr>
        <w:t>to access a broad and balanced curriculum in a safe learning environment and there will be clarity of provision for them. All learners are valued and every child</w:t>
      </w:r>
      <w:r w:rsidR="00B73DBA" w:rsidRPr="00D62D07">
        <w:rPr>
          <w:rFonts w:asciiTheme="majorHAnsi" w:hAnsiTheme="majorHAnsi" w:cstheme="majorHAnsi"/>
        </w:rPr>
        <w:t xml:space="preserve"> </w:t>
      </w:r>
      <w:proofErr w:type="gramStart"/>
      <w:r w:rsidR="005C4CE6" w:rsidRPr="00D62D07">
        <w:rPr>
          <w:rFonts w:asciiTheme="majorHAnsi" w:hAnsiTheme="majorHAnsi" w:cstheme="majorHAnsi"/>
        </w:rPr>
        <w:t>matters</w:t>
      </w:r>
      <w:proofErr w:type="gramEnd"/>
      <w:r w:rsidR="005C4CE6" w:rsidRPr="00D62D07">
        <w:rPr>
          <w:rFonts w:asciiTheme="majorHAnsi" w:hAnsiTheme="majorHAnsi" w:cstheme="majorHAnsi"/>
        </w:rPr>
        <w:t>.</w:t>
      </w:r>
    </w:p>
    <w:p w14:paraId="31AC808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Our school aims to treat all its students fairly and with respect. This involves providing access and opportunities for all students without discrimination of any kind.</w:t>
      </w:r>
    </w:p>
    <w:p w14:paraId="41CB0F6F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Schools are required under the Equality Act 2010 to have an accessibility plan. The purpose of the plan is to:</w:t>
      </w:r>
    </w:p>
    <w:p w14:paraId="1A569D0D" w14:textId="77777777" w:rsidR="00FC008B" w:rsidRPr="00D62D07" w:rsidRDefault="005C4CE6" w:rsidP="00B73DBA">
      <w:pPr>
        <w:pStyle w:val="ListBullet"/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Increase the extent to which students with SEND can participate in the curriculum.</w:t>
      </w:r>
    </w:p>
    <w:p w14:paraId="2C5749DD" w14:textId="79645036" w:rsidR="00FC008B" w:rsidRPr="00D62D07" w:rsidRDefault="005C4CE6" w:rsidP="00B73DBA">
      <w:pPr>
        <w:pStyle w:val="ListBullet"/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Improve the physical environment of the school to enable students with disabilities to take better advantage of education, benefits, facilities and services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provided.</w:t>
      </w:r>
    </w:p>
    <w:p w14:paraId="018719E7" w14:textId="77777777" w:rsidR="00FC008B" w:rsidRPr="00D62D07" w:rsidRDefault="005C4CE6" w:rsidP="00B73DBA">
      <w:pPr>
        <w:pStyle w:val="ListBullet"/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Improve the availability of accessible information to students with disabilities</w:t>
      </w:r>
    </w:p>
    <w:p w14:paraId="36F960A0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Our school is also committed to ensuring staff are trained in equality issues with reference to the Equality Act 2010, including understanding SEND issues.</w:t>
      </w:r>
    </w:p>
    <w:p w14:paraId="17FCAC53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lastRenderedPageBreak/>
        <w:t>The school supports any available partnerships to develop and implement the plan.</w:t>
      </w:r>
    </w:p>
    <w:p w14:paraId="660DD02C" w14:textId="7FEF6DF0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Our school’s complaints procedure covers the accessibility plan. If you have any concerns relating to accessibility in school, this procedure sets out the process for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raising these concerns.</w:t>
      </w:r>
    </w:p>
    <w:p w14:paraId="3AF80C0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The plan will be made available online on the school website, and paper copies are available upon request.</w:t>
      </w:r>
    </w:p>
    <w:p w14:paraId="58F1BBBC" w14:textId="77777777" w:rsidR="00FC008B" w:rsidRPr="00D62D07" w:rsidRDefault="005C4CE6">
      <w:pPr>
        <w:pStyle w:val="Heading1"/>
        <w:rPr>
          <w:rFonts w:cstheme="majorHAnsi"/>
        </w:rPr>
      </w:pPr>
      <w:r w:rsidRPr="00D62D07">
        <w:rPr>
          <w:rFonts w:cstheme="majorHAnsi"/>
        </w:rPr>
        <w:t>2. Legislation and guidance</w:t>
      </w:r>
    </w:p>
    <w:p w14:paraId="63E5B84C" w14:textId="19911981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This plan has been created to meet the requirements of schedule 10 of the Equality Act 2010 and the Department for Education (DfE) guidance for schools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on the Equality Act 2010.</w:t>
      </w:r>
    </w:p>
    <w:p w14:paraId="5D0A249E" w14:textId="1305C420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The Equality Act 2010 defines an individual as disabled if he or she has a physical or mental impairment that has a ‘substantial’ and ‘long-term’ adverse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effect on his or her ability to undertake normal day to day activities.</w:t>
      </w:r>
    </w:p>
    <w:p w14:paraId="42CFDA69" w14:textId="557CD003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Under the Special Educational Needs and Disability (SEND) Code of Practice, ‘long-term’ is defined as ‘a year or more’ and ‘substantial’ is defined as ‘more than minor or trivial’. The definition includes sensory impairments such as those affecting sight or hearing, and long-term health conditions such as asthma,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diabetes, epilepsy and cancer.</w:t>
      </w:r>
    </w:p>
    <w:p w14:paraId="2A9048CF" w14:textId="387AC229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Schools are required to make ‘reasonable adjustments’ for students with disabilities under the Equality Act 2010, to alleviate any substantial disadvantage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that a disabled student faces in comparison with non-disabled students. This can include, for example, the provision of an auxiliary aid or adjustments to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premises.</w:t>
      </w:r>
    </w:p>
    <w:p w14:paraId="7C4602B0" w14:textId="77777777" w:rsidR="00FC008B" w:rsidRPr="00D62D07" w:rsidRDefault="005C4CE6">
      <w:pPr>
        <w:pStyle w:val="Heading1"/>
        <w:rPr>
          <w:rFonts w:cstheme="majorHAnsi"/>
        </w:rPr>
      </w:pPr>
      <w:r w:rsidRPr="00D62D07">
        <w:rPr>
          <w:rFonts w:cstheme="majorHAnsi"/>
        </w:rPr>
        <w:t>3. Links with other policies</w:t>
      </w:r>
    </w:p>
    <w:p w14:paraId="24E223CF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This accessibility plan is linked to the following policies and documents:</w:t>
      </w:r>
    </w:p>
    <w:p w14:paraId="12847812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Attendance</w:t>
      </w:r>
    </w:p>
    <w:p w14:paraId="7EFF0308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Admissions</w:t>
      </w:r>
    </w:p>
    <w:p w14:paraId="18244877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lastRenderedPageBreak/>
        <w:t>Anti-bullying</w:t>
      </w:r>
    </w:p>
    <w:p w14:paraId="42FCA8C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Safeguarding</w:t>
      </w:r>
    </w:p>
    <w:p w14:paraId="71E32F22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Equality</w:t>
      </w:r>
    </w:p>
    <w:p w14:paraId="3394139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Special educational needs and disabilities (SEND)</w:t>
      </w:r>
    </w:p>
    <w:p w14:paraId="52BFE1B7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SEND Local offer</w:t>
      </w:r>
    </w:p>
    <w:p w14:paraId="2643183A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Action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2172"/>
        <w:gridCol w:w="2141"/>
        <w:gridCol w:w="2304"/>
        <w:gridCol w:w="2003"/>
        <w:gridCol w:w="2163"/>
      </w:tblGrid>
      <w:tr w:rsidR="00D62D07" w:rsidRPr="00D62D07" w14:paraId="58A25536" w14:textId="77777777" w:rsidTr="00A41AB3">
        <w:tc>
          <w:tcPr>
            <w:tcW w:w="2167" w:type="dxa"/>
          </w:tcPr>
          <w:p w14:paraId="528EC09F" w14:textId="6D04545D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Action</w:t>
            </w:r>
          </w:p>
        </w:tc>
        <w:tc>
          <w:tcPr>
            <w:tcW w:w="2172" w:type="dxa"/>
          </w:tcPr>
          <w:p w14:paraId="498086C7" w14:textId="0907C3E0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Strategies</w:t>
            </w:r>
          </w:p>
        </w:tc>
        <w:tc>
          <w:tcPr>
            <w:tcW w:w="2141" w:type="dxa"/>
          </w:tcPr>
          <w:p w14:paraId="62BF5329" w14:textId="641A2973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Timescale</w:t>
            </w:r>
          </w:p>
        </w:tc>
        <w:tc>
          <w:tcPr>
            <w:tcW w:w="2304" w:type="dxa"/>
          </w:tcPr>
          <w:p w14:paraId="60E6480D" w14:textId="33FFAFF2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Responsibility</w:t>
            </w:r>
          </w:p>
        </w:tc>
        <w:tc>
          <w:tcPr>
            <w:tcW w:w="2003" w:type="dxa"/>
          </w:tcPr>
          <w:p w14:paraId="7D66F3BC" w14:textId="40F49D73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Monitoring</w:t>
            </w:r>
          </w:p>
        </w:tc>
        <w:tc>
          <w:tcPr>
            <w:tcW w:w="2163" w:type="dxa"/>
          </w:tcPr>
          <w:p w14:paraId="71A16B67" w14:textId="660F4BF3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Success criteria</w:t>
            </w:r>
          </w:p>
        </w:tc>
      </w:tr>
      <w:tr w:rsidR="00E14D75" w:rsidRPr="00D62D07" w14:paraId="47C8330A" w14:textId="77777777" w:rsidTr="00A41AB3">
        <w:trPr>
          <w:trHeight w:val="222"/>
        </w:trPr>
        <w:tc>
          <w:tcPr>
            <w:tcW w:w="12950" w:type="dxa"/>
            <w:gridSpan w:val="6"/>
            <w:vAlign w:val="center"/>
          </w:tcPr>
          <w:p w14:paraId="45F7A02A" w14:textId="1F91D58D" w:rsidR="00E14D75" w:rsidRPr="00E14D75" w:rsidRDefault="00E14D75" w:rsidP="00E14D7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14D75">
              <w:rPr>
                <w:rFonts w:asciiTheme="majorHAnsi" w:hAnsiTheme="majorHAnsi" w:cstheme="majorHAnsi"/>
                <w:b/>
              </w:rPr>
              <w:t>Access to Curriculum</w:t>
            </w:r>
          </w:p>
        </w:tc>
      </w:tr>
      <w:tr w:rsidR="00D62D07" w:rsidRPr="00D62D07" w14:paraId="6E6EC4FC" w14:textId="77777777" w:rsidTr="00A41AB3">
        <w:tc>
          <w:tcPr>
            <w:tcW w:w="2167" w:type="dxa"/>
          </w:tcPr>
          <w:p w14:paraId="665AE0EB" w14:textId="6EB83678" w:rsidR="00D62D07" w:rsidRPr="00D62D07" w:rsidRDefault="00CC48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Reflect range of student needs </w:t>
            </w:r>
            <w:r w:rsidR="00932CCD">
              <w:rPr>
                <w:rFonts w:asciiTheme="majorHAnsi" w:hAnsiTheme="majorHAnsi" w:cstheme="majorHAnsi"/>
              </w:rPr>
              <w:t>in lesson planning and delivery</w:t>
            </w:r>
          </w:p>
        </w:tc>
        <w:tc>
          <w:tcPr>
            <w:tcW w:w="2172" w:type="dxa"/>
          </w:tcPr>
          <w:p w14:paraId="3D9B4D37" w14:textId="5E2381AB" w:rsidR="00D62D07" w:rsidRDefault="00932C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Incorporate </w:t>
            </w:r>
            <w:r w:rsidR="0049514D">
              <w:rPr>
                <w:rFonts w:asciiTheme="majorHAnsi" w:hAnsiTheme="majorHAnsi" w:cstheme="majorHAnsi"/>
              </w:rPr>
              <w:t>quality</w:t>
            </w:r>
            <w:r>
              <w:rPr>
                <w:rFonts w:asciiTheme="majorHAnsi" w:hAnsiTheme="majorHAnsi" w:cstheme="majorHAnsi"/>
              </w:rPr>
              <w:t xml:space="preserve"> first teaching into all lessons</w:t>
            </w:r>
          </w:p>
          <w:p w14:paraId="0A815710" w14:textId="77777777" w:rsidR="00932CCD" w:rsidRDefault="00932CCD">
            <w:pPr>
              <w:rPr>
                <w:rFonts w:asciiTheme="majorHAnsi" w:hAnsiTheme="majorHAnsi" w:cstheme="majorHAnsi"/>
              </w:rPr>
            </w:pPr>
          </w:p>
          <w:p w14:paraId="59B46012" w14:textId="77777777" w:rsidR="00932CCD" w:rsidRDefault="00932C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appropriate course are available for all students at KS4</w:t>
            </w:r>
          </w:p>
          <w:p w14:paraId="7BF98983" w14:textId="77777777" w:rsidR="00932CCD" w:rsidRDefault="00932CCD">
            <w:pPr>
              <w:rPr>
                <w:rFonts w:asciiTheme="majorHAnsi" w:hAnsiTheme="majorHAnsi" w:cstheme="majorHAnsi"/>
              </w:rPr>
            </w:pPr>
          </w:p>
          <w:p w14:paraId="28510069" w14:textId="77777777" w:rsidR="00932CCD" w:rsidRDefault="00932C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Ongoing CPD to for staff to further embed quality first teaching, work towards dyslexia friendly classrooms and trauma informed practice. </w:t>
            </w:r>
          </w:p>
          <w:p w14:paraId="2210327D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477392DA" w14:textId="6BF86804" w:rsidR="0049514D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Ongoing CPD to make staff aware of current </w:t>
            </w:r>
            <w:r>
              <w:rPr>
                <w:rFonts w:asciiTheme="majorHAnsi" w:hAnsiTheme="majorHAnsi" w:cstheme="majorHAnsi"/>
              </w:rPr>
              <w:lastRenderedPageBreak/>
              <w:t>diversity of needs and challenges within the student population</w:t>
            </w:r>
          </w:p>
        </w:tc>
        <w:tc>
          <w:tcPr>
            <w:tcW w:w="2141" w:type="dxa"/>
          </w:tcPr>
          <w:p w14:paraId="37D59C39" w14:textId="585244A5" w:rsidR="00D62D07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Ongoing </w:t>
            </w:r>
          </w:p>
        </w:tc>
        <w:tc>
          <w:tcPr>
            <w:tcW w:w="2304" w:type="dxa"/>
          </w:tcPr>
          <w:p w14:paraId="42B2DBAF" w14:textId="0817D972" w:rsid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</w:t>
            </w:r>
            <w:r w:rsidR="00A41AB3">
              <w:rPr>
                <w:rFonts w:asciiTheme="majorHAnsi" w:hAnsiTheme="majorHAnsi" w:cstheme="majorHAnsi"/>
              </w:rPr>
              <w:t xml:space="preserve"> teaching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>staff</w:t>
            </w:r>
            <w:proofErr w:type="gramEnd"/>
          </w:p>
          <w:p w14:paraId="112FB15C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26860085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7E971295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7C13F854" w14:textId="3EB9D5C0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Leadership team </w:t>
            </w:r>
          </w:p>
          <w:p w14:paraId="7A49EDA1" w14:textId="566E369D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709A84BB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059DA554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1A6DD83F" w14:textId="5D321BCC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 SENCO</w:t>
            </w:r>
          </w:p>
          <w:p w14:paraId="3E313691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0C047C50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61254D7A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58C007F5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08CECD7C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2364D4AF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2842C38D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18D7072F" w14:textId="2431CA9D" w:rsidR="0049514D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</w:tc>
        <w:tc>
          <w:tcPr>
            <w:tcW w:w="2003" w:type="dxa"/>
          </w:tcPr>
          <w:p w14:paraId="0B866645" w14:textId="77777777" w:rsid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Governors</w:t>
            </w:r>
          </w:p>
          <w:p w14:paraId="19B25A00" w14:textId="77777777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0C3B4CB3" w14:textId="1C39C8A2" w:rsidR="0049514D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</w:tc>
        <w:tc>
          <w:tcPr>
            <w:tcW w:w="2163" w:type="dxa"/>
          </w:tcPr>
          <w:p w14:paraId="59FA3276" w14:textId="0988024C" w:rsidR="00D62D07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Improved access to the curriculum for all students </w:t>
            </w:r>
          </w:p>
        </w:tc>
      </w:tr>
      <w:tr w:rsidR="00A877F3" w:rsidRPr="00D62D07" w14:paraId="61F0D9B7" w14:textId="77777777" w:rsidTr="00A41AB3">
        <w:tc>
          <w:tcPr>
            <w:tcW w:w="2167" w:type="dxa"/>
          </w:tcPr>
          <w:p w14:paraId="6896FD82" w14:textId="435B49EF" w:rsidR="00A877F3" w:rsidRPr="00D62D07" w:rsidRDefault="003203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Enhance use of assistive technologies </w:t>
            </w:r>
            <w:r w:rsidR="00A41AB3">
              <w:rPr>
                <w:rFonts w:asciiTheme="majorHAnsi" w:hAnsiTheme="majorHAnsi" w:cstheme="majorHAnsi"/>
              </w:rPr>
              <w:t>in class and exams to increase access to the curriculum for students with SEND</w:t>
            </w:r>
          </w:p>
        </w:tc>
        <w:tc>
          <w:tcPr>
            <w:tcW w:w="2172" w:type="dxa"/>
          </w:tcPr>
          <w:p w14:paraId="7DE183EC" w14:textId="3A62C6D1" w:rsidR="00A877F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Increase availability of laptops.</w:t>
            </w:r>
          </w:p>
          <w:p w14:paraId="38B69FC3" w14:textId="77777777" w:rsidR="00A41AB3" w:rsidRDefault="00A41AB3">
            <w:pPr>
              <w:rPr>
                <w:rFonts w:asciiTheme="majorHAnsi" w:hAnsiTheme="majorHAnsi" w:cstheme="majorHAnsi"/>
              </w:rPr>
            </w:pPr>
          </w:p>
          <w:p w14:paraId="0395E56F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Read write software available to all students as appropriate.</w:t>
            </w:r>
          </w:p>
          <w:p w14:paraId="265E2AB2" w14:textId="77777777" w:rsidR="00A41AB3" w:rsidRDefault="00A41AB3">
            <w:pPr>
              <w:rPr>
                <w:rFonts w:asciiTheme="majorHAnsi" w:hAnsiTheme="majorHAnsi" w:cstheme="majorHAnsi"/>
              </w:rPr>
            </w:pPr>
          </w:p>
          <w:p w14:paraId="4F4EA06F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Access arrangements reviewed and updated as required.</w:t>
            </w:r>
          </w:p>
          <w:p w14:paraId="06E73F1B" w14:textId="77777777" w:rsidR="00A41AB3" w:rsidRDefault="00A41AB3">
            <w:pPr>
              <w:rPr>
                <w:rFonts w:asciiTheme="majorHAnsi" w:hAnsiTheme="majorHAnsi" w:cstheme="majorHAnsi"/>
              </w:rPr>
            </w:pPr>
          </w:p>
          <w:p w14:paraId="03886555" w14:textId="33F75AE7" w:rsidR="00A41AB3" w:rsidRPr="00D62D07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Work with Nottinghamshire County Council School Inclusion Services to trial, maintain and provide assistive technologies as required</w:t>
            </w:r>
          </w:p>
        </w:tc>
        <w:tc>
          <w:tcPr>
            <w:tcW w:w="2141" w:type="dxa"/>
          </w:tcPr>
          <w:p w14:paraId="22A42015" w14:textId="3360707C" w:rsidR="00A877F3" w:rsidRPr="00D62D07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Ongoing</w:t>
            </w:r>
          </w:p>
        </w:tc>
        <w:tc>
          <w:tcPr>
            <w:tcW w:w="2304" w:type="dxa"/>
          </w:tcPr>
          <w:p w14:paraId="6464C099" w14:textId="6FF3EC97" w:rsidR="00A877F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 ICT lead</w:t>
            </w:r>
          </w:p>
          <w:p w14:paraId="7BC8490C" w14:textId="23BD3B8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ICT technician </w:t>
            </w:r>
          </w:p>
          <w:p w14:paraId="2400584F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71340EDD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Exams officer </w:t>
            </w:r>
          </w:p>
          <w:p w14:paraId="2511CA6F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Deputy Headteacher</w:t>
            </w:r>
          </w:p>
          <w:p w14:paraId="0D6F93EF" w14:textId="04358546" w:rsidR="00A41AB3" w:rsidRPr="00D62D07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Teaching Assistants </w:t>
            </w:r>
          </w:p>
        </w:tc>
        <w:tc>
          <w:tcPr>
            <w:tcW w:w="2003" w:type="dxa"/>
          </w:tcPr>
          <w:p w14:paraId="0C8AE42F" w14:textId="77777777" w:rsidR="00A877F3" w:rsidRPr="00D62D07" w:rsidRDefault="00A877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3" w:type="dxa"/>
          </w:tcPr>
          <w:p w14:paraId="4760A6EE" w14:textId="77777777" w:rsidR="00A877F3" w:rsidRPr="00D62D07" w:rsidRDefault="00A877F3">
            <w:pPr>
              <w:rPr>
                <w:rFonts w:asciiTheme="majorHAnsi" w:hAnsiTheme="majorHAnsi" w:cstheme="majorHAnsi"/>
              </w:rPr>
            </w:pPr>
          </w:p>
        </w:tc>
      </w:tr>
      <w:tr w:rsidR="00A877F3" w:rsidRPr="00D62D07" w14:paraId="5135B7C1" w14:textId="77777777" w:rsidTr="00A41AB3">
        <w:tc>
          <w:tcPr>
            <w:tcW w:w="2167" w:type="dxa"/>
          </w:tcPr>
          <w:p w14:paraId="3627101C" w14:textId="4D1B054D" w:rsidR="00A877F3" w:rsidRPr="00D62D07" w:rsidRDefault="00001A6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Prioritise</w:t>
            </w:r>
            <w:proofErr w:type="spellEnd"/>
            <w:r>
              <w:rPr>
                <w:rFonts w:asciiTheme="majorHAnsi" w:hAnsiTheme="majorHAnsi" w:cstheme="majorHAnsi"/>
              </w:rPr>
              <w:t xml:space="preserve"> student participation in </w:t>
            </w:r>
            <w:r w:rsidR="00A41AB3">
              <w:rPr>
                <w:rFonts w:asciiTheme="majorHAnsi" w:hAnsiTheme="majorHAnsi" w:cstheme="majorHAnsi"/>
              </w:rPr>
              <w:t xml:space="preserve">Enrichment and </w:t>
            </w:r>
            <w:r w:rsidR="005C4CE6">
              <w:rPr>
                <w:rFonts w:asciiTheme="majorHAnsi" w:hAnsiTheme="majorHAnsi" w:cstheme="majorHAnsi"/>
              </w:rPr>
              <w:t>ensure students with SEND have access to a wide range of opportunities and careers advice</w:t>
            </w:r>
          </w:p>
        </w:tc>
        <w:tc>
          <w:tcPr>
            <w:tcW w:w="2172" w:type="dxa"/>
          </w:tcPr>
          <w:p w14:paraId="2907869F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Ensure through</w:t>
            </w:r>
          </w:p>
          <w:p w14:paraId="20C438D6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reasonable adjustments</w:t>
            </w:r>
          </w:p>
          <w:p w14:paraId="22C530A0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that all school activities</w:t>
            </w:r>
          </w:p>
          <w:p w14:paraId="01E73D86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and trips are accessible</w:t>
            </w:r>
          </w:p>
          <w:p w14:paraId="5F6968C9" w14:textId="629BDFCF" w:rsidR="00A877F3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lastRenderedPageBreak/>
              <w:t>to all students wit</w:t>
            </w:r>
            <w:r>
              <w:rPr>
                <w:rFonts w:asciiTheme="majorHAnsi" w:hAnsiTheme="majorHAnsi" w:cstheme="majorHAnsi"/>
              </w:rPr>
              <w:t>h SEND.</w:t>
            </w:r>
          </w:p>
          <w:p w14:paraId="10E5FB71" w14:textId="77777777" w:rsidR="00A41AB3" w:rsidRDefault="00A41AB3" w:rsidP="00001A6B">
            <w:pPr>
              <w:rPr>
                <w:rFonts w:asciiTheme="majorHAnsi" w:hAnsiTheme="majorHAnsi" w:cstheme="majorHAnsi"/>
              </w:rPr>
            </w:pPr>
          </w:p>
          <w:p w14:paraId="1E3A9101" w14:textId="77777777" w:rsidR="00001A6B" w:rsidRDefault="00001A6B" w:rsidP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Ensure </w:t>
            </w:r>
            <w:r w:rsidR="00CC482A">
              <w:rPr>
                <w:rFonts w:asciiTheme="majorHAnsi" w:hAnsiTheme="majorHAnsi" w:cstheme="majorHAnsi"/>
              </w:rPr>
              <w:t>students with SEND have access to a range of enrichment activities and are supported to access them where necessary</w:t>
            </w:r>
            <w:r w:rsidR="005C4CE6">
              <w:rPr>
                <w:rFonts w:asciiTheme="majorHAnsi" w:hAnsiTheme="majorHAnsi" w:cstheme="majorHAnsi"/>
              </w:rPr>
              <w:t>.</w:t>
            </w:r>
          </w:p>
          <w:p w14:paraId="0219151F" w14:textId="77777777" w:rsidR="005C4CE6" w:rsidRDefault="005C4CE6" w:rsidP="00001A6B">
            <w:pPr>
              <w:rPr>
                <w:rFonts w:asciiTheme="majorHAnsi" w:hAnsiTheme="majorHAnsi" w:cstheme="majorHAnsi"/>
              </w:rPr>
            </w:pPr>
          </w:p>
          <w:p w14:paraId="13A1DCD7" w14:textId="55141B33" w:rsidR="005C4CE6" w:rsidRPr="00D62D07" w:rsidRDefault="005C4CE6" w:rsidP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timely and appropriate advice about careers and next steps for students with SEND</w:t>
            </w:r>
          </w:p>
        </w:tc>
        <w:tc>
          <w:tcPr>
            <w:tcW w:w="2141" w:type="dxa"/>
          </w:tcPr>
          <w:p w14:paraId="43A1CF57" w14:textId="4157240B" w:rsidR="00A877F3" w:rsidRPr="00D62D07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</w:t>
            </w:r>
          </w:p>
        </w:tc>
        <w:tc>
          <w:tcPr>
            <w:tcW w:w="2304" w:type="dxa"/>
          </w:tcPr>
          <w:p w14:paraId="678EAA88" w14:textId="13D4AA41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319C0F07" w14:textId="6387F453" w:rsidR="00A41AB3" w:rsidRPr="00D62D07" w:rsidRDefault="00A41AB3" w:rsidP="008E1B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Assistant </w:t>
            </w:r>
            <w:proofErr w:type="gramStart"/>
            <w:r>
              <w:rPr>
                <w:rFonts w:asciiTheme="majorHAnsi" w:hAnsiTheme="majorHAnsi" w:cstheme="majorHAnsi"/>
              </w:rPr>
              <w:t>Headteacher  Careers</w:t>
            </w:r>
            <w:proofErr w:type="gramEnd"/>
            <w:r>
              <w:rPr>
                <w:rFonts w:asciiTheme="majorHAnsi" w:hAnsiTheme="majorHAnsi" w:cstheme="majorHAnsi"/>
              </w:rPr>
              <w:t xml:space="preserve"> and Enrichment</w:t>
            </w:r>
          </w:p>
        </w:tc>
        <w:tc>
          <w:tcPr>
            <w:tcW w:w="2003" w:type="dxa"/>
          </w:tcPr>
          <w:p w14:paraId="4AF951E4" w14:textId="77777777" w:rsidR="00A877F3" w:rsidRPr="00D62D07" w:rsidRDefault="00A877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3" w:type="dxa"/>
          </w:tcPr>
          <w:p w14:paraId="449770AA" w14:textId="77777777" w:rsidR="00CC482A" w:rsidRPr="00CC482A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Increased participation</w:t>
            </w:r>
          </w:p>
          <w:p w14:paraId="00C9F870" w14:textId="77777777" w:rsidR="00CC482A" w:rsidRPr="00CC482A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in school life for</w:t>
            </w:r>
          </w:p>
          <w:p w14:paraId="5F4C8986" w14:textId="77777777" w:rsidR="00CC482A" w:rsidRPr="00CC482A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students with</w:t>
            </w:r>
          </w:p>
          <w:p w14:paraId="59C76334" w14:textId="1644B34C" w:rsidR="00A877F3" w:rsidRPr="00D62D07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disabilities.</w:t>
            </w:r>
          </w:p>
        </w:tc>
      </w:tr>
      <w:tr w:rsidR="00E14D75" w:rsidRPr="00D62D07" w14:paraId="0568084F" w14:textId="77777777" w:rsidTr="00A41AB3">
        <w:tc>
          <w:tcPr>
            <w:tcW w:w="12950" w:type="dxa"/>
            <w:gridSpan w:val="6"/>
            <w:vAlign w:val="center"/>
          </w:tcPr>
          <w:p w14:paraId="56E76059" w14:textId="42D06F56" w:rsidR="00E14D75" w:rsidRPr="00E14D75" w:rsidRDefault="00E14D75" w:rsidP="00E14D7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14D75">
              <w:rPr>
                <w:rFonts w:asciiTheme="majorHAnsi" w:hAnsiTheme="majorHAnsi" w:cstheme="majorHAnsi"/>
                <w:b/>
              </w:rPr>
              <w:t>Access to physical environment</w:t>
            </w:r>
          </w:p>
        </w:tc>
      </w:tr>
      <w:tr w:rsidR="00A877F3" w:rsidRPr="00D62D07" w14:paraId="048B3307" w14:textId="77777777" w:rsidTr="00A41AB3">
        <w:tc>
          <w:tcPr>
            <w:tcW w:w="2167" w:type="dxa"/>
          </w:tcPr>
          <w:p w14:paraId="79FEB473" w14:textId="56283557" w:rsidR="00A877F3" w:rsidRDefault="00A877F3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Ensure that classrooms are optimally organised for disabled students within current restraints. Identify needs and actions for future</w:t>
            </w:r>
            <w:r>
              <w:t xml:space="preserve"> improvements.</w:t>
            </w:r>
          </w:p>
        </w:tc>
        <w:tc>
          <w:tcPr>
            <w:tcW w:w="2172" w:type="dxa"/>
          </w:tcPr>
          <w:p w14:paraId="20C43174" w14:textId="77777777" w:rsidR="00001A6B" w:rsidRDefault="0055419C" w:rsidP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 classrooms and seating plans according to </w:t>
            </w:r>
            <w:r w:rsidR="00001A6B">
              <w:rPr>
                <w:rFonts w:asciiTheme="majorHAnsi" w:hAnsiTheme="majorHAnsi" w:cstheme="majorHAnsi"/>
              </w:rPr>
              <w:t>student need.</w:t>
            </w:r>
          </w:p>
          <w:p w14:paraId="106156CD" w14:textId="77777777" w:rsidR="00001A6B" w:rsidRDefault="00001A6B" w:rsidP="00916624">
            <w:pPr>
              <w:rPr>
                <w:rFonts w:asciiTheme="majorHAnsi" w:hAnsiTheme="majorHAnsi" w:cstheme="majorHAnsi"/>
              </w:rPr>
            </w:pPr>
          </w:p>
          <w:p w14:paraId="3B5D9D0F" w14:textId="5BA5CA8E" w:rsidR="00001A6B" w:rsidRPr="00916624" w:rsidRDefault="00001A6B" w:rsidP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Provide appropriate equipment to increase access to classrooms as required.</w:t>
            </w:r>
          </w:p>
        </w:tc>
        <w:tc>
          <w:tcPr>
            <w:tcW w:w="2141" w:type="dxa"/>
          </w:tcPr>
          <w:p w14:paraId="115F16E7" w14:textId="6DD51509" w:rsidR="00A877F3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Ongoing</w:t>
            </w:r>
          </w:p>
        </w:tc>
        <w:tc>
          <w:tcPr>
            <w:tcW w:w="2304" w:type="dxa"/>
          </w:tcPr>
          <w:p w14:paraId="4A9D3D7D" w14:textId="77777777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566ADB1B" w14:textId="77777777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07FE5637" w14:textId="216D9CC7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Relevant classroom teachers</w:t>
            </w:r>
          </w:p>
        </w:tc>
        <w:tc>
          <w:tcPr>
            <w:tcW w:w="2003" w:type="dxa"/>
          </w:tcPr>
          <w:p w14:paraId="149CCDB7" w14:textId="77777777" w:rsidR="00A877F3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433E3B98" w14:textId="74A95885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</w:tc>
        <w:tc>
          <w:tcPr>
            <w:tcW w:w="2163" w:type="dxa"/>
          </w:tcPr>
          <w:p w14:paraId="08E1DC0B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Appropriate use of</w:t>
            </w:r>
          </w:p>
          <w:p w14:paraId="5BC33E34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resources for diverse</w:t>
            </w:r>
          </w:p>
          <w:p w14:paraId="6C36312C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needs of students with</w:t>
            </w:r>
          </w:p>
          <w:p w14:paraId="4581183A" w14:textId="76094E7B" w:rsidR="00A877F3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disabilities</w:t>
            </w:r>
          </w:p>
        </w:tc>
      </w:tr>
      <w:tr w:rsidR="00D62D07" w:rsidRPr="00D62D07" w14:paraId="358D5657" w14:textId="77777777" w:rsidTr="00A41AB3">
        <w:tc>
          <w:tcPr>
            <w:tcW w:w="2167" w:type="dxa"/>
          </w:tcPr>
          <w:p w14:paraId="0313673D" w14:textId="04DD82E2" w:rsidR="00D62D07" w:rsidRPr="00D62D07" w:rsidRDefault="00E14D7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access to school buildings and site can meet needs of all pupils</w:t>
            </w:r>
          </w:p>
        </w:tc>
        <w:tc>
          <w:tcPr>
            <w:tcW w:w="2172" w:type="dxa"/>
          </w:tcPr>
          <w:p w14:paraId="2583BD1D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Incorporate</w:t>
            </w:r>
          </w:p>
          <w:p w14:paraId="49FAB5D6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accessibility into any</w:t>
            </w:r>
          </w:p>
          <w:p w14:paraId="321EA457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proposed structural</w:t>
            </w:r>
          </w:p>
          <w:p w14:paraId="5C937006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alterations within the</w:t>
            </w:r>
          </w:p>
          <w:p w14:paraId="1F3D8EE4" w14:textId="0258999C" w:rsid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lastRenderedPageBreak/>
              <w:t>site.</w:t>
            </w:r>
          </w:p>
          <w:p w14:paraId="1C0997FE" w14:textId="77777777" w:rsidR="00001A6B" w:rsidRPr="00916624" w:rsidRDefault="00001A6B" w:rsidP="00916624">
            <w:pPr>
              <w:rPr>
                <w:rFonts w:asciiTheme="majorHAnsi" w:hAnsiTheme="majorHAnsi" w:cstheme="majorHAnsi"/>
              </w:rPr>
            </w:pPr>
          </w:p>
          <w:p w14:paraId="179F8C35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Regularly review and</w:t>
            </w:r>
          </w:p>
          <w:p w14:paraId="50D4673D" w14:textId="388909D3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implement any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16624">
              <w:rPr>
                <w:rFonts w:asciiTheme="majorHAnsi" w:hAnsiTheme="majorHAnsi" w:cstheme="majorHAnsi"/>
              </w:rPr>
              <w:t>relevant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16624">
              <w:rPr>
                <w:rFonts w:asciiTheme="majorHAnsi" w:hAnsiTheme="majorHAnsi" w:cstheme="majorHAnsi"/>
              </w:rPr>
              <w:t>modifications to</w:t>
            </w:r>
          </w:p>
          <w:p w14:paraId="7F8961CD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improve site access</w:t>
            </w:r>
          </w:p>
          <w:p w14:paraId="547A0316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including ramps, door</w:t>
            </w:r>
          </w:p>
          <w:p w14:paraId="67D54885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frames and</w:t>
            </w:r>
          </w:p>
          <w:p w14:paraId="7C4BF4DF" w14:textId="3718A618" w:rsidR="00916624" w:rsidRPr="00D62D07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signage</w:t>
            </w:r>
            <w:r>
              <w:rPr>
                <w:rFonts w:asciiTheme="majorHAnsi" w:hAnsiTheme="majorHAnsi" w:cstheme="majorHAnsi"/>
              </w:rPr>
              <w:t xml:space="preserve"> within the limits of the current building</w:t>
            </w:r>
            <w:r w:rsidR="00001A6B">
              <w:rPr>
                <w:rFonts w:asciiTheme="majorHAnsi" w:hAnsiTheme="majorHAnsi" w:cstheme="majorHAnsi"/>
              </w:rPr>
              <w:t>.</w:t>
            </w:r>
          </w:p>
          <w:p w14:paraId="1A6C4CE7" w14:textId="4C114A85" w:rsidR="00D62D07" w:rsidRPr="00D62D07" w:rsidRDefault="00D62D07" w:rsidP="0091662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1" w:type="dxa"/>
          </w:tcPr>
          <w:p w14:paraId="47CF072C" w14:textId="148D6248" w:rsidR="00D62D07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</w:t>
            </w:r>
          </w:p>
        </w:tc>
        <w:tc>
          <w:tcPr>
            <w:tcW w:w="2304" w:type="dxa"/>
          </w:tcPr>
          <w:p w14:paraId="53C38AB2" w14:textId="77777777" w:rsid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Headteacher</w:t>
            </w:r>
          </w:p>
          <w:p w14:paraId="6532F2A9" w14:textId="77777777" w:rsidR="00C95CE2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Site staff</w:t>
            </w:r>
          </w:p>
          <w:p w14:paraId="6C52F7E0" w14:textId="002144B9" w:rsidR="00C95CE2" w:rsidRPr="00D62D07" w:rsidRDefault="00C95CE2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 xml:space="preserve">Trust </w:t>
            </w:r>
            <w:r w:rsidR="008E1BE6" w:rsidRPr="008E1BE6">
              <w:rPr>
                <w:rFonts w:asciiTheme="majorHAnsi" w:hAnsiTheme="majorHAnsi" w:cstheme="majorHAnsi"/>
              </w:rPr>
              <w:t>Estates Manager</w:t>
            </w:r>
          </w:p>
        </w:tc>
        <w:tc>
          <w:tcPr>
            <w:tcW w:w="2003" w:type="dxa"/>
          </w:tcPr>
          <w:p w14:paraId="3CE82CC1" w14:textId="77777777" w:rsid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Governors</w:t>
            </w:r>
          </w:p>
          <w:p w14:paraId="45FC44DC" w14:textId="4398F6A4" w:rsidR="00C95CE2" w:rsidRPr="00D62D07" w:rsidRDefault="008E1BE6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>Trust Estates Manager</w:t>
            </w:r>
          </w:p>
        </w:tc>
        <w:tc>
          <w:tcPr>
            <w:tcW w:w="2163" w:type="dxa"/>
          </w:tcPr>
          <w:p w14:paraId="79EA88C1" w14:textId="1F0B3BBD" w:rsidR="00D62D07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Access to site and school buildings maintained </w:t>
            </w:r>
          </w:p>
        </w:tc>
      </w:tr>
      <w:tr w:rsidR="00E14D75" w:rsidRPr="00D62D07" w14:paraId="61CE5EAE" w14:textId="77777777" w:rsidTr="00A41AB3">
        <w:tc>
          <w:tcPr>
            <w:tcW w:w="2167" w:type="dxa"/>
          </w:tcPr>
          <w:p w14:paraId="065BFD37" w14:textId="22B8A60D" w:rsidR="00E14D75" w:rsidRDefault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Ensure new building and site can meet </w:t>
            </w:r>
            <w:r w:rsidR="00CC482A">
              <w:rPr>
                <w:rFonts w:asciiTheme="majorHAnsi" w:hAnsiTheme="majorHAnsi" w:cstheme="majorHAnsi"/>
              </w:rPr>
              <w:t xml:space="preserve">the diverse </w:t>
            </w:r>
            <w:r>
              <w:rPr>
                <w:rFonts w:asciiTheme="majorHAnsi" w:hAnsiTheme="majorHAnsi" w:cstheme="majorHAnsi"/>
              </w:rPr>
              <w:t xml:space="preserve">needs of </w:t>
            </w:r>
            <w:r w:rsidR="00CC482A">
              <w:rPr>
                <w:rFonts w:asciiTheme="majorHAnsi" w:hAnsiTheme="majorHAnsi" w:cstheme="majorHAnsi"/>
              </w:rPr>
              <w:t>current and future</w:t>
            </w:r>
            <w:r>
              <w:rPr>
                <w:rFonts w:asciiTheme="majorHAnsi" w:hAnsiTheme="majorHAnsi" w:cstheme="majorHAnsi"/>
              </w:rPr>
              <w:t xml:space="preserve"> pupils </w:t>
            </w:r>
            <w:r w:rsidR="00CC482A">
              <w:rPr>
                <w:rFonts w:asciiTheme="majorHAnsi" w:hAnsiTheme="majorHAnsi" w:cstheme="majorHAnsi"/>
              </w:rPr>
              <w:t xml:space="preserve">with </w:t>
            </w:r>
            <w:r>
              <w:rPr>
                <w:rFonts w:asciiTheme="majorHAnsi" w:hAnsiTheme="majorHAnsi" w:cstheme="majorHAnsi"/>
              </w:rPr>
              <w:t>and is compliant with all relevant legislation</w:t>
            </w:r>
          </w:p>
        </w:tc>
        <w:tc>
          <w:tcPr>
            <w:tcW w:w="2172" w:type="dxa"/>
          </w:tcPr>
          <w:p w14:paraId="120DEC98" w14:textId="0C2A01E8" w:rsidR="00E14D75" w:rsidRPr="00D62D07" w:rsidRDefault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Work with </w:t>
            </w:r>
            <w:r w:rsidR="00C95CE2">
              <w:rPr>
                <w:rFonts w:asciiTheme="majorHAnsi" w:hAnsiTheme="majorHAnsi" w:cstheme="majorHAnsi"/>
              </w:rPr>
              <w:t>contractors</w:t>
            </w:r>
            <w:r>
              <w:rPr>
                <w:rFonts w:asciiTheme="majorHAnsi" w:hAnsiTheme="majorHAnsi" w:cstheme="majorHAnsi"/>
              </w:rPr>
              <w:t xml:space="preserve"> to ensure </w:t>
            </w:r>
            <w:r w:rsidR="00C95CE2">
              <w:rPr>
                <w:rFonts w:asciiTheme="majorHAnsi" w:hAnsiTheme="majorHAnsi" w:cstheme="majorHAnsi"/>
              </w:rPr>
              <w:t>building is compliant</w:t>
            </w:r>
          </w:p>
        </w:tc>
        <w:tc>
          <w:tcPr>
            <w:tcW w:w="2141" w:type="dxa"/>
          </w:tcPr>
          <w:p w14:paraId="3B3A2CE1" w14:textId="0465A973" w:rsidR="00E14D75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Ongoing</w:t>
            </w:r>
          </w:p>
        </w:tc>
        <w:tc>
          <w:tcPr>
            <w:tcW w:w="2304" w:type="dxa"/>
          </w:tcPr>
          <w:p w14:paraId="5E25A2BE" w14:textId="77777777" w:rsidR="00E14D75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Headteacher</w:t>
            </w:r>
          </w:p>
          <w:p w14:paraId="41D88D47" w14:textId="0E58D38A" w:rsidR="00C95CE2" w:rsidRPr="00D62D07" w:rsidRDefault="008E1BE6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>Trust Estates Manager</w:t>
            </w:r>
          </w:p>
        </w:tc>
        <w:tc>
          <w:tcPr>
            <w:tcW w:w="2003" w:type="dxa"/>
          </w:tcPr>
          <w:p w14:paraId="2BB0B8F5" w14:textId="3284D3EF" w:rsidR="00E14D75" w:rsidRPr="00D62D07" w:rsidRDefault="008E1BE6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>Trust Estates Manager</w:t>
            </w:r>
            <w:bookmarkStart w:id="0" w:name="_GoBack"/>
            <w:bookmarkEnd w:id="0"/>
          </w:p>
        </w:tc>
        <w:tc>
          <w:tcPr>
            <w:tcW w:w="2163" w:type="dxa"/>
          </w:tcPr>
          <w:p w14:paraId="35B45284" w14:textId="0C84B1B5" w:rsidR="00E14D75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New school building and site to be accessible to a broad range of people and disabilities </w:t>
            </w:r>
          </w:p>
        </w:tc>
      </w:tr>
      <w:tr w:rsidR="00E14D75" w:rsidRPr="00D62D07" w14:paraId="5DDDD448" w14:textId="77777777" w:rsidTr="00A41AB3">
        <w:tc>
          <w:tcPr>
            <w:tcW w:w="12950" w:type="dxa"/>
            <w:gridSpan w:val="6"/>
            <w:vAlign w:val="center"/>
          </w:tcPr>
          <w:p w14:paraId="2133DE24" w14:textId="4B896DAC" w:rsidR="00E14D75" w:rsidRPr="00E14D75" w:rsidRDefault="00E14D75" w:rsidP="00E14D7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14D75">
              <w:rPr>
                <w:rFonts w:asciiTheme="majorHAnsi" w:hAnsiTheme="majorHAnsi" w:cstheme="majorHAnsi"/>
                <w:b/>
              </w:rPr>
              <w:t>Access to information</w:t>
            </w:r>
          </w:p>
        </w:tc>
      </w:tr>
      <w:tr w:rsidR="00D62D07" w:rsidRPr="00D62D07" w14:paraId="07B084C2" w14:textId="77777777" w:rsidTr="00A41AB3">
        <w:tc>
          <w:tcPr>
            <w:tcW w:w="2167" w:type="dxa"/>
          </w:tcPr>
          <w:p w14:paraId="2225B9C1" w14:textId="39DE467A" w:rsidR="00D62D07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Staff training</w:t>
            </w:r>
          </w:p>
        </w:tc>
        <w:tc>
          <w:tcPr>
            <w:tcW w:w="2172" w:type="dxa"/>
          </w:tcPr>
          <w:p w14:paraId="16B81C27" w14:textId="77777777" w:rsid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Ensure staff are up to date with </w:t>
            </w:r>
            <w:r w:rsidR="004B72B3">
              <w:rPr>
                <w:rFonts w:asciiTheme="majorHAnsi" w:hAnsiTheme="majorHAnsi" w:cstheme="majorHAnsi"/>
              </w:rPr>
              <w:t>responsibilities for SEND according to the Code of Practice and existing or new legislation</w:t>
            </w:r>
          </w:p>
          <w:p w14:paraId="5836ECB1" w14:textId="77777777" w:rsidR="00D434BE" w:rsidRDefault="00D434BE">
            <w:pPr>
              <w:rPr>
                <w:rFonts w:asciiTheme="majorHAnsi" w:hAnsiTheme="majorHAnsi" w:cstheme="majorHAnsi"/>
              </w:rPr>
            </w:pPr>
          </w:p>
          <w:p w14:paraId="1C53F4A9" w14:textId="090B9815" w:rsidR="00D434BE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Ensure staff have a good understanding </w:t>
            </w:r>
            <w:r>
              <w:rPr>
                <w:rFonts w:asciiTheme="majorHAnsi" w:hAnsiTheme="majorHAnsi" w:cstheme="majorHAnsi"/>
              </w:rPr>
              <w:lastRenderedPageBreak/>
              <w:t>of the needs and disabilities that exist within the school and are kept informed of changes and updates from external professionals</w:t>
            </w:r>
          </w:p>
        </w:tc>
        <w:tc>
          <w:tcPr>
            <w:tcW w:w="2141" w:type="dxa"/>
          </w:tcPr>
          <w:p w14:paraId="5BDDBF2D" w14:textId="3DC39C78" w:rsidR="00D62D07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</w:t>
            </w:r>
          </w:p>
        </w:tc>
        <w:tc>
          <w:tcPr>
            <w:tcW w:w="2304" w:type="dxa"/>
          </w:tcPr>
          <w:p w14:paraId="35461A01" w14:textId="77777777" w:rsid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64FBFBA2" w14:textId="1A899379" w:rsidR="00D434BE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</w:tc>
        <w:tc>
          <w:tcPr>
            <w:tcW w:w="2003" w:type="dxa"/>
          </w:tcPr>
          <w:p w14:paraId="07F84587" w14:textId="215C1E02" w:rsidR="00D434BE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31F17156" w14:textId="714F3D87" w:rsidR="00D62D07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Governors</w:t>
            </w:r>
          </w:p>
        </w:tc>
        <w:tc>
          <w:tcPr>
            <w:tcW w:w="2163" w:type="dxa"/>
          </w:tcPr>
          <w:p w14:paraId="2867454C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All staff express</w:t>
            </w:r>
          </w:p>
          <w:p w14:paraId="1CDA2F48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confidence in</w:t>
            </w:r>
          </w:p>
          <w:p w14:paraId="7954993F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understanding roles</w:t>
            </w:r>
          </w:p>
          <w:p w14:paraId="3D87F9A7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and responsibilities in</w:t>
            </w:r>
          </w:p>
          <w:p w14:paraId="1695B0E8" w14:textId="24814793" w:rsidR="00D62D07" w:rsidRPr="00D62D07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relation to SEND.</w:t>
            </w:r>
          </w:p>
        </w:tc>
      </w:tr>
      <w:tr w:rsidR="00D62D07" w:rsidRPr="00D62D07" w14:paraId="5722D76E" w14:textId="77777777" w:rsidTr="00A41AB3">
        <w:tc>
          <w:tcPr>
            <w:tcW w:w="2167" w:type="dxa"/>
          </w:tcPr>
          <w:p w14:paraId="19E1BD1A" w14:textId="2A30C059" w:rsidR="00D62D07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Availability of newsletters and school documents in formats students and parents/</w:t>
            </w:r>
            <w:proofErr w:type="spellStart"/>
            <w:r>
              <w:rPr>
                <w:rFonts w:asciiTheme="majorHAnsi" w:hAnsiTheme="majorHAnsi" w:cstheme="majorHAnsi"/>
              </w:rPr>
              <w:t>carers</w:t>
            </w:r>
            <w:proofErr w:type="spellEnd"/>
          </w:p>
        </w:tc>
        <w:tc>
          <w:tcPr>
            <w:tcW w:w="2172" w:type="dxa"/>
          </w:tcPr>
          <w:p w14:paraId="042051E2" w14:textId="3FD6DC80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Newsletters and documents to all be available electronically to enable use of assistive technologies as required</w:t>
            </w:r>
          </w:p>
        </w:tc>
        <w:tc>
          <w:tcPr>
            <w:tcW w:w="2141" w:type="dxa"/>
          </w:tcPr>
          <w:p w14:paraId="66F210DC" w14:textId="24D20BF1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Ongoing</w:t>
            </w:r>
          </w:p>
        </w:tc>
        <w:tc>
          <w:tcPr>
            <w:tcW w:w="2304" w:type="dxa"/>
          </w:tcPr>
          <w:p w14:paraId="6F7DA5E1" w14:textId="6838438C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</w:tc>
        <w:tc>
          <w:tcPr>
            <w:tcW w:w="2003" w:type="dxa"/>
          </w:tcPr>
          <w:p w14:paraId="4251A066" w14:textId="50D2C487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Governors</w:t>
            </w:r>
          </w:p>
        </w:tc>
        <w:tc>
          <w:tcPr>
            <w:tcW w:w="2163" w:type="dxa"/>
          </w:tcPr>
          <w:p w14:paraId="5083460A" w14:textId="043114C1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information to parents/</w:t>
            </w:r>
            <w:proofErr w:type="spellStart"/>
            <w:r>
              <w:rPr>
                <w:rFonts w:asciiTheme="majorHAnsi" w:hAnsiTheme="majorHAnsi" w:cstheme="majorHAnsi"/>
              </w:rPr>
              <w:t>carers</w:t>
            </w:r>
            <w:proofErr w:type="spellEnd"/>
            <w:r>
              <w:rPr>
                <w:rFonts w:asciiTheme="majorHAnsi" w:hAnsiTheme="majorHAnsi" w:cstheme="majorHAnsi"/>
              </w:rPr>
              <w:t xml:space="preserve"> will be maintained for those with disabilities</w:t>
            </w:r>
          </w:p>
        </w:tc>
      </w:tr>
    </w:tbl>
    <w:p w14:paraId="2631B34B" w14:textId="7047E01C" w:rsidR="00FC008B" w:rsidRPr="00D62D07" w:rsidRDefault="00FC008B">
      <w:pPr>
        <w:rPr>
          <w:rFonts w:asciiTheme="majorHAnsi" w:hAnsiTheme="majorHAnsi" w:cstheme="majorHAnsi"/>
        </w:rPr>
      </w:pPr>
    </w:p>
    <w:sectPr w:rsidR="00FC008B" w:rsidRPr="00D62D07" w:rsidSect="00D62D0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A6B"/>
    <w:rsid w:val="00034616"/>
    <w:rsid w:val="0006063C"/>
    <w:rsid w:val="0015074B"/>
    <w:rsid w:val="0029639D"/>
    <w:rsid w:val="003203E0"/>
    <w:rsid w:val="00326F90"/>
    <w:rsid w:val="0049514D"/>
    <w:rsid w:val="004B72B3"/>
    <w:rsid w:val="0055419C"/>
    <w:rsid w:val="005C4CE6"/>
    <w:rsid w:val="008E1BE6"/>
    <w:rsid w:val="00916624"/>
    <w:rsid w:val="00932CCD"/>
    <w:rsid w:val="00A41AB3"/>
    <w:rsid w:val="00A877F3"/>
    <w:rsid w:val="00AA1D8D"/>
    <w:rsid w:val="00B47730"/>
    <w:rsid w:val="00B73DBA"/>
    <w:rsid w:val="00C95CE2"/>
    <w:rsid w:val="00CB0664"/>
    <w:rsid w:val="00CC482A"/>
    <w:rsid w:val="00D434BE"/>
    <w:rsid w:val="00D62D07"/>
    <w:rsid w:val="00E14D75"/>
    <w:rsid w:val="00FC00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F4E4C6B-499B-4B70-99C3-3A3FBC5D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C75BC995DC14F8C3AA05C119AB58F" ma:contentTypeVersion="17" ma:contentTypeDescription="Create a new document." ma:contentTypeScope="" ma:versionID="bf1d502f34ed397b9a26dfc46e7d663c">
  <xsd:schema xmlns:xsd="http://www.w3.org/2001/XMLSchema" xmlns:xs="http://www.w3.org/2001/XMLSchema" xmlns:p="http://schemas.microsoft.com/office/2006/metadata/properties" xmlns:ns2="b736bf75-8e98-47e7-8ca9-26cf13ca6177" targetNamespace="http://schemas.microsoft.com/office/2006/metadata/properties" ma:root="true" ma:fieldsID="e0352f376677bb835303dce967b3bbfc" ns2:_="">
    <xsd:import namespace="b736bf75-8e98-47e7-8ca9-26cf13ca6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Which_x0020_Key_x0020_Stage_x003f_"/>
                <xsd:element ref="ns2:What_x0020_type_x0020_of_x0020_QA_x0020_is_x0020_being_x0020_recorded_x003f_" minOccurs="0"/>
                <xsd:element ref="ns2:What_x0020_are_x0020_the_x0020_strengths_x0020_identified_x003f_"/>
                <xsd:element ref="ns2:What_x0020_are_x0020_the_x0020_areas_x0020_for_x0020_development_x0020_identified_x003f_"/>
                <xsd:element ref="ns2:What_x0020_actions_x0020_will_x0020_you_x0020_take_x0020_as_x0020_a_x0020_result_x0020_of_x0020_this_x0020_QA_x003f_"/>
                <xsd:element ref="ns2:SLTlead" minOccurs="0"/>
                <xsd:element ref="ns2:Areallpoliciesuptodate_x003f_" minOccurs="0"/>
                <xsd:element ref="ns2:Lead" minOccurs="0"/>
                <xsd:element ref="ns2:InformationComplete" minOccurs="0"/>
                <xsd:element ref="ns2:ActionsRequired" minOccurs="0"/>
                <xsd:element ref="ns2:ReviewDate" minOccurs="0"/>
                <xsd:element ref="ns2:Websit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6bf75-8e98-47e7-8ca9-26cf13ca6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ich_x0020_Key_x0020_Stage_x003f_" ma:index="11" ma:displayName="Which Key Stage?" ma:internalName="Which_x0020_Key_x0020_Stage_x003f_">
      <xsd:simpleType>
        <xsd:restriction base="dms:Choice">
          <xsd:enumeration value="KS3"/>
          <xsd:enumeration value="KS4"/>
          <xsd:enumeration value="KS5"/>
        </xsd:restriction>
      </xsd:simpleType>
    </xsd:element>
    <xsd:element name="What_x0020_type_x0020_of_x0020_QA_x0020_is_x0020_being_x0020_recorded_x003f_" ma:index="12" nillable="true" ma:displayName="Are all documents uploaded?" ma:format="Dropdown" ma:internalName="What_x0020_type_x0020_of_x0020_QA_x0020_is_x0020_being_x0020_recorded_x003f_">
      <xsd:simpleType>
        <xsd:restriction base="dms:Choice">
          <xsd:enumeration value="Yes"/>
          <xsd:enumeration value="No"/>
        </xsd:restriction>
      </xsd:simpleType>
    </xsd:element>
    <xsd:element name="What_x0020_are_x0020_the_x0020_strengths_x0020_identified_x003f_" ma:index="13" ma:displayName="What are the strengths identified?" ma:internalName="What_x0020_are_x0020_the_x0020_strengths_x0020_identified_x003f_">
      <xsd:simpleType>
        <xsd:restriction base="dms:Note">
          <xsd:maxLength value="255"/>
        </xsd:restriction>
      </xsd:simpleType>
    </xsd:element>
    <xsd:element name="What_x0020_are_x0020_the_x0020_areas_x0020_for_x0020_development_x0020_identified_x003f_" ma:index="14" ma:displayName="What are the areas for development identified?" ma:internalName="What_x0020_are_x0020_the_x0020_areas_x0020_for_x0020_development_x0020_identified_x003f_">
      <xsd:simpleType>
        <xsd:restriction base="dms:Note">
          <xsd:maxLength value="255"/>
        </xsd:restriction>
      </xsd:simpleType>
    </xsd:element>
    <xsd:element name="What_x0020_actions_x0020_will_x0020_you_x0020_take_x0020_as_x0020_a_x0020_result_x0020_of_x0020_this_x0020_QA_x003f_" ma:index="15" ma:displayName="What actions will you take as a result of this QA?" ma:internalName="What_x0020_actions_x0020_will_x0020_you_x0020_take_x0020_as_x0020_a_x0020_result_x0020_of_x0020_this_x0020_QA_x003f_">
      <xsd:simpleType>
        <xsd:restriction base="dms:Note">
          <xsd:maxLength value="255"/>
        </xsd:restriction>
      </xsd:simpleType>
    </xsd:element>
    <xsd:element name="SLTlead" ma:index="16" nillable="true" ma:displayName="SLT lead" ma:format="Dropdown" ma:list="UserInfo" ma:SharePointGroup="0" ma:internalName="SL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eallpoliciesuptodate_x003f_" ma:index="17" nillable="true" ma:displayName="Are all policies up to date?" ma:default="1" ma:format="Dropdown" ma:internalName="Areallpoliciesuptodate_x003f_">
      <xsd:simpleType>
        <xsd:restriction base="dms:Boolean"/>
      </xsd:simpleType>
    </xsd:element>
    <xsd:element name="Lead" ma:index="18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ationComplete" ma:index="19" nillable="true" ma:displayName="Information Complete" ma:default="1" ma:format="Dropdown" ma:internalName="InformationComplete">
      <xsd:simpleType>
        <xsd:restriction base="dms:Boolean"/>
      </xsd:simpleType>
    </xsd:element>
    <xsd:element name="ActionsRequired" ma:index="20" nillable="true" ma:displayName="Actions Required" ma:format="Dropdown" ma:internalName="ActionsRequired">
      <xsd:simpleType>
        <xsd:restriction base="dms:Note">
          <xsd:maxLength value="255"/>
        </xsd:restriction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Website_x003f_" ma:index="22" nillable="true" ma:displayName="Website?" ma:default="0" ma:format="Dropdown" ma:internalName="Website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sRequired xmlns="b736bf75-8e98-47e7-8ca9-26cf13ca6177" xsi:nil="true"/>
    <Website_x003f_ xmlns="b736bf75-8e98-47e7-8ca9-26cf13ca6177">false</Website_x003f_>
    <What_x0020_are_x0020_the_x0020_areas_x0020_for_x0020_development_x0020_identified_x003f_ xmlns="b736bf75-8e98-47e7-8ca9-26cf13ca6177"/>
    <ReviewDate xmlns="b736bf75-8e98-47e7-8ca9-26cf13ca6177" xsi:nil="true"/>
    <What_x0020_are_x0020_the_x0020_strengths_x0020_identified_x003f_ xmlns="b736bf75-8e98-47e7-8ca9-26cf13ca6177"/>
    <What_x0020_actions_x0020_will_x0020_you_x0020_take_x0020_as_x0020_a_x0020_result_x0020_of_x0020_this_x0020_QA_x003f_ xmlns="b736bf75-8e98-47e7-8ca9-26cf13ca6177"/>
    <Lead xmlns="b736bf75-8e98-47e7-8ca9-26cf13ca6177">
      <UserInfo>
        <DisplayName/>
        <AccountId xsi:nil="true"/>
        <AccountType/>
      </UserInfo>
    </Lead>
    <InformationComplete xmlns="b736bf75-8e98-47e7-8ca9-26cf13ca6177">true</InformationComplete>
    <What_x0020_type_x0020_of_x0020_QA_x0020_is_x0020_being_x0020_recorded_x003f_ xmlns="b736bf75-8e98-47e7-8ca9-26cf13ca6177" xsi:nil="true"/>
    <SLTlead xmlns="b736bf75-8e98-47e7-8ca9-26cf13ca6177">
      <UserInfo>
        <DisplayName/>
        <AccountId xsi:nil="true"/>
        <AccountType/>
      </UserInfo>
    </SLTlead>
    <Areallpoliciesuptodate_x003f_ xmlns="b736bf75-8e98-47e7-8ca9-26cf13ca6177">true</Areallpoliciesuptodate_x003f_>
    <Which_x0020_Key_x0020_Stage_x003f_ xmlns="b736bf75-8e98-47e7-8ca9-26cf13ca6177"/>
  </documentManagement>
</p:properties>
</file>

<file path=customXml/itemProps1.xml><?xml version="1.0" encoding="utf-8"?>
<ds:datastoreItem xmlns:ds="http://schemas.openxmlformats.org/officeDocument/2006/customXml" ds:itemID="{BA2F9835-D350-446F-ADB4-A7D0DA60A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7ECEF-759E-4F6C-8622-B0C57687BFE3}"/>
</file>

<file path=customXml/itemProps3.xml><?xml version="1.0" encoding="utf-8"?>
<ds:datastoreItem xmlns:ds="http://schemas.openxmlformats.org/officeDocument/2006/customXml" ds:itemID="{FF0DEB8A-3FD3-43B5-ADD8-11431A973C1D}"/>
</file>

<file path=customXml/itemProps4.xml><?xml version="1.0" encoding="utf-8"?>
<ds:datastoreItem xmlns:ds="http://schemas.openxmlformats.org/officeDocument/2006/customXml" ds:itemID="{F7238DD8-78A1-471F-8AA3-AC5D699C7D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Becky Edwards</cp:lastModifiedBy>
  <cp:revision>4</cp:revision>
  <dcterms:created xsi:type="dcterms:W3CDTF">2025-11-23T12:50:00Z</dcterms:created>
  <dcterms:modified xsi:type="dcterms:W3CDTF">2025-11-24T10:16:00Z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0x010100411C75BC995DC14F8C3AA05C119AB58F</vt:lpwstr>
  </property>
</Properties>
</file>