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424" w14:textId="3C0FE78B" w:rsidR="004B1F58" w:rsidRDefault="009D71E8" w:rsidP="006F2A1F">
      <w:pPr>
        <w:pStyle w:val="Heading1"/>
        <w:spacing w:after="0"/>
        <w:rPr>
          <w:color w:val="EE0000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AE0DE8">
        <w:t>Bredenbury Primary School</w:t>
      </w:r>
      <w:r w:rsidR="00A64779">
        <w:t xml:space="preserve"> </w:t>
      </w:r>
      <w:r w:rsidR="00CC5674">
        <w:rPr>
          <w:color w:val="EE0000"/>
        </w:rPr>
        <w:t>December</w:t>
      </w:r>
      <w:r w:rsidR="00A64779" w:rsidRPr="00A64779">
        <w:rPr>
          <w:color w:val="EE0000"/>
        </w:rPr>
        <w:t xml:space="preserve"> 2025</w:t>
      </w:r>
    </w:p>
    <w:p w14:paraId="5489ECDC" w14:textId="77777777" w:rsidR="00CA7A87" w:rsidRPr="00CA7A87" w:rsidRDefault="00CA7A87" w:rsidP="00CA7A87"/>
    <w:p w14:paraId="16B48015" w14:textId="3F025614" w:rsidR="00E66558" w:rsidRDefault="009D71E8" w:rsidP="006F2A1F">
      <w:pPr>
        <w:spacing w:after="0"/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6F2A1F">
      <w:pPr>
        <w:spacing w:after="0"/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 w:rsidP="006F2A1F">
      <w:pPr>
        <w:pStyle w:val="Heading2"/>
        <w:spacing w:after="0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3"/>
        <w:gridCol w:w="3273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35F828F4" w:rsidR="002940F3" w:rsidRDefault="00AE0DE8" w:rsidP="00C31636">
            <w:pPr>
              <w:pStyle w:val="TableRow"/>
              <w:ind w:left="0" w:right="0"/>
            </w:pPr>
            <w:r>
              <w:t>38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3C9A5095" w:rsidR="002940F3" w:rsidRDefault="00EA3CB2" w:rsidP="00C31636">
            <w:pPr>
              <w:pStyle w:val="TableRow"/>
              <w:ind w:left="0" w:right="0"/>
            </w:pPr>
            <w:r>
              <w:t>15.8% (</w:t>
            </w:r>
            <w:r w:rsidR="003455CF">
              <w:t>5.7% at census)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06787987" w:rsidR="002940F3" w:rsidRDefault="006F2A1F" w:rsidP="00C31636">
            <w:pPr>
              <w:pStyle w:val="TableRow"/>
              <w:ind w:left="0" w:right="0"/>
            </w:pPr>
            <w:r>
              <w:t>The academic</w:t>
            </w:r>
            <w:r w:rsidR="002940F3">
              <w:t xml:space="preserve"> years that our pupil premium strategy plan covers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35F09B0E" w:rsidR="002940F3" w:rsidRDefault="00AE0DE8" w:rsidP="00C31636">
            <w:pPr>
              <w:pStyle w:val="TableRow"/>
              <w:ind w:left="0" w:right="0"/>
            </w:pPr>
            <w:r>
              <w:t>202</w:t>
            </w:r>
            <w:r w:rsidR="00B10AFF">
              <w:t>4</w:t>
            </w:r>
            <w:r w:rsidR="002653EE">
              <w:t>-20</w:t>
            </w:r>
            <w:r w:rsidR="00513130">
              <w:t>2</w:t>
            </w:r>
            <w:r w:rsidR="00B10AFF">
              <w:t>7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1A7B218" w:rsidR="002940F3" w:rsidRDefault="00647B0B" w:rsidP="00C31636">
            <w:pPr>
              <w:pStyle w:val="TableRow"/>
              <w:ind w:left="0" w:right="0"/>
            </w:pPr>
            <w:r>
              <w:t>November</w:t>
            </w:r>
            <w:r w:rsidR="00AE0DE8">
              <w:t xml:space="preserve"> 2025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D126175" w:rsidR="002940F3" w:rsidRDefault="00647B0B" w:rsidP="00C31636">
            <w:pPr>
              <w:pStyle w:val="TableRow"/>
              <w:ind w:left="0" w:right="0"/>
            </w:pPr>
            <w:r>
              <w:t>November</w:t>
            </w:r>
            <w:r w:rsidR="00AE0DE8">
              <w:t xml:space="preserve"> 2026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61C8E1D6" w:rsidR="002940F3" w:rsidRDefault="00AE0DE8" w:rsidP="00C31636">
            <w:pPr>
              <w:pStyle w:val="TableRow"/>
              <w:ind w:left="0" w:right="0"/>
            </w:pPr>
            <w:r>
              <w:t>Samantha McAtear (Head of School)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C77E6A6" w:rsidR="002940F3" w:rsidRDefault="002940F3" w:rsidP="00C31636">
            <w:pPr>
              <w:pStyle w:val="TableRow"/>
              <w:ind w:left="0" w:right="0"/>
            </w:pPr>
            <w:r>
              <w:t xml:space="preserve">Pupil </w:t>
            </w:r>
            <w:r w:rsidR="00C0206C">
              <w:t>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A3E24EA" w:rsidR="002940F3" w:rsidRDefault="00AE0DE8" w:rsidP="00C31636">
            <w:pPr>
              <w:pStyle w:val="TableRow"/>
              <w:ind w:left="0" w:right="0"/>
            </w:pPr>
            <w:r>
              <w:t xml:space="preserve">Samantha McAtear 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4C46AB09" w:rsidR="002940F3" w:rsidRDefault="00AE0DE8" w:rsidP="00C31636">
            <w:pPr>
              <w:pStyle w:val="TableRow"/>
              <w:ind w:left="0" w:right="0"/>
            </w:pPr>
            <w:r>
              <w:t>Graham Barker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8784" w:type="dxa"/>
        <w:tblInd w:w="8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268"/>
      </w:tblGrid>
      <w:tr w:rsidR="00E66558" w14:paraId="2A7D54D6" w14:textId="77777777" w:rsidTr="006F2A1F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006F2A1F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673B17A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3455CF">
              <w:t>3030</w:t>
            </w:r>
          </w:p>
        </w:tc>
      </w:tr>
      <w:tr w:rsidR="00E66558" w14:paraId="2A7D54DF" w14:textId="77777777" w:rsidTr="006F2A1F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4485CCAD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3BEAB6C9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AE0DE8">
              <w:t>0</w:t>
            </w:r>
          </w:p>
        </w:tc>
      </w:tr>
      <w:tr w:rsidR="00E66558" w14:paraId="2A7D54E3" w14:textId="77777777" w:rsidTr="006F2A1F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1" w14:textId="4CBB324F" w:rsidR="00E66558" w:rsidRPr="00CA7A87" w:rsidRDefault="009D71E8" w:rsidP="00CA7A87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0C1A8EE6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3455CF">
              <w:t>3030</w:t>
            </w:r>
          </w:p>
        </w:tc>
      </w:tr>
    </w:tbl>
    <w:p w14:paraId="2A7D54E4" w14:textId="01F42094" w:rsidR="00E66558" w:rsidRDefault="00CA7A87">
      <w:pPr>
        <w:pStyle w:val="Heading1"/>
      </w:pPr>
      <w:r>
        <w:lastRenderedPageBreak/>
        <w:t>P</w:t>
      </w:r>
      <w:r w:rsidR="009D71E8">
        <w:t xml:space="preserve">art A: Pupil </w:t>
      </w:r>
      <w:r>
        <w:t>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1077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4"/>
      </w:tblGrid>
      <w:tr w:rsidR="00E66558" w14:paraId="2A7D54EA" w14:textId="77777777" w:rsidTr="006F2A1F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480C" w14:textId="3F3D09DE" w:rsidR="00646D3A" w:rsidRDefault="00255F9B" w:rsidP="00626668">
            <w:pPr>
              <w:spacing w:before="120"/>
              <w:rPr>
                <w:rFonts w:cs="Arial"/>
                <w:iCs/>
                <w:color w:val="000000" w:themeColor="text1"/>
                <w:lang w:val="en-US"/>
              </w:rPr>
            </w:pPr>
            <w:r>
              <w:rPr>
                <w:rFonts w:cs="Arial"/>
                <w:iCs/>
                <w:color w:val="000000" w:themeColor="text1"/>
              </w:rPr>
              <w:t>We intend</w:t>
            </w:r>
            <w:r w:rsidR="00626668" w:rsidRPr="00FF0D38">
              <w:rPr>
                <w:rFonts w:cs="Arial"/>
                <w:iCs/>
                <w:color w:val="000000" w:themeColor="text1"/>
              </w:rPr>
              <w:t xml:space="preserve"> that all pupils, irrespective of their background or the challenges they face, make good progress and achieve </w:t>
            </w:r>
            <w:r w:rsidR="00646D3A">
              <w:rPr>
                <w:rFonts w:cs="Arial"/>
                <w:iCs/>
                <w:color w:val="000000" w:themeColor="text1"/>
              </w:rPr>
              <w:t>well</w:t>
            </w:r>
            <w:r w:rsidR="00626668" w:rsidRPr="00FF0D38">
              <w:rPr>
                <w:rFonts w:cs="Arial"/>
                <w:iCs/>
                <w:color w:val="000000" w:themeColor="text1"/>
              </w:rPr>
              <w:t xml:space="preserve"> across all subject areas. </w:t>
            </w:r>
          </w:p>
          <w:p w14:paraId="5A7FE57D" w14:textId="229F5106" w:rsidR="00626668" w:rsidRPr="00646D3A" w:rsidRDefault="00626668" w:rsidP="00626668">
            <w:pPr>
              <w:spacing w:before="120"/>
              <w:rPr>
                <w:rFonts w:cs="Arial"/>
                <w:iCs/>
                <w:color w:val="000000" w:themeColor="text1"/>
              </w:rPr>
            </w:pPr>
            <w:r w:rsidRPr="00646D3A">
              <w:rPr>
                <w:rFonts w:cs="Arial"/>
                <w:iCs/>
                <w:color w:val="000000" w:themeColor="text1"/>
                <w:lang w:val="en-US"/>
              </w:rPr>
              <w:t>We will consider the challenges faced by vulnerable pupils</w:t>
            </w:r>
            <w:r w:rsidR="00646D3A">
              <w:rPr>
                <w:rFonts w:cs="Arial"/>
                <w:iCs/>
                <w:color w:val="000000" w:themeColor="text1"/>
                <w:lang w:val="en-US"/>
              </w:rPr>
              <w:t xml:space="preserve">. </w:t>
            </w:r>
            <w:r w:rsidRPr="00646D3A">
              <w:rPr>
                <w:rFonts w:cs="Arial"/>
                <w:iCs/>
                <w:color w:val="000000" w:themeColor="text1"/>
                <w:lang w:val="en-US"/>
              </w:rPr>
              <w:t>The activity outlined in this statement is intended to support their needs, regardless of whether they are disadvantaged or not.</w:t>
            </w:r>
          </w:p>
          <w:p w14:paraId="5039CD9F" w14:textId="77777777" w:rsidR="003666A1" w:rsidRDefault="00626668" w:rsidP="00626668">
            <w:pPr>
              <w:rPr>
                <w:rFonts w:cs="Arial"/>
                <w:iCs/>
                <w:color w:val="000000" w:themeColor="text1"/>
                <w:lang w:val="en-US"/>
              </w:rPr>
            </w:pPr>
            <w:r w:rsidRPr="00646D3A">
              <w:rPr>
                <w:rFonts w:cs="Arial"/>
                <w:iCs/>
                <w:color w:val="000000" w:themeColor="text1"/>
                <w:lang w:val="en-US"/>
              </w:rPr>
              <w:t xml:space="preserve">High-quality teaching is at the heart of our approach. This </w:t>
            </w:r>
            <w:r w:rsidR="00646D3A" w:rsidRPr="00646D3A">
              <w:rPr>
                <w:rFonts w:cs="Arial"/>
                <w:iCs/>
                <w:color w:val="000000" w:themeColor="text1"/>
                <w:lang w:val="en-US"/>
              </w:rPr>
              <w:t>has</w:t>
            </w:r>
            <w:r w:rsidRPr="00646D3A">
              <w:rPr>
                <w:rFonts w:cs="Arial"/>
                <w:iCs/>
                <w:color w:val="000000" w:themeColor="text1"/>
                <w:lang w:val="en-US"/>
              </w:rPr>
              <w:t xml:space="preserve"> </w:t>
            </w:r>
            <w:r w:rsidR="00646D3A">
              <w:rPr>
                <w:rFonts w:cs="Arial"/>
                <w:iCs/>
                <w:color w:val="000000" w:themeColor="text1"/>
                <w:lang w:val="en-US"/>
              </w:rPr>
              <w:t xml:space="preserve">been </w:t>
            </w:r>
            <w:r w:rsidRPr="00646D3A">
              <w:rPr>
                <w:rFonts w:cs="Arial"/>
                <w:iCs/>
                <w:color w:val="000000" w:themeColor="text1"/>
                <w:lang w:val="en-US"/>
              </w:rPr>
              <w:t>proven to have the greatest impact on closing the attainment gap and at the same time will benefit the non-disadvantaged pupils in our school</w:t>
            </w:r>
            <w:r w:rsidR="003666A1">
              <w:rPr>
                <w:rFonts w:cs="Arial"/>
                <w:iCs/>
                <w:color w:val="000000" w:themeColor="text1"/>
                <w:lang w:val="en-US"/>
              </w:rPr>
              <w:t xml:space="preserve"> too.</w:t>
            </w:r>
          </w:p>
          <w:p w14:paraId="5827F1A9" w14:textId="0DADAAD0" w:rsidR="00626668" w:rsidRPr="003666A1" w:rsidRDefault="00626668" w:rsidP="00626668">
            <w:pPr>
              <w:spacing w:after="120"/>
              <w:rPr>
                <w:rFonts w:cs="Arial"/>
                <w:iCs/>
                <w:color w:val="000000" w:themeColor="text1"/>
                <w:lang w:val="en-US"/>
              </w:rPr>
            </w:pPr>
            <w:r w:rsidRPr="003666A1">
              <w:rPr>
                <w:rFonts w:cs="Arial"/>
                <w:iCs/>
                <w:color w:val="000000" w:themeColor="text1"/>
                <w:lang w:val="en-US"/>
              </w:rPr>
              <w:t xml:space="preserve">Our approach will be responsive to common challenges and individual needs, rooted in robust diagnostic assessment, not assumptions about the impact of disadvantage. The approaches we have adopted </w:t>
            </w:r>
            <w:r w:rsidR="003666A1">
              <w:rPr>
                <w:rFonts w:cs="Arial"/>
                <w:iCs/>
                <w:color w:val="000000" w:themeColor="text1"/>
                <w:lang w:val="en-US"/>
              </w:rPr>
              <w:t>will</w:t>
            </w:r>
            <w:r w:rsidRPr="003666A1">
              <w:rPr>
                <w:rFonts w:cs="Arial"/>
                <w:iCs/>
                <w:color w:val="000000" w:themeColor="text1"/>
                <w:lang w:val="en-US"/>
              </w:rPr>
              <w:t xml:space="preserve"> help pupils excel. To ensure they are effective</w:t>
            </w:r>
            <w:r w:rsidR="003666A1">
              <w:rPr>
                <w:rFonts w:cs="Arial"/>
                <w:iCs/>
                <w:color w:val="000000" w:themeColor="text1"/>
                <w:lang w:val="en-US"/>
              </w:rPr>
              <w:t>,</w:t>
            </w:r>
            <w:r w:rsidRPr="003666A1">
              <w:rPr>
                <w:rFonts w:cs="Arial"/>
                <w:iCs/>
                <w:color w:val="000000" w:themeColor="text1"/>
                <w:lang w:val="en-US"/>
              </w:rPr>
              <w:t xml:space="preserve"> we will:</w:t>
            </w:r>
          </w:p>
          <w:p w14:paraId="0F6EB2BE" w14:textId="77777777" w:rsidR="00626668" w:rsidRPr="003666A1" w:rsidRDefault="00626668" w:rsidP="00725303">
            <w:pPr>
              <w:numPr>
                <w:ilvl w:val="0"/>
                <w:numId w:val="20"/>
              </w:numPr>
              <w:autoSpaceDN/>
              <w:spacing w:after="0"/>
              <w:contextualSpacing/>
              <w:rPr>
                <w:rFonts w:cs="Arial"/>
                <w:iCs/>
                <w:color w:val="000000" w:themeColor="text1"/>
                <w:lang w:val="en-US"/>
              </w:rPr>
            </w:pPr>
            <w:r w:rsidRPr="003666A1">
              <w:rPr>
                <w:rFonts w:cs="Arial"/>
                <w:iCs/>
                <w:color w:val="000000" w:themeColor="text1"/>
                <w:lang w:val="en-US"/>
              </w:rPr>
              <w:t>ensure disadvantaged pupils are challenged in the work that they’re set</w:t>
            </w:r>
          </w:p>
          <w:p w14:paraId="24CBEE67" w14:textId="6E68165F" w:rsidR="00626668" w:rsidRPr="00725303" w:rsidRDefault="00626668" w:rsidP="00725303">
            <w:pPr>
              <w:numPr>
                <w:ilvl w:val="0"/>
                <w:numId w:val="20"/>
              </w:numPr>
              <w:autoSpaceDN/>
              <w:spacing w:after="0"/>
              <w:ind w:left="714" w:hanging="357"/>
              <w:contextualSpacing/>
              <w:rPr>
                <w:rFonts w:cs="Arial"/>
                <w:iCs/>
                <w:color w:val="000000" w:themeColor="text1"/>
                <w:lang w:val="en-US"/>
              </w:rPr>
            </w:pPr>
            <w:r w:rsidRPr="003666A1">
              <w:rPr>
                <w:rFonts w:cs="Arial"/>
                <w:iCs/>
                <w:color w:val="000000" w:themeColor="text1"/>
              </w:rPr>
              <w:t xml:space="preserve">act early to intervene at the point </w:t>
            </w:r>
            <w:r w:rsidR="001B1656">
              <w:rPr>
                <w:rFonts w:cs="Arial"/>
                <w:iCs/>
                <w:color w:val="000000" w:themeColor="text1"/>
              </w:rPr>
              <w:t xml:space="preserve">where </w:t>
            </w:r>
            <w:r w:rsidRPr="003666A1">
              <w:rPr>
                <w:rFonts w:cs="Arial"/>
                <w:iCs/>
                <w:color w:val="000000" w:themeColor="text1"/>
              </w:rPr>
              <w:t>need is identified</w:t>
            </w:r>
          </w:p>
          <w:p w14:paraId="283BDA83" w14:textId="2945EEB8" w:rsidR="001B1656" w:rsidRDefault="00626668" w:rsidP="00C66594">
            <w:pPr>
              <w:pStyle w:val="ListParagraph"/>
              <w:numPr>
                <w:ilvl w:val="0"/>
                <w:numId w:val="20"/>
              </w:numPr>
              <w:autoSpaceDN/>
              <w:spacing w:after="0"/>
              <w:rPr>
                <w:rFonts w:cs="Arial"/>
                <w:iCs/>
                <w:color w:val="000000" w:themeColor="text1"/>
              </w:rPr>
            </w:pPr>
            <w:r w:rsidRPr="00F5646C">
              <w:rPr>
                <w:rFonts w:cs="Arial"/>
                <w:iCs/>
                <w:color w:val="000000" w:themeColor="text1"/>
              </w:rPr>
              <w:t>adopt a whole school approach in which all staff take responsibility for disadvantaged pupils’ outcomes and raise expectations</w:t>
            </w:r>
            <w:r w:rsidR="00F5646C">
              <w:rPr>
                <w:rFonts w:cs="Arial"/>
                <w:iCs/>
                <w:color w:val="000000" w:themeColor="text1"/>
              </w:rPr>
              <w:t>.</w:t>
            </w:r>
          </w:p>
          <w:p w14:paraId="133A13BA" w14:textId="77777777" w:rsidR="00F5646C" w:rsidRPr="00F5646C" w:rsidRDefault="00F5646C" w:rsidP="00F5646C">
            <w:pPr>
              <w:autoSpaceDN/>
              <w:spacing w:after="0"/>
              <w:ind w:left="360"/>
              <w:rPr>
                <w:rFonts w:cs="Arial"/>
                <w:iCs/>
                <w:color w:val="000000" w:themeColor="text1"/>
              </w:rPr>
            </w:pPr>
          </w:p>
          <w:p w14:paraId="030E2940" w14:textId="51B98D03" w:rsidR="00AE0DE8" w:rsidRPr="003666A1" w:rsidRDefault="00AE0DE8" w:rsidP="00626668">
            <w:pPr>
              <w:ind w:left="360"/>
              <w:rPr>
                <w:iCs/>
                <w:color w:val="000000" w:themeColor="text1"/>
              </w:rPr>
            </w:pPr>
            <w:r w:rsidRPr="003666A1">
              <w:rPr>
                <w:iCs/>
                <w:color w:val="000000" w:themeColor="text1"/>
              </w:rPr>
              <w:t>The key aim of our school’s pupil strategy plan is to ensure that all students, regardless of their background and family income</w:t>
            </w:r>
            <w:r w:rsidR="00276BED" w:rsidRPr="003666A1">
              <w:rPr>
                <w:iCs/>
                <w:color w:val="000000" w:themeColor="text1"/>
              </w:rPr>
              <w:t>,</w:t>
            </w:r>
            <w:r w:rsidRPr="003666A1">
              <w:rPr>
                <w:iCs/>
                <w:color w:val="000000" w:themeColor="text1"/>
              </w:rPr>
              <w:t xml:space="preserve"> have an equal opportunity to thrive and achieve in school. </w:t>
            </w:r>
          </w:p>
          <w:p w14:paraId="78459F93" w14:textId="316824F4" w:rsidR="00CC6C2D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>Common barriers to learning for disadvantaged children in our school</w:t>
            </w:r>
            <w:r w:rsidR="00CC6C2D" w:rsidRPr="008072A7">
              <w:rPr>
                <w:color w:val="000000" w:themeColor="text1"/>
              </w:rPr>
              <w:t xml:space="preserve"> may be: </w:t>
            </w:r>
          </w:p>
          <w:p w14:paraId="621552E4" w14:textId="20BA79F7" w:rsidR="00FC542E" w:rsidRPr="008072A7" w:rsidRDefault="00FC542E" w:rsidP="00FC542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>Less support at home</w:t>
            </w:r>
          </w:p>
          <w:p w14:paraId="0675EC1B" w14:textId="3E98F8E3" w:rsidR="00FC542E" w:rsidRPr="008072A7" w:rsidRDefault="00FC542E" w:rsidP="00FC542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>Weak language and communication skills</w:t>
            </w:r>
          </w:p>
          <w:p w14:paraId="0D9EFC01" w14:textId="7790A5AC" w:rsidR="00FC542E" w:rsidRPr="008072A7" w:rsidRDefault="0067174E" w:rsidP="00FC542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>Lacking confidence</w:t>
            </w:r>
          </w:p>
          <w:p w14:paraId="7E3A75BC" w14:textId="40690452" w:rsidR="0067174E" w:rsidRPr="008072A7" w:rsidRDefault="0067174E" w:rsidP="00FC542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>More frequent behaviour difficulties</w:t>
            </w:r>
          </w:p>
          <w:p w14:paraId="4248CB09" w14:textId="406A3288" w:rsidR="0067174E" w:rsidRPr="008072A7" w:rsidRDefault="0067174E" w:rsidP="00FC542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Attendance and punctuality </w:t>
            </w:r>
          </w:p>
          <w:p w14:paraId="32CBE24E" w14:textId="50AAAD4A" w:rsidR="00AE0DE8" w:rsidRPr="008072A7" w:rsidRDefault="00AE0DE8" w:rsidP="00CC6C2D">
            <w:pPr>
              <w:ind w:left="432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The challenges are varied and there is no ‘one size fits all’ answer. </w:t>
            </w:r>
          </w:p>
          <w:p w14:paraId="373A3529" w14:textId="77777777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Key Principles </w:t>
            </w:r>
          </w:p>
          <w:p w14:paraId="24193B27" w14:textId="77777777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We ensure that teaching and learning opportunities meet the needs of all the students. </w:t>
            </w:r>
          </w:p>
          <w:p w14:paraId="2FC57366" w14:textId="2B70CDE8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We ensure that appropriate provision is made for students who belong to vulnerable groups, ensuring that the needs of socially disadvantaged students are adequately assessed and addressed. </w:t>
            </w:r>
          </w:p>
          <w:p w14:paraId="3387A8B7" w14:textId="03519BC3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</w:t>
            </w:r>
            <w:r w:rsidR="008072A7">
              <w:rPr>
                <w:color w:val="000000" w:themeColor="text1"/>
              </w:rPr>
              <w:t>We</w:t>
            </w:r>
            <w:r w:rsidRPr="008072A7">
              <w:rPr>
                <w:color w:val="000000" w:themeColor="text1"/>
              </w:rPr>
              <w:t xml:space="preserve"> support our children’s health and wellbeing to enable them to access learning at an appropriate level. </w:t>
            </w:r>
          </w:p>
          <w:p w14:paraId="489A81C3" w14:textId="77777777" w:rsid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lastRenderedPageBreak/>
              <w:t xml:space="preserve">• We promote and encourage increased parental engagement with the school. </w:t>
            </w:r>
          </w:p>
          <w:p w14:paraId="3D2CE7EA" w14:textId="1D621C26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</w:t>
            </w:r>
            <w:r w:rsidR="008072A7">
              <w:rPr>
                <w:color w:val="000000" w:themeColor="text1"/>
              </w:rPr>
              <w:t>We ensure</w:t>
            </w:r>
            <w:r w:rsidRPr="008072A7">
              <w:rPr>
                <w:color w:val="000000" w:themeColor="text1"/>
              </w:rPr>
              <w:t xml:space="preserve"> all teaching is good or better</w:t>
            </w:r>
            <w:r w:rsidR="008072A7">
              <w:rPr>
                <w:color w:val="000000" w:themeColor="text1"/>
              </w:rPr>
              <w:t>,</w:t>
            </w:r>
            <w:r w:rsidRPr="008072A7">
              <w:rPr>
                <w:color w:val="000000" w:themeColor="text1"/>
              </w:rPr>
              <w:t xml:space="preserve"> therefore ensuring that the teaching experienced by all children is improved.</w:t>
            </w:r>
          </w:p>
          <w:p w14:paraId="05CEB3D0" w14:textId="43ADBD61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</w:t>
            </w:r>
            <w:r w:rsidR="00335C83">
              <w:rPr>
                <w:color w:val="000000" w:themeColor="text1"/>
              </w:rPr>
              <w:t>We</w:t>
            </w:r>
            <w:r w:rsidRPr="008072A7">
              <w:rPr>
                <w:color w:val="000000" w:themeColor="text1"/>
              </w:rPr>
              <w:t xml:space="preserve"> allocate staffing appropriately </w:t>
            </w:r>
            <w:r w:rsidR="00335C83">
              <w:rPr>
                <w:color w:val="000000" w:themeColor="text1"/>
              </w:rPr>
              <w:t>to</w:t>
            </w:r>
            <w:r w:rsidRPr="008072A7">
              <w:rPr>
                <w:color w:val="000000" w:themeColor="text1"/>
              </w:rPr>
              <w:t xml:space="preserve"> provide small group</w:t>
            </w:r>
            <w:r w:rsidR="00B37110">
              <w:rPr>
                <w:color w:val="000000" w:themeColor="text1"/>
              </w:rPr>
              <w:t xml:space="preserve"> interventions and catch-up sessions,</w:t>
            </w:r>
            <w:r w:rsidRPr="008072A7">
              <w:rPr>
                <w:color w:val="000000" w:themeColor="text1"/>
              </w:rPr>
              <w:t xml:space="preserve"> </w:t>
            </w:r>
            <w:r w:rsidR="00335C83">
              <w:rPr>
                <w:color w:val="000000" w:themeColor="text1"/>
              </w:rPr>
              <w:t>focused</w:t>
            </w:r>
            <w:r w:rsidRPr="008072A7">
              <w:rPr>
                <w:color w:val="000000" w:themeColor="text1"/>
              </w:rPr>
              <w:t xml:space="preserve"> on overcoming gaps in learning. </w:t>
            </w:r>
          </w:p>
          <w:p w14:paraId="2E093E61" w14:textId="6E6641E5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</w:t>
            </w:r>
            <w:r w:rsidR="00335C83">
              <w:rPr>
                <w:color w:val="000000" w:themeColor="text1"/>
              </w:rPr>
              <w:t>We provide</w:t>
            </w:r>
            <w:r w:rsidR="005A7AB8">
              <w:rPr>
                <w:color w:val="000000" w:themeColor="text1"/>
              </w:rPr>
              <w:t>, where possible,</w:t>
            </w:r>
            <w:r w:rsidR="00335C83">
              <w:rPr>
                <w:color w:val="000000" w:themeColor="text1"/>
              </w:rPr>
              <w:t xml:space="preserve"> </w:t>
            </w:r>
            <w:r w:rsidRPr="008072A7">
              <w:rPr>
                <w:color w:val="000000" w:themeColor="text1"/>
              </w:rPr>
              <w:t>1-1 support both socially and academically as required</w:t>
            </w:r>
            <w:r w:rsidR="00335C83">
              <w:rPr>
                <w:color w:val="000000" w:themeColor="text1"/>
              </w:rPr>
              <w:t>.</w:t>
            </w:r>
          </w:p>
          <w:p w14:paraId="6D13388A" w14:textId="77777777" w:rsidR="00335C83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All work through pupil premium will be aimed at accelerating progress, moving children to at least age-related expectations </w:t>
            </w:r>
          </w:p>
          <w:p w14:paraId="3694A368" w14:textId="54E8FF29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</w:t>
            </w:r>
            <w:r w:rsidR="00694806">
              <w:rPr>
                <w:color w:val="000000" w:themeColor="text1"/>
              </w:rPr>
              <w:t xml:space="preserve">We provide </w:t>
            </w:r>
            <w:r w:rsidR="00935FBD">
              <w:rPr>
                <w:color w:val="000000" w:themeColor="text1"/>
              </w:rPr>
              <w:t>financial support</w:t>
            </w:r>
            <w:r w:rsidRPr="008072A7">
              <w:rPr>
                <w:color w:val="000000" w:themeColor="text1"/>
              </w:rPr>
              <w:t xml:space="preserve"> for activities, educational visits and residential trips</w:t>
            </w:r>
            <w:r w:rsidR="00935FBD">
              <w:rPr>
                <w:color w:val="000000" w:themeColor="text1"/>
              </w:rPr>
              <w:t>, e</w:t>
            </w:r>
            <w:r w:rsidRPr="008072A7">
              <w:rPr>
                <w:color w:val="000000" w:themeColor="text1"/>
              </w:rPr>
              <w:t>nsuring children have concrete experiences to expand their classroom education</w:t>
            </w:r>
            <w:r w:rsidR="00935FBD">
              <w:rPr>
                <w:color w:val="000000" w:themeColor="text1"/>
              </w:rPr>
              <w:t>.</w:t>
            </w:r>
          </w:p>
          <w:p w14:paraId="0A629545" w14:textId="03053942" w:rsidR="008E6B3E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 xml:space="preserve">• </w:t>
            </w:r>
            <w:r w:rsidR="00935FBD">
              <w:rPr>
                <w:color w:val="000000" w:themeColor="text1"/>
              </w:rPr>
              <w:t>We provide financial support</w:t>
            </w:r>
            <w:r w:rsidRPr="008072A7">
              <w:rPr>
                <w:color w:val="000000" w:themeColor="text1"/>
              </w:rPr>
              <w:t xml:space="preserve"> for school uniform, PE kit and school equipment as appropriate</w:t>
            </w:r>
            <w:r w:rsidR="008E6B3E">
              <w:rPr>
                <w:color w:val="000000" w:themeColor="text1"/>
              </w:rPr>
              <w:t>.</w:t>
            </w:r>
            <w:r w:rsidRPr="008072A7">
              <w:rPr>
                <w:color w:val="000000" w:themeColor="text1"/>
              </w:rPr>
              <w:t xml:space="preserve"> </w:t>
            </w:r>
          </w:p>
          <w:p w14:paraId="2B0E4C58" w14:textId="182C4AD1" w:rsidR="00AE0DE8" w:rsidRPr="008072A7" w:rsidRDefault="00AE0DE8" w:rsidP="00AE0DE8">
            <w:pPr>
              <w:ind w:left="360"/>
              <w:rPr>
                <w:color w:val="000000" w:themeColor="text1"/>
              </w:rPr>
            </w:pPr>
            <w:r w:rsidRPr="008072A7">
              <w:rPr>
                <w:color w:val="000000" w:themeColor="text1"/>
              </w:rPr>
              <w:t>•</w:t>
            </w:r>
            <w:r w:rsidR="008E6B3E">
              <w:rPr>
                <w:color w:val="000000" w:themeColor="text1"/>
              </w:rPr>
              <w:t xml:space="preserve"> We provide m</w:t>
            </w:r>
            <w:r w:rsidRPr="008072A7">
              <w:rPr>
                <w:color w:val="000000" w:themeColor="text1"/>
              </w:rPr>
              <w:t xml:space="preserve">ental </w:t>
            </w:r>
            <w:r w:rsidR="008E6B3E">
              <w:rPr>
                <w:color w:val="000000" w:themeColor="text1"/>
              </w:rPr>
              <w:t>h</w:t>
            </w:r>
            <w:r w:rsidRPr="008072A7">
              <w:rPr>
                <w:color w:val="000000" w:themeColor="text1"/>
              </w:rPr>
              <w:t xml:space="preserve">ealth and </w:t>
            </w:r>
            <w:r w:rsidR="008E6B3E">
              <w:rPr>
                <w:color w:val="000000" w:themeColor="text1"/>
              </w:rPr>
              <w:t>w</w:t>
            </w:r>
            <w:r w:rsidRPr="008072A7">
              <w:rPr>
                <w:color w:val="000000" w:themeColor="text1"/>
              </w:rPr>
              <w:t xml:space="preserve">ellbeing support, </w:t>
            </w:r>
            <w:proofErr w:type="gramStart"/>
            <w:r w:rsidRPr="008072A7">
              <w:rPr>
                <w:color w:val="000000" w:themeColor="text1"/>
              </w:rPr>
              <w:t>through the use of</w:t>
            </w:r>
            <w:proofErr w:type="gramEnd"/>
            <w:r w:rsidRPr="008072A7">
              <w:rPr>
                <w:color w:val="000000" w:themeColor="text1"/>
              </w:rPr>
              <w:t xml:space="preserve"> </w:t>
            </w:r>
            <w:proofErr w:type="gramStart"/>
            <w:r w:rsidR="008E6B3E">
              <w:rPr>
                <w:color w:val="000000" w:themeColor="text1"/>
              </w:rPr>
              <w:t>school-based</w:t>
            </w:r>
            <w:proofErr w:type="gramEnd"/>
            <w:r w:rsidRPr="008072A7">
              <w:rPr>
                <w:color w:val="000000" w:themeColor="text1"/>
              </w:rPr>
              <w:t xml:space="preserve"> Thrive practitioner on a 1:1 or targeted group basis</w:t>
            </w:r>
            <w:r w:rsidR="008E6B3E">
              <w:rPr>
                <w:color w:val="000000" w:themeColor="text1"/>
              </w:rPr>
              <w:t>.</w:t>
            </w:r>
          </w:p>
          <w:p w14:paraId="2A7D54E9" w14:textId="17060E09" w:rsidR="00E66558" w:rsidRPr="00AE0DE8" w:rsidRDefault="00E66558" w:rsidP="00732591"/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219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496"/>
      </w:tblGrid>
      <w:tr w:rsidR="00E66558" w14:paraId="2A7D54EF" w14:textId="77777777" w:rsidTr="007C2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5" w14:textId="77777777" w:rsidTr="007C2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155809C" w:rsidR="00E66558" w:rsidRDefault="00757FEF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339C35EA" w:rsidR="00E66558" w:rsidRPr="00604F5D" w:rsidRDefault="00B70E3F" w:rsidP="00C31636">
            <w:pPr>
              <w:pStyle w:val="TableRowCentered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604F5D">
              <w:rPr>
                <w:color w:val="000000" w:themeColor="text1"/>
                <w:sz w:val="22"/>
                <w:szCs w:val="22"/>
              </w:rPr>
              <w:t xml:space="preserve">The attainment of disadvantaged pupils </w:t>
            </w:r>
            <w:r w:rsidR="004D55A7">
              <w:rPr>
                <w:color w:val="000000" w:themeColor="text1"/>
                <w:sz w:val="22"/>
                <w:szCs w:val="22"/>
              </w:rPr>
              <w:t xml:space="preserve">in </w:t>
            </w:r>
            <w:r w:rsidR="0098341C">
              <w:rPr>
                <w:color w:val="000000" w:themeColor="text1"/>
                <w:sz w:val="22"/>
                <w:szCs w:val="22"/>
              </w:rPr>
              <w:t>reading, writing</w:t>
            </w:r>
            <w:r w:rsidR="004D55A7">
              <w:rPr>
                <w:color w:val="000000" w:themeColor="text1"/>
                <w:sz w:val="22"/>
                <w:szCs w:val="22"/>
              </w:rPr>
              <w:t xml:space="preserve"> and </w:t>
            </w:r>
            <w:r w:rsidR="0098341C">
              <w:rPr>
                <w:color w:val="000000" w:themeColor="text1"/>
                <w:sz w:val="22"/>
                <w:szCs w:val="22"/>
              </w:rPr>
              <w:t>m</w:t>
            </w:r>
            <w:r w:rsidR="004D55A7">
              <w:rPr>
                <w:color w:val="000000" w:themeColor="text1"/>
                <w:sz w:val="22"/>
                <w:szCs w:val="22"/>
              </w:rPr>
              <w:t xml:space="preserve">aths </w:t>
            </w:r>
            <w:r w:rsidRPr="00604F5D">
              <w:rPr>
                <w:color w:val="000000" w:themeColor="text1"/>
                <w:sz w:val="22"/>
                <w:szCs w:val="22"/>
              </w:rPr>
              <w:t xml:space="preserve">is </w:t>
            </w:r>
            <w:r w:rsidR="002F71D6">
              <w:rPr>
                <w:color w:val="000000" w:themeColor="text1"/>
                <w:sz w:val="22"/>
                <w:szCs w:val="22"/>
              </w:rPr>
              <w:t>significantly lower than that of their peers</w:t>
            </w:r>
            <w:r w:rsidR="00D528F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66558" w14:paraId="2A7D54F8" w14:textId="77777777" w:rsidTr="007C2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66F83EA" w:rsidR="00E66558" w:rsidRDefault="00757FEF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43D4E659" w:rsidR="00E66558" w:rsidRPr="005A389C" w:rsidRDefault="00A67FB6" w:rsidP="00C31636">
            <w:pPr>
              <w:pStyle w:val="TableRowCentered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Increased</w:t>
            </w:r>
            <w:r w:rsidR="002F052A">
              <w:rPr>
                <w:color w:val="000000" w:themeColor="text1"/>
                <w:sz w:val="22"/>
                <w:szCs w:val="22"/>
              </w:rPr>
              <w:t xml:space="preserve"> s</w:t>
            </w:r>
            <w:r w:rsidR="005A389C" w:rsidRPr="005A389C">
              <w:rPr>
                <w:color w:val="000000" w:themeColor="text1"/>
                <w:sz w:val="22"/>
                <w:szCs w:val="22"/>
              </w:rPr>
              <w:t xml:space="preserve">ocial, emotional and mental health </w:t>
            </w:r>
            <w:r w:rsidR="004344ED">
              <w:rPr>
                <w:color w:val="000000" w:themeColor="text1"/>
                <w:sz w:val="22"/>
                <w:szCs w:val="22"/>
              </w:rPr>
              <w:t>needs</w:t>
            </w:r>
            <w:r w:rsidR="005A389C" w:rsidRPr="005A389C">
              <w:rPr>
                <w:color w:val="000000" w:themeColor="text1"/>
                <w:sz w:val="22"/>
                <w:szCs w:val="22"/>
              </w:rPr>
              <w:t xml:space="preserve"> for </w:t>
            </w:r>
            <w:r w:rsidR="005A389C">
              <w:rPr>
                <w:color w:val="000000" w:themeColor="text1"/>
                <w:sz w:val="22"/>
                <w:szCs w:val="22"/>
              </w:rPr>
              <w:t>some</w:t>
            </w:r>
            <w:r w:rsidR="005A389C" w:rsidRPr="005A389C">
              <w:rPr>
                <w:color w:val="000000" w:themeColor="text1"/>
                <w:sz w:val="22"/>
                <w:szCs w:val="22"/>
              </w:rPr>
              <w:t xml:space="preserve"> disadvantaged pupils, due to a lack of resilience</w:t>
            </w:r>
            <w:r w:rsidR="00E625E9">
              <w:rPr>
                <w:color w:val="000000" w:themeColor="text1"/>
                <w:sz w:val="22"/>
                <w:szCs w:val="22"/>
              </w:rPr>
              <w:t xml:space="preserve"> and self-esteem.</w:t>
            </w:r>
            <w:r w:rsidR="004344ED">
              <w:rPr>
                <w:color w:val="000000" w:themeColor="text1"/>
                <w:sz w:val="22"/>
                <w:szCs w:val="22"/>
              </w:rPr>
              <w:t xml:space="preserve"> This</w:t>
            </w:r>
            <w:r w:rsidRPr="00A67FB6">
              <w:rPr>
                <w:color w:val="000000" w:themeColor="text1"/>
                <w:sz w:val="22"/>
                <w:szCs w:val="22"/>
              </w:rPr>
              <w:t xml:space="preserve"> </w:t>
            </w:r>
            <w:r w:rsidR="004344ED">
              <w:rPr>
                <w:color w:val="000000" w:themeColor="text1"/>
                <w:sz w:val="22"/>
                <w:szCs w:val="22"/>
              </w:rPr>
              <w:t>impacts</w:t>
            </w:r>
            <w:r w:rsidRPr="00A67FB6">
              <w:rPr>
                <w:color w:val="000000" w:themeColor="text1"/>
                <w:sz w:val="22"/>
                <w:szCs w:val="22"/>
              </w:rPr>
              <w:t xml:space="preserve"> their ability to engage and become confident and successful learners. </w:t>
            </w:r>
          </w:p>
        </w:tc>
      </w:tr>
      <w:tr w:rsidR="00E66558" w14:paraId="2A7D54FB" w14:textId="77777777" w:rsidTr="007C2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29A41067" w:rsidR="00E66558" w:rsidRDefault="00757FEF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7278844D" w:rsidR="00E66558" w:rsidRPr="00D528FD" w:rsidRDefault="00221C67" w:rsidP="00C31636">
            <w:pPr>
              <w:pStyle w:val="TableRowCentered"/>
              <w:ind w:left="0" w:right="0"/>
              <w:jc w:val="left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Deficient</w:t>
            </w:r>
            <w:r w:rsidR="002F052A">
              <w:rPr>
                <w:iCs/>
                <w:color w:val="000000" w:themeColor="text1"/>
                <w:sz w:val="22"/>
              </w:rPr>
              <w:t xml:space="preserve"> learning behaviours</w:t>
            </w:r>
            <w:r w:rsidR="008D6126">
              <w:rPr>
                <w:iCs/>
                <w:color w:val="000000" w:themeColor="text1"/>
                <w:sz w:val="22"/>
              </w:rPr>
              <w:t xml:space="preserve"> in </w:t>
            </w:r>
            <w:r w:rsidR="0069590D">
              <w:rPr>
                <w:iCs/>
                <w:color w:val="000000" w:themeColor="text1"/>
                <w:sz w:val="22"/>
              </w:rPr>
              <w:t>some</w:t>
            </w:r>
            <w:r w:rsidR="008D6126">
              <w:rPr>
                <w:iCs/>
                <w:color w:val="000000" w:themeColor="text1"/>
                <w:sz w:val="22"/>
              </w:rPr>
              <w:t xml:space="preserve"> of our disadvantaged pupils.</w:t>
            </w:r>
          </w:p>
        </w:tc>
      </w:tr>
      <w:tr w:rsidR="006E4248" w14:paraId="6A6320FB" w14:textId="77777777" w:rsidTr="007C2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C400" w14:textId="77F53045" w:rsidR="006E4248" w:rsidRDefault="006E424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E9CC" w14:textId="5CF70BB5" w:rsidR="006E4248" w:rsidRDefault="006E4248" w:rsidP="00C31636">
            <w:pPr>
              <w:pStyle w:val="TableRowCentered"/>
              <w:ind w:left="0" w:right="0"/>
              <w:jc w:val="left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U</w:t>
            </w:r>
            <w:r w:rsidRPr="006E4248">
              <w:rPr>
                <w:iCs/>
                <w:color w:val="000000" w:themeColor="text1"/>
                <w:sz w:val="22"/>
              </w:rPr>
              <w:t xml:space="preserve">nderdeveloped oral language skills and vocabulary gaps </w:t>
            </w:r>
            <w:r w:rsidR="00054FB7">
              <w:rPr>
                <w:iCs/>
                <w:color w:val="000000" w:themeColor="text1"/>
                <w:sz w:val="22"/>
              </w:rPr>
              <w:t>for</w:t>
            </w:r>
            <w:r w:rsidRPr="006E4248">
              <w:rPr>
                <w:iCs/>
                <w:color w:val="000000" w:themeColor="text1"/>
                <w:sz w:val="22"/>
              </w:rPr>
              <w:t xml:space="preserve"> many </w:t>
            </w:r>
            <w:r w:rsidR="003A4C65">
              <w:rPr>
                <w:iCs/>
                <w:color w:val="000000" w:themeColor="text1"/>
                <w:sz w:val="22"/>
              </w:rPr>
              <w:t>pupils but</w:t>
            </w:r>
            <w:r w:rsidR="00054FB7">
              <w:rPr>
                <w:iCs/>
                <w:color w:val="000000" w:themeColor="text1"/>
                <w:sz w:val="22"/>
              </w:rPr>
              <w:t xml:space="preserve"> </w:t>
            </w:r>
            <w:r w:rsidR="008D6126">
              <w:rPr>
                <w:iCs/>
                <w:color w:val="000000" w:themeColor="text1"/>
                <w:sz w:val="22"/>
              </w:rPr>
              <w:t xml:space="preserve">are </w:t>
            </w:r>
            <w:r w:rsidR="00054FB7">
              <w:rPr>
                <w:iCs/>
                <w:color w:val="000000" w:themeColor="text1"/>
                <w:sz w:val="22"/>
              </w:rPr>
              <w:t xml:space="preserve">more prevalent </w:t>
            </w:r>
            <w:r w:rsidR="008D6126">
              <w:rPr>
                <w:iCs/>
                <w:color w:val="000000" w:themeColor="text1"/>
                <w:sz w:val="22"/>
              </w:rPr>
              <w:t>among</w:t>
            </w:r>
            <w:r w:rsidR="00054FB7">
              <w:rPr>
                <w:iCs/>
                <w:color w:val="000000" w:themeColor="text1"/>
                <w:sz w:val="22"/>
              </w:rPr>
              <w:t xml:space="preserve"> </w:t>
            </w:r>
            <w:r w:rsidRPr="006E4248">
              <w:rPr>
                <w:iCs/>
                <w:color w:val="000000" w:themeColor="text1"/>
                <w:sz w:val="22"/>
              </w:rPr>
              <w:t xml:space="preserve">disadvantaged pupils. </w:t>
            </w:r>
            <w:r w:rsidR="00AF2370">
              <w:rPr>
                <w:iCs/>
                <w:color w:val="000000" w:themeColor="text1"/>
                <w:sz w:val="22"/>
              </w:rPr>
              <w:t>Evident from reception right through to Y6.</w:t>
            </w:r>
          </w:p>
        </w:tc>
      </w:tr>
      <w:tr w:rsidR="00E66558" w14:paraId="2A7D54FE" w14:textId="77777777" w:rsidTr="007C2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6D6E73D0" w:rsidR="00E66558" w:rsidRDefault="006E424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1DC16DC1" w:rsidR="00E66558" w:rsidRPr="00C21CCA" w:rsidRDefault="002F052A" w:rsidP="00C31636">
            <w:pPr>
              <w:pStyle w:val="TableRowCentered"/>
              <w:ind w:left="0" w:right="0"/>
              <w:jc w:val="left"/>
              <w:rPr>
                <w:iCs/>
                <w:color w:val="000000" w:themeColor="text1"/>
                <w:sz w:val="22"/>
              </w:rPr>
            </w:pPr>
            <w:r w:rsidRPr="00D528FD">
              <w:rPr>
                <w:iCs/>
                <w:color w:val="000000" w:themeColor="text1"/>
                <w:sz w:val="22"/>
              </w:rPr>
              <w:t>Limited</w:t>
            </w:r>
            <w:r>
              <w:rPr>
                <w:iCs/>
                <w:color w:val="000000" w:themeColor="text1"/>
                <w:sz w:val="22"/>
              </w:rPr>
              <w:t xml:space="preserve"> parental engagement in school and home learning results in a lack of school readiness, </w:t>
            </w:r>
            <w:r w:rsidR="001377F5">
              <w:rPr>
                <w:iCs/>
                <w:color w:val="000000" w:themeColor="text1"/>
                <w:sz w:val="22"/>
              </w:rPr>
              <w:t>incomplete homework,</w:t>
            </w:r>
            <w:r>
              <w:rPr>
                <w:iCs/>
                <w:color w:val="000000" w:themeColor="text1"/>
                <w:sz w:val="22"/>
              </w:rPr>
              <w:t xml:space="preserve"> and, for some, reduced ambition.</w:t>
            </w:r>
          </w:p>
        </w:tc>
      </w:tr>
    </w:tbl>
    <w:p w14:paraId="4FD80CC5" w14:textId="77777777" w:rsidR="00F83668" w:rsidRDefault="00F83668">
      <w:pPr>
        <w:pStyle w:val="Heading2"/>
        <w:spacing w:before="600"/>
      </w:pPr>
    </w:p>
    <w:p w14:paraId="6B09A014" w14:textId="77777777" w:rsidR="00F83668" w:rsidRDefault="00F83668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4FF" w14:textId="2E6EC85F" w:rsidR="00E66558" w:rsidRDefault="009D71E8">
      <w:pPr>
        <w:pStyle w:val="Heading2"/>
        <w:spacing w:before="600"/>
      </w:pPr>
      <w:r>
        <w:lastRenderedPageBreak/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219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7086"/>
      </w:tblGrid>
      <w:tr w:rsidR="00E66558" w14:paraId="2A7D5503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9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4D58DCE8" w:rsidR="00E66558" w:rsidRPr="00917454" w:rsidRDefault="004A3A4F" w:rsidP="00C31636">
            <w:pPr>
              <w:pStyle w:val="TableRow"/>
              <w:ind w:left="0" w:right="0"/>
              <w:rPr>
                <w:color w:val="EE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Disadvantaged pupils will m</w:t>
            </w:r>
            <w:r w:rsidR="000008DA" w:rsidRPr="007251C8">
              <w:rPr>
                <w:color w:val="000000" w:themeColor="text1"/>
                <w:sz w:val="22"/>
                <w:szCs w:val="22"/>
              </w:rPr>
              <w:t xml:space="preserve">ake progress in all curriculum areas, closing the gaps with </w:t>
            </w:r>
            <w:r w:rsidR="001A18F8">
              <w:rPr>
                <w:color w:val="000000" w:themeColor="text1"/>
                <w:sz w:val="22"/>
                <w:szCs w:val="22"/>
              </w:rPr>
              <w:t>those</w:t>
            </w:r>
            <w:r w:rsidR="000008DA" w:rsidRPr="007251C8">
              <w:rPr>
                <w:color w:val="000000" w:themeColor="text1"/>
                <w:sz w:val="22"/>
                <w:szCs w:val="22"/>
              </w:rPr>
              <w:t xml:space="preserve"> of non-PP children.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3910B8F6" w:rsidR="00E66558" w:rsidRDefault="0097794B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Disadvantaged children achieve in line with </w:t>
            </w:r>
            <w:r w:rsidR="00783983">
              <w:rPr>
                <w:sz w:val="22"/>
                <w:szCs w:val="22"/>
              </w:rPr>
              <w:t>the national average</w:t>
            </w:r>
            <w:r w:rsidR="000D0911">
              <w:rPr>
                <w:sz w:val="22"/>
                <w:szCs w:val="22"/>
              </w:rPr>
              <w:t xml:space="preserve"> in school and statutory data.</w:t>
            </w:r>
          </w:p>
        </w:tc>
      </w:tr>
      <w:tr w:rsidR="00E66558" w14:paraId="2A7D550C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4A105703" w:rsidR="00E66558" w:rsidRPr="00917454" w:rsidRDefault="00F63A51" w:rsidP="00C31636">
            <w:pPr>
              <w:pStyle w:val="TableRow"/>
              <w:ind w:left="0" w:right="0"/>
              <w:rPr>
                <w:color w:val="EE0000"/>
                <w:sz w:val="22"/>
                <w:szCs w:val="22"/>
              </w:rPr>
            </w:pPr>
            <w:r w:rsidRPr="007251C8">
              <w:rPr>
                <w:color w:val="000000" w:themeColor="text1"/>
                <w:sz w:val="22"/>
                <w:szCs w:val="22"/>
              </w:rPr>
              <w:t xml:space="preserve">Thrive </w:t>
            </w:r>
            <w:r w:rsidR="001A18F8">
              <w:rPr>
                <w:color w:val="000000" w:themeColor="text1"/>
                <w:sz w:val="22"/>
                <w:szCs w:val="22"/>
              </w:rPr>
              <w:t>sessions</w:t>
            </w:r>
            <w:r w:rsidR="00626C99">
              <w:rPr>
                <w:color w:val="000000" w:themeColor="text1"/>
                <w:sz w:val="22"/>
                <w:szCs w:val="22"/>
              </w:rPr>
              <w:t xml:space="preserve"> will</w:t>
            </w:r>
            <w:r w:rsidR="007251C8">
              <w:rPr>
                <w:color w:val="000000" w:themeColor="text1"/>
                <w:sz w:val="22"/>
                <w:szCs w:val="22"/>
              </w:rPr>
              <w:t xml:space="preserve"> </w:t>
            </w:r>
            <w:r w:rsidR="00E81552">
              <w:rPr>
                <w:color w:val="000000" w:themeColor="text1"/>
                <w:sz w:val="22"/>
                <w:szCs w:val="22"/>
              </w:rPr>
              <w:t xml:space="preserve">help increase </w:t>
            </w:r>
            <w:r w:rsidR="00783983">
              <w:rPr>
                <w:color w:val="000000" w:themeColor="text1"/>
                <w:sz w:val="22"/>
                <w:szCs w:val="22"/>
              </w:rPr>
              <w:t xml:space="preserve">mental health, </w:t>
            </w:r>
            <w:r w:rsidR="00C84F38">
              <w:rPr>
                <w:color w:val="000000" w:themeColor="text1"/>
                <w:sz w:val="22"/>
                <w:szCs w:val="22"/>
              </w:rPr>
              <w:t>self-esteem</w:t>
            </w:r>
            <w:r w:rsidR="00FB35CD">
              <w:rPr>
                <w:color w:val="000000" w:themeColor="text1"/>
                <w:sz w:val="22"/>
                <w:szCs w:val="22"/>
              </w:rPr>
              <w:t xml:space="preserve"> and resilience.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23C6FBEB" w:rsidR="00E66558" w:rsidRDefault="001B357D" w:rsidP="00052BC0">
            <w:pPr>
              <w:pStyle w:val="TableRowCentered"/>
              <w:jc w:val="left"/>
              <w:rPr>
                <w:sz w:val="22"/>
                <w:szCs w:val="22"/>
              </w:rPr>
            </w:pPr>
            <w:r w:rsidRPr="001B357D">
              <w:rPr>
                <w:sz w:val="22"/>
                <w:szCs w:val="22"/>
              </w:rPr>
              <w:t>Sustained high levels of wellbeing demonstrated by</w:t>
            </w:r>
            <w:r w:rsidR="00C570D4">
              <w:rPr>
                <w:sz w:val="22"/>
                <w:szCs w:val="22"/>
              </w:rPr>
              <w:t xml:space="preserve"> pupil and teacher voice, </w:t>
            </w:r>
            <w:r w:rsidR="005A4D1F">
              <w:rPr>
                <w:sz w:val="22"/>
                <w:szCs w:val="22"/>
              </w:rPr>
              <w:t>pupil and parent surveys</w:t>
            </w:r>
            <w:r w:rsidR="00052BC0">
              <w:rPr>
                <w:sz w:val="22"/>
                <w:szCs w:val="22"/>
              </w:rPr>
              <w:t xml:space="preserve"> and Thrive session outcomes.</w:t>
            </w:r>
          </w:p>
        </w:tc>
      </w:tr>
      <w:tr w:rsidR="00590389" w14:paraId="3CD1FA4B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DAE7" w14:textId="77777777" w:rsidR="00590389" w:rsidRPr="00013477" w:rsidRDefault="00590389" w:rsidP="00A65E9F">
            <w:pPr>
              <w:pStyle w:val="TableRow"/>
              <w:ind w:left="0" w:righ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Improved oral language skills and vocabulary.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8D49" w14:textId="77777777" w:rsidR="00590389" w:rsidRDefault="00590389" w:rsidP="00A65E9F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6713A1">
              <w:rPr>
                <w:sz w:val="22"/>
                <w:szCs w:val="22"/>
              </w:rPr>
              <w:t>Assessments and observations indicate significantly improved oral language among disadvantaged pupils. The % making GLD in the areas of language and communication and making relationships will be at or above nationally expected levels.</w:t>
            </w:r>
          </w:p>
        </w:tc>
      </w:tr>
      <w:tr w:rsidR="00E66558" w14:paraId="2A7D550F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D4DA88B" w:rsidR="00E66558" w:rsidRPr="00013477" w:rsidRDefault="00590389" w:rsidP="00C31636">
            <w:pPr>
              <w:pStyle w:val="TableRow"/>
              <w:ind w:left="0" w:righ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PP children will have equal</w:t>
            </w:r>
            <w:r w:rsidR="006B0A0C" w:rsidRPr="00013477">
              <w:rPr>
                <w:color w:val="000000" w:themeColor="text1"/>
                <w:sz w:val="22"/>
                <w:szCs w:val="22"/>
              </w:rPr>
              <w:t xml:space="preserve"> access to school and </w:t>
            </w:r>
            <w:r w:rsidR="007C7664" w:rsidRPr="00013477">
              <w:rPr>
                <w:color w:val="000000" w:themeColor="text1"/>
                <w:sz w:val="22"/>
                <w:szCs w:val="22"/>
              </w:rPr>
              <w:t>the curriculum.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2763405D" w:rsidR="00E66558" w:rsidRDefault="00052BC0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Disadvantaged children will show the learning behaviours and resilience to access the full </w:t>
            </w:r>
            <w:r w:rsidR="000D0911">
              <w:rPr>
                <w:sz w:val="22"/>
                <w:szCs w:val="22"/>
              </w:rPr>
              <w:t>school curriculum.</w:t>
            </w:r>
          </w:p>
        </w:tc>
      </w:tr>
      <w:tr w:rsidR="00EE30AE" w14:paraId="05953789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C8E5" w14:textId="4F31F143" w:rsidR="00EE30AE" w:rsidRDefault="00EE30AE" w:rsidP="00C31636">
            <w:pPr>
              <w:pStyle w:val="TableRow"/>
              <w:ind w:left="0" w:righ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Disadvantaged pupils will be </w:t>
            </w:r>
            <w:r w:rsidR="008C77C8">
              <w:rPr>
                <w:color w:val="000000" w:themeColor="text1"/>
                <w:sz w:val="22"/>
                <w:szCs w:val="22"/>
              </w:rPr>
              <w:t>punctual, equipped and ready for school.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DEA5" w14:textId="4BD5070B" w:rsidR="00EE30AE" w:rsidRPr="006713A1" w:rsidRDefault="008C77C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Affordable uniform and financial support </w:t>
            </w:r>
            <w:r w:rsidR="00FE3D56">
              <w:rPr>
                <w:sz w:val="22"/>
                <w:szCs w:val="22"/>
              </w:rPr>
              <w:t xml:space="preserve">are </w:t>
            </w:r>
            <w:r>
              <w:rPr>
                <w:sz w:val="22"/>
                <w:szCs w:val="22"/>
              </w:rPr>
              <w:t xml:space="preserve">available to PP children. </w:t>
            </w:r>
            <w:r w:rsidR="002931BB">
              <w:rPr>
                <w:sz w:val="22"/>
                <w:szCs w:val="22"/>
              </w:rPr>
              <w:t xml:space="preserve">Equipment </w:t>
            </w:r>
            <w:r w:rsidR="00FE3D56">
              <w:rPr>
                <w:sz w:val="22"/>
                <w:szCs w:val="22"/>
              </w:rPr>
              <w:t xml:space="preserve">is </w:t>
            </w:r>
            <w:r w:rsidR="002931BB">
              <w:rPr>
                <w:sz w:val="22"/>
                <w:szCs w:val="22"/>
              </w:rPr>
              <w:t>provided to PP children whe</w:t>
            </w:r>
            <w:r w:rsidR="009E6F4D">
              <w:rPr>
                <w:sz w:val="22"/>
                <w:szCs w:val="22"/>
              </w:rPr>
              <w:t xml:space="preserve">n needed. PP parents are aware they have access to financial support </w:t>
            </w:r>
            <w:r w:rsidR="00185463">
              <w:rPr>
                <w:sz w:val="22"/>
                <w:szCs w:val="22"/>
              </w:rPr>
              <w:t>if needed. All children will arrive at school on time</w:t>
            </w:r>
            <w:r w:rsidR="001307AB">
              <w:rPr>
                <w:sz w:val="22"/>
                <w:szCs w:val="22"/>
              </w:rPr>
              <w:t>.</w:t>
            </w:r>
          </w:p>
        </w:tc>
      </w:tr>
      <w:tr w:rsidR="006B0A0C" w14:paraId="4DCEAFBB" w14:textId="77777777" w:rsidTr="007E33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B02F" w14:textId="5621C4D8" w:rsidR="006B0A0C" w:rsidRPr="00013477" w:rsidRDefault="006F6538" w:rsidP="00C31636">
            <w:pPr>
              <w:pStyle w:val="TableRow"/>
              <w:ind w:left="0" w:righ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Encourage</w:t>
            </w:r>
            <w:r w:rsidR="006B0A0C" w:rsidRPr="00013477">
              <w:rPr>
                <w:color w:val="000000" w:themeColor="text1"/>
                <w:sz w:val="22"/>
                <w:szCs w:val="22"/>
              </w:rPr>
              <w:t xml:space="preserve"> access to extra-curricular and enrichment activities</w:t>
            </w:r>
            <w:r w:rsidR="00810B5D" w:rsidRPr="00013477">
              <w:rPr>
                <w:color w:val="000000" w:themeColor="text1"/>
                <w:sz w:val="22"/>
                <w:szCs w:val="22"/>
              </w:rPr>
              <w:t xml:space="preserve"> to increase social mobility.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CFAC" w14:textId="49CAD956" w:rsidR="006B0A0C" w:rsidRDefault="00E85961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 children will engage </w:t>
            </w:r>
            <w:r w:rsidR="00E07398">
              <w:rPr>
                <w:sz w:val="22"/>
                <w:szCs w:val="22"/>
              </w:rPr>
              <w:t>with clubs and</w:t>
            </w:r>
            <w:r>
              <w:rPr>
                <w:sz w:val="22"/>
                <w:szCs w:val="22"/>
              </w:rPr>
              <w:t xml:space="preserve"> the extra-curricul</w:t>
            </w:r>
            <w:r w:rsidR="00AD07FB">
              <w:rPr>
                <w:sz w:val="22"/>
                <w:szCs w:val="22"/>
              </w:rPr>
              <w:t xml:space="preserve">ar offer. Parents </w:t>
            </w:r>
            <w:r w:rsidR="00FE3D56">
              <w:rPr>
                <w:sz w:val="22"/>
                <w:szCs w:val="22"/>
              </w:rPr>
              <w:t xml:space="preserve">are </w:t>
            </w:r>
            <w:r w:rsidR="00AD07FB">
              <w:rPr>
                <w:sz w:val="22"/>
                <w:szCs w:val="22"/>
              </w:rPr>
              <w:t>aware of financial support</w:t>
            </w:r>
            <w:r w:rsidR="00FE3D56">
              <w:rPr>
                <w:sz w:val="22"/>
                <w:szCs w:val="22"/>
              </w:rPr>
              <w:t xml:space="preserve"> for trips. </w:t>
            </w:r>
            <w:r w:rsidR="00AD07FB">
              <w:rPr>
                <w:sz w:val="22"/>
                <w:szCs w:val="22"/>
              </w:rPr>
              <w:t xml:space="preserve"> </w:t>
            </w:r>
          </w:p>
        </w:tc>
      </w:tr>
    </w:tbl>
    <w:p w14:paraId="4988AE35" w14:textId="77777777" w:rsidR="00462EF1" w:rsidRDefault="00462EF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09101880" w:rsidR="00E66558" w:rsidRDefault="009D71E8">
      <w:pPr>
        <w:pStyle w:val="Heading2"/>
      </w:pPr>
      <w:r>
        <w:lastRenderedPageBreak/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65C88BCB" w:rsidR="00E66558" w:rsidRDefault="009D71E8">
      <w:r>
        <w:t>Budgeted cost: £</w:t>
      </w:r>
      <w:r w:rsidR="00A60BAF">
        <w:t xml:space="preserve"> </w:t>
      </w:r>
      <w:r w:rsidR="00DB7D9F">
        <w:t>1</w:t>
      </w:r>
      <w:r w:rsidR="006D5742">
        <w:t>000</w:t>
      </w:r>
      <w:r w:rsidR="00DF6ED6">
        <w:t xml:space="preserve">   </w:t>
      </w:r>
    </w:p>
    <w:tbl>
      <w:tblPr>
        <w:tblW w:w="5219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8"/>
        <w:gridCol w:w="6387"/>
        <w:gridCol w:w="1419"/>
      </w:tblGrid>
      <w:tr w:rsidR="00E66558" w14:paraId="2A7D5519" w14:textId="77777777" w:rsidTr="006D5742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1" w14:textId="77777777" w:rsidTr="006D5742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B863971" w:rsidR="00E66558" w:rsidRDefault="000A7BAF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Classroom-based teaching assistant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61ED27EB" w:rsidR="007C1DE7" w:rsidRPr="00996612" w:rsidRDefault="00E00C1B" w:rsidP="006D5742">
            <w:pPr>
              <w:pStyle w:val="TableRowCentered"/>
              <w:ind w:left="0" w:right="0"/>
              <w:jc w:val="left"/>
            </w:pPr>
            <w:r w:rsidRPr="00E00C1B">
              <w:rPr>
                <w:sz w:val="22"/>
              </w:rPr>
              <w:t>EEF/Sutton Trust ‘New Primary School Guide to the Pupil Premium, Effective Strategies</w:t>
            </w:r>
            <w:r w:rsidR="006D5742">
              <w:rPr>
                <w:sz w:val="22"/>
              </w:rPr>
              <w:t xml:space="preserve">, </w:t>
            </w:r>
            <w:r w:rsidR="00E407D0" w:rsidRPr="006D5742">
              <w:rPr>
                <w:sz w:val="22"/>
                <w:szCs w:val="18"/>
              </w:rPr>
              <w:t>EEF Improving Literacy in KS2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02A0B840" w:rsidR="00E66558" w:rsidRDefault="00894050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  <w:r w:rsidR="003A4C65">
              <w:rPr>
                <w:sz w:val="22"/>
              </w:rPr>
              <w:t>3, 4</w:t>
            </w:r>
          </w:p>
        </w:tc>
      </w:tr>
    </w:tbl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08C0C169" w:rsidR="00E66558" w:rsidRDefault="009D71E8">
      <w:r>
        <w:t xml:space="preserve">Budgeted cost: £ </w:t>
      </w:r>
      <w:r w:rsidR="00DB7D9F">
        <w:t>1</w:t>
      </w:r>
      <w:r w:rsidR="006D5742">
        <w:t>85</w:t>
      </w:r>
      <w:r w:rsidR="00DF6ED6">
        <w:t xml:space="preserve">        </w:t>
      </w:r>
    </w:p>
    <w:tbl>
      <w:tblPr>
        <w:tblW w:w="5219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8"/>
        <w:gridCol w:w="6387"/>
        <w:gridCol w:w="1419"/>
      </w:tblGrid>
      <w:tr w:rsidR="00E66558" w14:paraId="2A7D5528" w14:textId="77777777" w:rsidTr="006D5742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0" w14:textId="77777777" w:rsidTr="006D5742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03D13AD2" w:rsidR="00E66558" w:rsidRDefault="00D5676E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>Peripa</w:t>
            </w:r>
            <w:r w:rsidR="007262FC">
              <w:rPr>
                <w:i/>
                <w:sz w:val="22"/>
              </w:rPr>
              <w:t>tetic instrumental</w:t>
            </w:r>
            <w:r w:rsidR="005C489F">
              <w:rPr>
                <w:i/>
                <w:sz w:val="22"/>
              </w:rPr>
              <w:t xml:space="preserve"> music lessons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1241E000" w:rsidR="00E66558" w:rsidRDefault="00996612" w:rsidP="001530CC">
            <w:pPr>
              <w:pStyle w:val="TableRowCentered"/>
              <w:jc w:val="left"/>
              <w:rPr>
                <w:sz w:val="22"/>
              </w:rPr>
            </w:pPr>
            <w:hyperlink r:id="rId11" w:history="1">
              <w:r w:rsidRPr="00996612">
                <w:rPr>
                  <w:rStyle w:val="Hyperlink"/>
                  <w:sz w:val="22"/>
                </w:rPr>
                <w:t>The power of music to change lives - A National Plan for Music Education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198FE3EE" w:rsidR="00E66558" w:rsidRDefault="00894050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7E333C">
              <w:rPr>
                <w:sz w:val="22"/>
              </w:rPr>
              <w:t>, 3</w:t>
            </w:r>
          </w:p>
        </w:tc>
      </w:tr>
    </w:tbl>
    <w:p w14:paraId="2A7D5531" w14:textId="77777777" w:rsidR="00E66558" w:rsidRDefault="00E66558" w:rsidP="00AA355B"/>
    <w:p w14:paraId="2A7D5532" w14:textId="258C11E6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1464F82A" w:rsidR="00E66558" w:rsidRDefault="009D71E8">
      <w:pPr>
        <w:spacing w:before="240" w:after="120"/>
      </w:pPr>
      <w:r>
        <w:t xml:space="preserve">Budgeted cost: £ </w:t>
      </w:r>
      <w:r w:rsidR="004740F1">
        <w:rPr>
          <w:i/>
          <w:iCs/>
        </w:rPr>
        <w:t>1</w:t>
      </w:r>
      <w:r w:rsidR="00111F5B">
        <w:rPr>
          <w:i/>
          <w:iCs/>
        </w:rPr>
        <w:t>845</w:t>
      </w:r>
      <w:r w:rsidR="00DF6ED6">
        <w:rPr>
          <w:i/>
          <w:iCs/>
        </w:rPr>
        <w:t xml:space="preserve">              </w:t>
      </w:r>
    </w:p>
    <w:tbl>
      <w:tblPr>
        <w:tblW w:w="5219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6468"/>
        <w:gridCol w:w="1417"/>
      </w:tblGrid>
      <w:tr w:rsidR="00E66558" w14:paraId="2A7D5537" w14:textId="77777777" w:rsidTr="006D5742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F" w14:textId="77777777" w:rsidTr="006D5742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2082AE0D" w:rsidR="00E66558" w:rsidRDefault="00E14F87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>Thrive sessions</w:t>
            </w:r>
            <w:r w:rsidR="004A53A4">
              <w:rPr>
                <w:i/>
                <w:sz w:val="22"/>
              </w:rPr>
              <w:t xml:space="preserve">, </w:t>
            </w:r>
            <w:r w:rsidR="00E643BB">
              <w:rPr>
                <w:i/>
                <w:sz w:val="22"/>
              </w:rPr>
              <w:t>2</w:t>
            </w:r>
            <w:r w:rsidR="004A53A4">
              <w:rPr>
                <w:i/>
                <w:sz w:val="22"/>
              </w:rPr>
              <w:t xml:space="preserve"> hours, 30 weeks of the year</w:t>
            </w:r>
            <w:r w:rsidR="007E2EBD">
              <w:rPr>
                <w:i/>
                <w:sz w:val="22"/>
              </w:rPr>
              <w:t>, £1500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533D8FEF" w:rsidR="00B17B2A" w:rsidRPr="0005143B" w:rsidRDefault="00E407D0" w:rsidP="0005143B">
            <w:pPr>
              <w:pStyle w:val="TableRowCentered"/>
              <w:jc w:val="left"/>
            </w:pPr>
            <w:r>
              <w:rPr>
                <w:sz w:val="22"/>
              </w:rPr>
              <w:t xml:space="preserve">EEF </w:t>
            </w:r>
            <w:r w:rsidR="00F45E11">
              <w:rPr>
                <w:sz w:val="22"/>
              </w:rPr>
              <w:t>Improving</w:t>
            </w:r>
            <w:r>
              <w:rPr>
                <w:sz w:val="22"/>
              </w:rPr>
              <w:t xml:space="preserve"> Social </w:t>
            </w:r>
            <w:r w:rsidR="00F45E11">
              <w:rPr>
                <w:sz w:val="22"/>
              </w:rPr>
              <w:t>and</w:t>
            </w:r>
            <w:r>
              <w:rPr>
                <w:sz w:val="22"/>
              </w:rPr>
              <w:t xml:space="preserve"> Emotional </w:t>
            </w:r>
            <w:r w:rsidR="003678BA">
              <w:rPr>
                <w:sz w:val="22"/>
              </w:rPr>
              <w:t>Learning in</w:t>
            </w:r>
            <w:r w:rsidR="00F45E11">
              <w:rPr>
                <w:sz w:val="22"/>
              </w:rPr>
              <w:t xml:space="preserve"> Primary Schools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095A3C3E" w:rsidR="00E66558" w:rsidRDefault="002E4BC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2, 3</w:t>
            </w:r>
          </w:p>
        </w:tc>
      </w:tr>
      <w:tr w:rsidR="00060CA6" w14:paraId="25C7ABA6" w14:textId="77777777" w:rsidTr="006D5742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9F3" w14:textId="1346F797" w:rsidR="00060CA6" w:rsidRDefault="00F96AC6" w:rsidP="00060CA6">
            <w:pPr>
              <w:pStyle w:val="TableRow"/>
            </w:pPr>
            <w:r>
              <w:t>F</w:t>
            </w:r>
            <w:r w:rsidR="00060CA6">
              <w:t>unding for:</w:t>
            </w:r>
          </w:p>
          <w:p w14:paraId="53B2D1DA" w14:textId="6E32766D" w:rsidR="00060CA6" w:rsidRDefault="00060CA6" w:rsidP="00060CA6">
            <w:pPr>
              <w:pStyle w:val="TableRow"/>
              <w:numPr>
                <w:ilvl w:val="0"/>
                <w:numId w:val="22"/>
              </w:numPr>
            </w:pPr>
            <w:r>
              <w:t>Uniform and PE kits</w:t>
            </w:r>
            <w:r w:rsidR="0078229F">
              <w:t xml:space="preserve"> £150</w:t>
            </w:r>
          </w:p>
          <w:p w14:paraId="0E298957" w14:textId="551F858E" w:rsidR="00060CA6" w:rsidRDefault="00060CA6" w:rsidP="00060CA6">
            <w:pPr>
              <w:pStyle w:val="TableRow"/>
              <w:numPr>
                <w:ilvl w:val="0"/>
                <w:numId w:val="22"/>
              </w:numPr>
            </w:pPr>
            <w:r>
              <w:t>Trips and residentials</w:t>
            </w:r>
            <w:r w:rsidR="0078229F">
              <w:t xml:space="preserve"> £195</w:t>
            </w:r>
          </w:p>
          <w:p w14:paraId="615EA2F8" w14:textId="674370B9" w:rsidR="0078229F" w:rsidRDefault="003470CB" w:rsidP="0078229F">
            <w:pPr>
              <w:pStyle w:val="TableRow"/>
              <w:numPr>
                <w:ilvl w:val="0"/>
                <w:numId w:val="22"/>
              </w:numPr>
            </w:pPr>
            <w:r>
              <w:t>Extra-curricular clubs</w:t>
            </w:r>
            <w:r w:rsidR="0078229F">
              <w:t xml:space="preserve"> £0</w:t>
            </w:r>
          </w:p>
          <w:p w14:paraId="5B65599E" w14:textId="045B825B" w:rsidR="00060CA6" w:rsidRDefault="00060CA6" w:rsidP="00060CA6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7C2E" w14:textId="793EACDB" w:rsidR="00060CA6" w:rsidRPr="00ED5F0C" w:rsidRDefault="00060CA6" w:rsidP="00060CA6">
            <w:pPr>
              <w:pStyle w:val="TableRowCentered"/>
              <w:jc w:val="left"/>
            </w:pPr>
            <w:r w:rsidRPr="00ED5F0C">
              <w:t>EEF Toolkit has a strand on</w:t>
            </w:r>
          </w:p>
          <w:p w14:paraId="528B1AD8" w14:textId="0FF8B2DE" w:rsidR="00060CA6" w:rsidRPr="00ED5F0C" w:rsidRDefault="00060CA6" w:rsidP="00D5676E">
            <w:pPr>
              <w:pStyle w:val="TableRowCentered"/>
              <w:jc w:val="left"/>
            </w:pPr>
            <w:hyperlink r:id="rId12" w:history="1">
              <w:r w:rsidRPr="00ED5F0C">
                <w:rPr>
                  <w:rStyle w:val="Hyperlink"/>
                </w:rPr>
                <w:t>https://educationendowmentfoundation.org.uk/education-evidence/teaching-learning-toolkit/arts-participation</w:t>
              </w:r>
            </w:hyperlink>
          </w:p>
          <w:p w14:paraId="17D7EF08" w14:textId="1C45A517" w:rsidR="00060CA6" w:rsidRPr="00ED5F0C" w:rsidRDefault="00060CA6" w:rsidP="00D5676E">
            <w:pPr>
              <w:pStyle w:val="TableRowCentered"/>
              <w:jc w:val="left"/>
            </w:pPr>
            <w:r w:rsidRPr="00ED5F0C">
              <w:t>The Department for Education states</w:t>
            </w:r>
          </w:p>
          <w:p w14:paraId="5A2BE06F" w14:textId="0EF4FCEA" w:rsidR="00060CA6" w:rsidRPr="007262FC" w:rsidRDefault="00060CA6" w:rsidP="007262FC">
            <w:pPr>
              <w:pStyle w:val="TableRowCentered"/>
              <w:ind w:left="0"/>
              <w:jc w:val="left"/>
            </w:pPr>
            <w:r w:rsidRPr="00ED5F0C">
              <w:t>We strongly encourage schools to have a uniform as it can play a key role in</w:t>
            </w:r>
            <w:r w:rsidR="007262FC">
              <w:t xml:space="preserve"> </w:t>
            </w:r>
            <w:r w:rsidRPr="00ED5F0C">
              <w:t>Promoting the ethos of a school</w:t>
            </w:r>
            <w:r w:rsidR="007262FC">
              <w:t>, providing</w:t>
            </w:r>
            <w:r w:rsidRPr="00ED5F0C">
              <w:t xml:space="preserve"> a sense of belonging and identity</w:t>
            </w:r>
            <w:r w:rsidR="007262FC">
              <w:t>, setting</w:t>
            </w:r>
            <w:r w:rsidRPr="00ED5F0C">
              <w:t xml:space="preserve"> an appropriate tone for education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DA97" w14:textId="0684BC65" w:rsidR="00060CA6" w:rsidRDefault="00060CA6" w:rsidP="00060CA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36288526" w:rsidR="00E66558" w:rsidRDefault="009D71E8" w:rsidP="00120AB1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>Total budgeted cost: £</w:t>
      </w:r>
      <w:r w:rsidR="00CE7E7F">
        <w:rPr>
          <w:b/>
          <w:bCs/>
          <w:color w:val="104F75"/>
          <w:sz w:val="28"/>
          <w:szCs w:val="28"/>
        </w:rPr>
        <w:t>3030</w:t>
      </w:r>
    </w:p>
    <w:p w14:paraId="2A7D5542" w14:textId="18352EC3" w:rsidR="00E66558" w:rsidRPr="00064366" w:rsidRDefault="009D71E8" w:rsidP="00C15AE9">
      <w:pPr>
        <w:pStyle w:val="Heading1"/>
        <w:spacing w:after="100" w:afterAutospacing="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C15AE9">
      <w:pPr>
        <w:pStyle w:val="Heading2"/>
        <w:spacing w:after="100" w:afterAutospacing="1"/>
      </w:pPr>
      <w:r w:rsidRPr="00173D4C">
        <w:t>Outcomes for disadvantaged pupils</w:t>
      </w:r>
    </w:p>
    <w:tbl>
      <w:tblPr>
        <w:tblW w:w="10916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2"/>
      </w:tblGrid>
      <w:tr w:rsidR="00173D4C" w14:paraId="7FB51099" w14:textId="77777777" w:rsidTr="00FC3061">
        <w:trPr>
          <w:trHeight w:val="1102"/>
        </w:trPr>
        <w:tc>
          <w:tcPr>
            <w:tcW w:w="10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9128" w14:textId="77777777" w:rsidR="006F2A1F" w:rsidRDefault="006F2A1F" w:rsidP="00630FA6">
            <w:pPr>
              <w:rPr>
                <w:color w:val="000000"/>
              </w:rPr>
            </w:pPr>
          </w:p>
          <w:p w14:paraId="15EC741B" w14:textId="70138BE4" w:rsidR="0064167B" w:rsidRDefault="003D48B9" w:rsidP="00630FA6">
            <w:pPr>
              <w:rPr>
                <w:color w:val="000000"/>
              </w:rPr>
            </w:pPr>
            <w:r>
              <w:rPr>
                <w:color w:val="000000"/>
              </w:rPr>
              <w:t>The number of</w:t>
            </w:r>
            <w:r w:rsidR="004850B1">
              <w:rPr>
                <w:color w:val="000000"/>
              </w:rPr>
              <w:t xml:space="preserve"> disadvantaged pupils on roll increased from </w:t>
            </w:r>
            <w:r w:rsidR="003A6487">
              <w:rPr>
                <w:color w:val="000000"/>
              </w:rPr>
              <w:t>two</w:t>
            </w:r>
            <w:r w:rsidR="004850B1">
              <w:rPr>
                <w:color w:val="000000"/>
              </w:rPr>
              <w:t xml:space="preserve"> at </w:t>
            </w:r>
            <w:r w:rsidR="00A54BEE">
              <w:rPr>
                <w:color w:val="000000"/>
              </w:rPr>
              <w:t xml:space="preserve">the </w:t>
            </w:r>
            <w:r w:rsidR="004850B1">
              <w:rPr>
                <w:color w:val="000000"/>
              </w:rPr>
              <w:t xml:space="preserve">census to </w:t>
            </w:r>
            <w:r w:rsidR="003A6487">
              <w:rPr>
                <w:color w:val="000000"/>
              </w:rPr>
              <w:t>six.</w:t>
            </w:r>
            <w:r w:rsidR="004850B1">
              <w:rPr>
                <w:color w:val="000000"/>
              </w:rPr>
              <w:t xml:space="preserve"> </w:t>
            </w:r>
            <w:r w:rsidR="003A6487">
              <w:rPr>
                <w:color w:val="000000"/>
              </w:rPr>
              <w:t>Five out of those six children (83%) also have SEND.</w:t>
            </w:r>
            <w:r w:rsidR="00EB3496">
              <w:rPr>
                <w:color w:val="000000"/>
              </w:rPr>
              <w:t xml:space="preserve"> (Four SEN support and one EHCP.)</w:t>
            </w:r>
            <w:r w:rsidR="008204A4">
              <w:rPr>
                <w:color w:val="000000"/>
              </w:rPr>
              <w:t xml:space="preserve"> </w:t>
            </w:r>
            <w:r w:rsidR="00384715">
              <w:rPr>
                <w:color w:val="000000"/>
              </w:rPr>
              <w:t xml:space="preserve">The fact that four of the more disadvantaged </w:t>
            </w:r>
            <w:r w:rsidR="00FB1F7D">
              <w:rPr>
                <w:color w:val="000000"/>
              </w:rPr>
              <w:t>pupils are</w:t>
            </w:r>
            <w:r w:rsidR="00384715">
              <w:rPr>
                <w:color w:val="000000"/>
              </w:rPr>
              <w:t xml:space="preserve"> not ‘</w:t>
            </w:r>
            <w:r w:rsidR="00A04726">
              <w:rPr>
                <w:color w:val="000000"/>
              </w:rPr>
              <w:t>homegrown</w:t>
            </w:r>
            <w:r w:rsidR="00384715">
              <w:rPr>
                <w:color w:val="000000"/>
              </w:rPr>
              <w:t xml:space="preserve">’ means </w:t>
            </w:r>
            <w:r w:rsidR="000372E7">
              <w:rPr>
                <w:color w:val="000000"/>
              </w:rPr>
              <w:t xml:space="preserve">that school </w:t>
            </w:r>
            <w:r w:rsidR="00966ADC">
              <w:rPr>
                <w:color w:val="000000"/>
              </w:rPr>
              <w:t>has</w:t>
            </w:r>
            <w:r w:rsidR="000372E7">
              <w:rPr>
                <w:color w:val="000000"/>
              </w:rPr>
              <w:t xml:space="preserve"> had a limited time to impact those children.</w:t>
            </w:r>
          </w:p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1111"/>
              <w:gridCol w:w="805"/>
              <w:gridCol w:w="805"/>
              <w:gridCol w:w="805"/>
              <w:gridCol w:w="805"/>
              <w:gridCol w:w="805"/>
              <w:gridCol w:w="806"/>
              <w:gridCol w:w="4264"/>
            </w:tblGrid>
            <w:tr w:rsidR="000372E7" w:rsidRPr="001F3CDB" w14:paraId="533E2C95" w14:textId="2EF2D8A8" w:rsidTr="0044717A">
              <w:trPr>
                <w:trHeight w:val="607"/>
              </w:trPr>
              <w:tc>
                <w:tcPr>
                  <w:tcW w:w="1111" w:type="dxa"/>
                </w:tcPr>
                <w:p w14:paraId="19EDC937" w14:textId="0B205A07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524CF21C" w14:textId="4CD5046E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3CDB">
                    <w:rPr>
                      <w:color w:val="000000"/>
                      <w:sz w:val="18"/>
                      <w:szCs w:val="18"/>
                    </w:rPr>
                    <w:t>ARE PP</w:t>
                  </w:r>
                </w:p>
              </w:tc>
              <w:tc>
                <w:tcPr>
                  <w:tcW w:w="805" w:type="dxa"/>
                </w:tcPr>
                <w:p w14:paraId="6CF0FFAD" w14:textId="120FB434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3CDB">
                    <w:rPr>
                      <w:color w:val="000000"/>
                      <w:sz w:val="18"/>
                      <w:szCs w:val="18"/>
                    </w:rPr>
                    <w:t>ARE not PP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748D7213" w14:textId="13D875CC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3CDB">
                    <w:rPr>
                      <w:color w:val="000000"/>
                      <w:sz w:val="18"/>
                      <w:szCs w:val="18"/>
                    </w:rPr>
                    <w:t>WT PP</w:t>
                  </w:r>
                </w:p>
              </w:tc>
              <w:tc>
                <w:tcPr>
                  <w:tcW w:w="805" w:type="dxa"/>
                </w:tcPr>
                <w:p w14:paraId="715E4832" w14:textId="53F9BFC1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3CDB">
                    <w:rPr>
                      <w:color w:val="000000"/>
                      <w:sz w:val="18"/>
                      <w:szCs w:val="18"/>
                    </w:rPr>
                    <w:t>WT not PP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4904ABC3" w14:textId="61E34E6E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3CDB">
                    <w:rPr>
                      <w:color w:val="000000"/>
                      <w:sz w:val="18"/>
                      <w:szCs w:val="18"/>
                    </w:rPr>
                    <w:t>B PP</w:t>
                  </w:r>
                </w:p>
              </w:tc>
              <w:tc>
                <w:tcPr>
                  <w:tcW w:w="806" w:type="dxa"/>
                </w:tcPr>
                <w:p w14:paraId="1D304B1F" w14:textId="09482E0E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3CDB">
                    <w:rPr>
                      <w:color w:val="000000"/>
                      <w:sz w:val="18"/>
                      <w:szCs w:val="18"/>
                    </w:rPr>
                    <w:t>B not PP</w:t>
                  </w:r>
                </w:p>
              </w:tc>
              <w:tc>
                <w:tcPr>
                  <w:tcW w:w="4264" w:type="dxa"/>
                </w:tcPr>
                <w:p w14:paraId="356E8324" w14:textId="02F8A941" w:rsidR="000372E7" w:rsidRPr="001F3CDB" w:rsidRDefault="000372E7" w:rsidP="00932B9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Analysis</w:t>
                  </w:r>
                </w:p>
              </w:tc>
            </w:tr>
            <w:tr w:rsidR="0044717A" w14:paraId="243503E9" w14:textId="763EC9A9" w:rsidTr="0044717A">
              <w:trPr>
                <w:trHeight w:val="607"/>
              </w:trPr>
              <w:tc>
                <w:tcPr>
                  <w:tcW w:w="1111" w:type="dxa"/>
                </w:tcPr>
                <w:p w14:paraId="13413AAE" w14:textId="2C0DDCCE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Reading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4874E3ED" w14:textId="1437A6FF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17%</w:t>
                  </w:r>
                </w:p>
              </w:tc>
              <w:tc>
                <w:tcPr>
                  <w:tcW w:w="805" w:type="dxa"/>
                </w:tcPr>
                <w:p w14:paraId="4758D636" w14:textId="09A2F0DA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79%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361EAAA9" w14:textId="579D0DE4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17%</w:t>
                  </w:r>
                </w:p>
              </w:tc>
              <w:tc>
                <w:tcPr>
                  <w:tcW w:w="805" w:type="dxa"/>
                </w:tcPr>
                <w:p w14:paraId="5185F574" w14:textId="7CA519F2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21%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1B2637BD" w14:textId="463D3C3A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67%</w:t>
                  </w:r>
                </w:p>
              </w:tc>
              <w:tc>
                <w:tcPr>
                  <w:tcW w:w="806" w:type="dxa"/>
                </w:tcPr>
                <w:p w14:paraId="51DB36A4" w14:textId="45F5A243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0%</w:t>
                  </w:r>
                </w:p>
              </w:tc>
              <w:tc>
                <w:tcPr>
                  <w:tcW w:w="4264" w:type="dxa"/>
                  <w:vMerge w:val="restart"/>
                </w:tcPr>
                <w:p w14:paraId="61CB4F9B" w14:textId="7727AE72" w:rsidR="0044717A" w:rsidRDefault="0044717A" w:rsidP="006F2A1F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PP children consistently achieve below non-PP children. </w:t>
                  </w:r>
                  <w:r w:rsidR="00966ADC">
                    <w:rPr>
                      <w:color w:val="000000"/>
                    </w:rPr>
                    <w:t xml:space="preserve">SEND and </w:t>
                  </w:r>
                  <w:r w:rsidR="00571BD5">
                    <w:rPr>
                      <w:color w:val="000000"/>
                    </w:rPr>
                    <w:t xml:space="preserve">the short amount of time 4 pupils have been in the school </w:t>
                  </w:r>
                  <w:r w:rsidR="006F2A1F">
                    <w:rPr>
                      <w:color w:val="000000"/>
                    </w:rPr>
                    <w:t>have</w:t>
                  </w:r>
                  <w:r w:rsidR="00571BD5">
                    <w:rPr>
                      <w:color w:val="000000"/>
                    </w:rPr>
                    <w:t xml:space="preserve"> impacted these results</w:t>
                  </w:r>
                  <w:r w:rsidR="006F2A1F">
                    <w:rPr>
                      <w:color w:val="000000"/>
                    </w:rPr>
                    <w:t xml:space="preserve"> and will drive the focus for next year.</w:t>
                  </w:r>
                </w:p>
              </w:tc>
            </w:tr>
            <w:tr w:rsidR="0044717A" w14:paraId="36D988CE" w14:textId="30F95026" w:rsidTr="0044717A">
              <w:trPr>
                <w:trHeight w:val="607"/>
              </w:trPr>
              <w:tc>
                <w:tcPr>
                  <w:tcW w:w="1111" w:type="dxa"/>
                </w:tcPr>
                <w:p w14:paraId="20E3C89B" w14:textId="706350E8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Writing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5D93964F" w14:textId="290B7CB5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33%</w:t>
                  </w:r>
                </w:p>
              </w:tc>
              <w:tc>
                <w:tcPr>
                  <w:tcW w:w="805" w:type="dxa"/>
                </w:tcPr>
                <w:p w14:paraId="01FA30CA" w14:textId="2F77E384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79%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762E71EC" w14:textId="451889C3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17%</w:t>
                  </w:r>
                </w:p>
              </w:tc>
              <w:tc>
                <w:tcPr>
                  <w:tcW w:w="805" w:type="dxa"/>
                </w:tcPr>
                <w:p w14:paraId="6ED561F2" w14:textId="307A71CD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22%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0B1B7163" w14:textId="0D13D231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50%</w:t>
                  </w:r>
                </w:p>
              </w:tc>
              <w:tc>
                <w:tcPr>
                  <w:tcW w:w="806" w:type="dxa"/>
                </w:tcPr>
                <w:p w14:paraId="76CBCA5E" w14:textId="019AFF73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0%</w:t>
                  </w:r>
                </w:p>
              </w:tc>
              <w:tc>
                <w:tcPr>
                  <w:tcW w:w="4264" w:type="dxa"/>
                  <w:vMerge/>
                </w:tcPr>
                <w:p w14:paraId="67848E87" w14:textId="77777777" w:rsidR="0044717A" w:rsidRDefault="0044717A" w:rsidP="00B81390">
                  <w:pPr>
                    <w:rPr>
                      <w:color w:val="000000"/>
                    </w:rPr>
                  </w:pPr>
                </w:p>
              </w:tc>
            </w:tr>
            <w:tr w:rsidR="0044717A" w14:paraId="739173AB" w14:textId="39315A57" w:rsidTr="006F2A1F">
              <w:trPr>
                <w:trHeight w:val="726"/>
              </w:trPr>
              <w:tc>
                <w:tcPr>
                  <w:tcW w:w="1111" w:type="dxa"/>
                </w:tcPr>
                <w:p w14:paraId="52621642" w14:textId="7138C0D7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Maths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17FCD080" w14:textId="2E650463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17%</w:t>
                  </w:r>
                </w:p>
              </w:tc>
              <w:tc>
                <w:tcPr>
                  <w:tcW w:w="805" w:type="dxa"/>
                </w:tcPr>
                <w:p w14:paraId="58D76EE7" w14:textId="464F0DC1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84%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5BC67ACB" w14:textId="6FF2CC0F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0%</w:t>
                  </w:r>
                </w:p>
              </w:tc>
              <w:tc>
                <w:tcPr>
                  <w:tcW w:w="805" w:type="dxa"/>
                </w:tcPr>
                <w:p w14:paraId="6861A6A5" w14:textId="0DE0407D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5%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</w:tcPr>
                <w:p w14:paraId="0542ED2C" w14:textId="43A6E9AB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83%</w:t>
                  </w:r>
                </w:p>
              </w:tc>
              <w:tc>
                <w:tcPr>
                  <w:tcW w:w="806" w:type="dxa"/>
                </w:tcPr>
                <w:p w14:paraId="61D1831C" w14:textId="16B2584F" w:rsidR="0044717A" w:rsidRDefault="0044717A" w:rsidP="00B813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11%</w:t>
                  </w:r>
                </w:p>
              </w:tc>
              <w:tc>
                <w:tcPr>
                  <w:tcW w:w="4264" w:type="dxa"/>
                  <w:vMerge/>
                </w:tcPr>
                <w:p w14:paraId="356389E8" w14:textId="77777777" w:rsidR="0044717A" w:rsidRDefault="0044717A" w:rsidP="00B81390">
                  <w:pPr>
                    <w:rPr>
                      <w:color w:val="000000"/>
                    </w:rPr>
                  </w:pPr>
                </w:p>
              </w:tc>
            </w:tr>
          </w:tbl>
          <w:p w14:paraId="055FB0E1" w14:textId="77777777" w:rsidR="005C5957" w:rsidRDefault="005C5957" w:rsidP="00630FA6">
            <w:pPr>
              <w:rPr>
                <w:color w:val="000000"/>
              </w:rPr>
            </w:pPr>
          </w:p>
          <w:p w14:paraId="49D10F63" w14:textId="1E6860F6" w:rsidR="00F639AF" w:rsidRDefault="00DF63B5" w:rsidP="00630FA6">
            <w:pPr>
              <w:rPr>
                <w:color w:val="000000"/>
              </w:rPr>
            </w:pPr>
            <w:r>
              <w:rPr>
                <w:color w:val="000000"/>
              </w:rPr>
              <w:t xml:space="preserve">Pupil A (Y1) </w:t>
            </w:r>
            <w:r w:rsidR="00F639AF">
              <w:rPr>
                <w:color w:val="000000"/>
              </w:rPr>
              <w:t>achieved the expected standard in reading, writing and maths.</w:t>
            </w:r>
          </w:p>
          <w:p w14:paraId="79ABD7D6" w14:textId="3DBE5509" w:rsidR="000C31C4" w:rsidRDefault="000C31C4" w:rsidP="00630FA6">
            <w:pPr>
              <w:rPr>
                <w:color w:val="000000"/>
              </w:rPr>
            </w:pPr>
            <w:r>
              <w:rPr>
                <w:color w:val="000000"/>
              </w:rPr>
              <w:t xml:space="preserve">Pupil </w:t>
            </w:r>
            <w:r w:rsidR="00DF63B5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 (Y2) progressed from </w:t>
            </w:r>
            <w:r w:rsidR="00481B39">
              <w:rPr>
                <w:color w:val="000000"/>
              </w:rPr>
              <w:t xml:space="preserve">B to WT in reading, B to EX in writing and remained at </w:t>
            </w:r>
            <w:r w:rsidR="00DF63B5">
              <w:rPr>
                <w:color w:val="000000"/>
              </w:rPr>
              <w:t>B for maths.</w:t>
            </w:r>
          </w:p>
          <w:p w14:paraId="641226C3" w14:textId="10487A2F" w:rsidR="00DF63B5" w:rsidRDefault="00DF63B5" w:rsidP="00630FA6">
            <w:pPr>
              <w:rPr>
                <w:color w:val="000000"/>
              </w:rPr>
            </w:pPr>
            <w:r>
              <w:rPr>
                <w:color w:val="000000"/>
              </w:rPr>
              <w:t>Pupil C (</w:t>
            </w:r>
            <w:r w:rsidR="00F639AF">
              <w:rPr>
                <w:color w:val="000000"/>
              </w:rPr>
              <w:t>Y4)</w:t>
            </w:r>
            <w:r w:rsidR="00FF1100">
              <w:rPr>
                <w:color w:val="000000"/>
              </w:rPr>
              <w:t xml:space="preserve"> joined the school in March</w:t>
            </w:r>
            <w:r w:rsidR="002525F3">
              <w:rPr>
                <w:color w:val="000000"/>
              </w:rPr>
              <w:t xml:space="preserve"> and </w:t>
            </w:r>
            <w:r w:rsidR="000A55DA">
              <w:rPr>
                <w:color w:val="000000"/>
              </w:rPr>
              <w:t xml:space="preserve">has </w:t>
            </w:r>
            <w:r w:rsidR="002525F3">
              <w:rPr>
                <w:color w:val="000000"/>
              </w:rPr>
              <w:t>had 92%</w:t>
            </w:r>
            <w:r w:rsidR="001B1EEE">
              <w:rPr>
                <w:color w:val="000000"/>
              </w:rPr>
              <w:t xml:space="preserve"> attendance</w:t>
            </w:r>
            <w:r w:rsidR="002525F3">
              <w:rPr>
                <w:color w:val="000000"/>
              </w:rPr>
              <w:t xml:space="preserve"> </w:t>
            </w:r>
            <w:r w:rsidR="00DD4582">
              <w:rPr>
                <w:color w:val="000000"/>
              </w:rPr>
              <w:t>since</w:t>
            </w:r>
            <w:r w:rsidR="002525F3">
              <w:rPr>
                <w:color w:val="000000"/>
              </w:rPr>
              <w:t xml:space="preserve"> then. </w:t>
            </w:r>
            <w:r w:rsidR="000E682F">
              <w:rPr>
                <w:color w:val="000000"/>
              </w:rPr>
              <w:t xml:space="preserve">Significant </w:t>
            </w:r>
            <w:r w:rsidR="008D10EF">
              <w:rPr>
                <w:color w:val="000000"/>
              </w:rPr>
              <w:t xml:space="preserve">emotional difficulties and past schooling issues meant that this pupil found being in class and working a challenge. </w:t>
            </w:r>
            <w:r w:rsidR="00DD4582">
              <w:rPr>
                <w:color w:val="000000"/>
              </w:rPr>
              <w:t xml:space="preserve">They were assessed on the PK levels. </w:t>
            </w:r>
            <w:r w:rsidR="008D10EF">
              <w:rPr>
                <w:color w:val="000000"/>
              </w:rPr>
              <w:t xml:space="preserve">Progress has been seen in wellbeing, attitudes to learning and </w:t>
            </w:r>
            <w:r w:rsidR="00FA615F">
              <w:rPr>
                <w:color w:val="000000"/>
              </w:rPr>
              <w:t>stamina</w:t>
            </w:r>
            <w:r w:rsidR="000A55DA">
              <w:rPr>
                <w:color w:val="000000"/>
              </w:rPr>
              <w:t>,</w:t>
            </w:r>
            <w:r w:rsidR="00FA615F">
              <w:rPr>
                <w:color w:val="000000"/>
              </w:rPr>
              <w:t xml:space="preserve"> but they are currently working below </w:t>
            </w:r>
            <w:r w:rsidR="00C54664">
              <w:rPr>
                <w:color w:val="000000"/>
              </w:rPr>
              <w:t>the expected standard</w:t>
            </w:r>
            <w:r w:rsidR="00D82659">
              <w:rPr>
                <w:color w:val="000000"/>
              </w:rPr>
              <w:t xml:space="preserve"> </w:t>
            </w:r>
            <w:r w:rsidR="00FA615F">
              <w:rPr>
                <w:color w:val="000000"/>
              </w:rPr>
              <w:t>across the curriculum.</w:t>
            </w:r>
          </w:p>
          <w:p w14:paraId="1D842E79" w14:textId="3BE1B62E" w:rsidR="00850E45" w:rsidRDefault="00FA615F" w:rsidP="00850E45">
            <w:pPr>
              <w:rPr>
                <w:color w:val="000000"/>
              </w:rPr>
            </w:pPr>
            <w:r>
              <w:rPr>
                <w:color w:val="000000"/>
              </w:rPr>
              <w:t>Pupil D (</w:t>
            </w:r>
            <w:r w:rsidR="000A55DA">
              <w:rPr>
                <w:color w:val="000000"/>
              </w:rPr>
              <w:t>Year 5) joined the school in January and has had 92% attendance since</w:t>
            </w:r>
            <w:r w:rsidR="007D3641">
              <w:rPr>
                <w:color w:val="000000"/>
              </w:rPr>
              <w:t xml:space="preserve"> </w:t>
            </w:r>
            <w:r w:rsidR="009B48BE">
              <w:rPr>
                <w:color w:val="000000"/>
              </w:rPr>
              <w:t>then</w:t>
            </w:r>
            <w:r w:rsidR="007D3641">
              <w:rPr>
                <w:color w:val="000000"/>
              </w:rPr>
              <w:t xml:space="preserve">. </w:t>
            </w:r>
            <w:r w:rsidR="00850E45">
              <w:rPr>
                <w:color w:val="000000"/>
              </w:rPr>
              <w:t>Significant emotional difficulties and past schooling issues meant that this pupil found being in class and working a challenge. Progress has been seen in wellbeing, attitudes to learning and stamina</w:t>
            </w:r>
            <w:r w:rsidR="00DD4582">
              <w:rPr>
                <w:color w:val="000000"/>
              </w:rPr>
              <w:t>,</w:t>
            </w:r>
            <w:r w:rsidR="00850E45">
              <w:rPr>
                <w:color w:val="000000"/>
              </w:rPr>
              <w:t xml:space="preserve"> but they are currently working below</w:t>
            </w:r>
            <w:r w:rsidR="00C54664">
              <w:rPr>
                <w:color w:val="000000"/>
              </w:rPr>
              <w:t xml:space="preserve"> the expected standard</w:t>
            </w:r>
            <w:r w:rsidR="00850E45">
              <w:rPr>
                <w:color w:val="000000"/>
              </w:rPr>
              <w:t xml:space="preserve"> across the curriculum.</w:t>
            </w:r>
          </w:p>
          <w:p w14:paraId="00ABD774" w14:textId="225FA2F7" w:rsidR="00D82659" w:rsidRDefault="00D82659" w:rsidP="00850E45">
            <w:pPr>
              <w:rPr>
                <w:color w:val="000000"/>
              </w:rPr>
            </w:pPr>
            <w:r>
              <w:rPr>
                <w:color w:val="000000"/>
              </w:rPr>
              <w:t>Pupil E (</w:t>
            </w:r>
            <w:r w:rsidR="000A55DA">
              <w:rPr>
                <w:color w:val="000000"/>
              </w:rPr>
              <w:t>Year 5) joined the school in March and has had 97% attendance since</w:t>
            </w:r>
            <w:r w:rsidR="009B48BE">
              <w:rPr>
                <w:color w:val="000000"/>
              </w:rPr>
              <w:t xml:space="preserve"> then. </w:t>
            </w:r>
            <w:r w:rsidR="0096162B">
              <w:rPr>
                <w:color w:val="000000"/>
              </w:rPr>
              <w:t>This pupil was found to have significant gaps in their schooling and, whilst working hard and being supported, is currently working below the expected standard across the curriculum.</w:t>
            </w:r>
          </w:p>
          <w:p w14:paraId="1990B25A" w14:textId="01411C24" w:rsidR="006565FA" w:rsidRDefault="006565FA" w:rsidP="00850E45">
            <w:pPr>
              <w:rPr>
                <w:color w:val="000000"/>
              </w:rPr>
            </w:pPr>
            <w:r>
              <w:rPr>
                <w:color w:val="000000"/>
              </w:rPr>
              <w:t xml:space="preserve">Pupil F (Y6) joined the school in March and had </w:t>
            </w:r>
            <w:r w:rsidR="00D37DF3">
              <w:rPr>
                <w:color w:val="000000"/>
              </w:rPr>
              <w:t xml:space="preserve">91% attendance from then. They had previously been out of education for the whole academic year. </w:t>
            </w:r>
            <w:r w:rsidR="000D76B5">
              <w:rPr>
                <w:color w:val="000000"/>
              </w:rPr>
              <w:t>They have progressed from B to WT in reading and writing and remained at below the expected standard in maths.</w:t>
            </w:r>
          </w:p>
          <w:p w14:paraId="46458153" w14:textId="77777777" w:rsidR="006F2A1F" w:rsidRDefault="006F2A1F" w:rsidP="00850E45">
            <w:pPr>
              <w:rPr>
                <w:color w:val="000000"/>
              </w:rPr>
            </w:pPr>
          </w:p>
          <w:tbl>
            <w:tblPr>
              <w:tblStyle w:val="TableGrid"/>
              <w:tblW w:w="10806" w:type="dxa"/>
              <w:tblLook w:val="04A0" w:firstRow="1" w:lastRow="0" w:firstColumn="1" w:lastColumn="0" w:noHBand="0" w:noVBand="1"/>
            </w:tblPr>
            <w:tblGrid>
              <w:gridCol w:w="4100"/>
              <w:gridCol w:w="6706"/>
            </w:tblGrid>
            <w:tr w:rsidR="00CD3706" w14:paraId="30008BF7" w14:textId="77777777" w:rsidTr="00C15AE9">
              <w:tc>
                <w:tcPr>
                  <w:tcW w:w="4100" w:type="dxa"/>
                </w:tcPr>
                <w:p w14:paraId="2D207D4B" w14:textId="002BE974" w:rsidR="00CD3706" w:rsidRPr="008D77E0" w:rsidRDefault="00CD3706" w:rsidP="00FC3061">
                  <w:pPr>
                    <w:spacing w:after="0"/>
                    <w:jc w:val="center"/>
                    <w:rPr>
                      <w:b/>
                      <w:bCs/>
                      <w:color w:val="000000"/>
                    </w:rPr>
                  </w:pPr>
                  <w:r w:rsidRPr="008D77E0">
                    <w:rPr>
                      <w:b/>
                      <w:bCs/>
                      <w:color w:val="000000"/>
                    </w:rPr>
                    <w:lastRenderedPageBreak/>
                    <w:t>Desired outcome</w:t>
                  </w:r>
                </w:p>
              </w:tc>
              <w:tc>
                <w:tcPr>
                  <w:tcW w:w="6706" w:type="dxa"/>
                </w:tcPr>
                <w:p w14:paraId="52736543" w14:textId="059B21E0" w:rsidR="00CD3706" w:rsidRPr="008D77E0" w:rsidRDefault="00CD3706" w:rsidP="00FC3061">
                  <w:pPr>
                    <w:spacing w:after="0"/>
                    <w:jc w:val="center"/>
                    <w:rPr>
                      <w:b/>
                      <w:bCs/>
                      <w:color w:val="000000"/>
                    </w:rPr>
                  </w:pPr>
                  <w:r w:rsidRPr="008D77E0">
                    <w:rPr>
                      <w:b/>
                      <w:bCs/>
                      <w:color w:val="000000"/>
                    </w:rPr>
                    <w:t>Impact</w:t>
                  </w:r>
                </w:p>
              </w:tc>
            </w:tr>
            <w:tr w:rsidR="00CD3706" w14:paraId="41FB8C8F" w14:textId="77777777" w:rsidTr="00C15AE9">
              <w:trPr>
                <w:trHeight w:val="557"/>
              </w:trPr>
              <w:tc>
                <w:tcPr>
                  <w:tcW w:w="4100" w:type="dxa"/>
                </w:tcPr>
                <w:p w14:paraId="2006474B" w14:textId="16B6A3F8" w:rsidR="00CD3706" w:rsidRDefault="00F83FD3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Support pupils in KS1 to develop the necessary skills and achievements.</w:t>
                  </w:r>
                </w:p>
              </w:tc>
              <w:tc>
                <w:tcPr>
                  <w:tcW w:w="6706" w:type="dxa"/>
                </w:tcPr>
                <w:p w14:paraId="2BE9C371" w14:textId="7A48C487" w:rsidR="00CD3706" w:rsidRDefault="007403AC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One</w:t>
                  </w:r>
                  <w:r w:rsidR="000521DC">
                    <w:rPr>
                      <w:color w:val="000000"/>
                    </w:rPr>
                    <w:t xml:space="preserve"> pupil</w:t>
                  </w:r>
                  <w:r w:rsidR="00F1138F">
                    <w:rPr>
                      <w:color w:val="000000"/>
                    </w:rPr>
                    <w:t xml:space="preserve"> met GLD and the expected standard in Y1. Y2 pupil made progress </w:t>
                  </w:r>
                  <w:r w:rsidR="0041661C">
                    <w:rPr>
                      <w:color w:val="000000"/>
                    </w:rPr>
                    <w:t>in reading and writing.</w:t>
                  </w:r>
                </w:p>
              </w:tc>
            </w:tr>
            <w:tr w:rsidR="00CD3706" w14:paraId="5B04A6BD" w14:textId="77777777" w:rsidTr="00C15AE9">
              <w:tc>
                <w:tcPr>
                  <w:tcW w:w="4100" w:type="dxa"/>
                </w:tcPr>
                <w:p w14:paraId="6A4C20DD" w14:textId="741B9826" w:rsidR="00CD3706" w:rsidRDefault="00EC58B6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Improvement in writing in line with </w:t>
                  </w:r>
                  <w:r w:rsidR="00535B0D">
                    <w:rPr>
                      <w:color w:val="000000"/>
                    </w:rPr>
                    <w:t>age related expectations.</w:t>
                  </w:r>
                </w:p>
              </w:tc>
              <w:tc>
                <w:tcPr>
                  <w:tcW w:w="6706" w:type="dxa"/>
                </w:tcPr>
                <w:p w14:paraId="0595B31A" w14:textId="3CC9A58B" w:rsidR="00CD3706" w:rsidRDefault="007403AC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Two</w:t>
                  </w:r>
                  <w:r w:rsidR="00535B0D">
                    <w:rPr>
                      <w:color w:val="000000"/>
                    </w:rPr>
                    <w:t xml:space="preserve"> pupils met ARE, </w:t>
                  </w:r>
                  <w:r>
                    <w:rPr>
                      <w:color w:val="000000"/>
                    </w:rPr>
                    <w:t>one</w:t>
                  </w:r>
                  <w:r w:rsidR="00535B0D">
                    <w:rPr>
                      <w:color w:val="000000"/>
                    </w:rPr>
                    <w:t xml:space="preserve"> was </w:t>
                  </w:r>
                  <w:r>
                    <w:rPr>
                      <w:color w:val="000000"/>
                    </w:rPr>
                    <w:t>‘</w:t>
                  </w:r>
                  <w:r w:rsidR="00535B0D">
                    <w:rPr>
                      <w:color w:val="000000"/>
                    </w:rPr>
                    <w:t>working towards</w:t>
                  </w:r>
                  <w:r>
                    <w:rPr>
                      <w:color w:val="000000"/>
                    </w:rPr>
                    <w:t>’</w:t>
                  </w:r>
                  <w:r w:rsidR="00535B0D">
                    <w:rPr>
                      <w:color w:val="000000"/>
                    </w:rPr>
                    <w:t xml:space="preserve"> and </w:t>
                  </w:r>
                  <w:r>
                    <w:rPr>
                      <w:color w:val="000000"/>
                    </w:rPr>
                    <w:t>three</w:t>
                  </w:r>
                  <w:r w:rsidR="00535B0D">
                    <w:rPr>
                      <w:color w:val="000000"/>
                    </w:rPr>
                    <w:t xml:space="preserve"> were below but were all new to school. </w:t>
                  </w:r>
                </w:p>
              </w:tc>
            </w:tr>
            <w:tr w:rsidR="00CD3706" w14:paraId="45D93DA9" w14:textId="77777777" w:rsidTr="00C15AE9">
              <w:tc>
                <w:tcPr>
                  <w:tcW w:w="4100" w:type="dxa"/>
                </w:tcPr>
                <w:p w14:paraId="5C7D86A3" w14:textId="548BC85E" w:rsidR="00CD3706" w:rsidRDefault="006E4FB2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Access to Thrive </w:t>
                  </w:r>
                  <w:r w:rsidR="00607386">
                    <w:rPr>
                      <w:color w:val="000000"/>
                    </w:rPr>
                    <w:t xml:space="preserve">and Family Support </w:t>
                  </w:r>
                  <w:r>
                    <w:rPr>
                      <w:color w:val="000000"/>
                    </w:rPr>
                    <w:t>to support mental health and emotional wellbeing.</w:t>
                  </w:r>
                </w:p>
              </w:tc>
              <w:tc>
                <w:tcPr>
                  <w:tcW w:w="6706" w:type="dxa"/>
                </w:tcPr>
                <w:p w14:paraId="56A2FD38" w14:textId="0E3D8034" w:rsidR="00CD3706" w:rsidRDefault="0036304E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Pupils accessed sessions with the Thrive </w:t>
                  </w:r>
                  <w:r w:rsidR="00C57CA4">
                    <w:rPr>
                      <w:color w:val="000000"/>
                    </w:rPr>
                    <w:t>practitioner</w:t>
                  </w:r>
                  <w:r w:rsidR="00607386">
                    <w:rPr>
                      <w:color w:val="000000"/>
                    </w:rPr>
                    <w:t xml:space="preserve"> and the family support worker</w:t>
                  </w:r>
                  <w:r w:rsidR="00380FFC">
                    <w:rPr>
                      <w:color w:val="000000"/>
                    </w:rPr>
                    <w:t xml:space="preserve"> signposted families.</w:t>
                  </w:r>
                </w:p>
              </w:tc>
            </w:tr>
            <w:tr w:rsidR="00CD3706" w14:paraId="3732B459" w14:textId="77777777" w:rsidTr="00C15AE9">
              <w:tc>
                <w:tcPr>
                  <w:tcW w:w="4100" w:type="dxa"/>
                </w:tcPr>
                <w:p w14:paraId="3A1F60F3" w14:textId="690BEA0D" w:rsidR="00CD3706" w:rsidRDefault="000C3323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Classroom teaching assistants </w:t>
                  </w:r>
                  <w:r w:rsidR="008C4B1F">
                    <w:rPr>
                      <w:color w:val="000000"/>
                    </w:rPr>
                    <w:t>provide targeted interventions.</w:t>
                  </w:r>
                </w:p>
              </w:tc>
              <w:tc>
                <w:tcPr>
                  <w:tcW w:w="6706" w:type="dxa"/>
                </w:tcPr>
                <w:p w14:paraId="60D71AF9" w14:textId="5755EBEA" w:rsidR="00CD3706" w:rsidRDefault="008C4B1F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TA support and </w:t>
                  </w:r>
                  <w:r w:rsidR="005F0A75">
                    <w:rPr>
                      <w:color w:val="000000"/>
                    </w:rPr>
                    <w:t>intervention</w:t>
                  </w:r>
                  <w:r>
                    <w:rPr>
                      <w:color w:val="000000"/>
                    </w:rPr>
                    <w:t xml:space="preserve"> groups have </w:t>
                  </w:r>
                  <w:r w:rsidR="005F0A75">
                    <w:rPr>
                      <w:color w:val="000000"/>
                    </w:rPr>
                    <w:t>enabled</w:t>
                  </w:r>
                  <w:r>
                    <w:rPr>
                      <w:color w:val="000000"/>
                    </w:rPr>
                    <w:t xml:space="preserve"> </w:t>
                  </w:r>
                  <w:r w:rsidR="005F0A75">
                    <w:rPr>
                      <w:color w:val="000000"/>
                    </w:rPr>
                    <w:t>PP children to access all areas of the curriculum.</w:t>
                  </w:r>
                </w:p>
              </w:tc>
            </w:tr>
            <w:tr w:rsidR="00CD3706" w14:paraId="799A3A2B" w14:textId="77777777" w:rsidTr="00C15AE9">
              <w:tc>
                <w:tcPr>
                  <w:tcW w:w="4100" w:type="dxa"/>
                </w:tcPr>
                <w:p w14:paraId="2F3D97C5" w14:textId="290F15A1" w:rsidR="00CD3706" w:rsidRDefault="00E12CF0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Funding for school uniform</w:t>
                  </w:r>
                  <w:r w:rsidR="004A093F">
                    <w:rPr>
                      <w:color w:val="000000"/>
                    </w:rPr>
                    <w:t>s, discounted residential visits and FoC wraparound care.</w:t>
                  </w:r>
                </w:p>
              </w:tc>
              <w:tc>
                <w:tcPr>
                  <w:tcW w:w="6706" w:type="dxa"/>
                </w:tcPr>
                <w:p w14:paraId="68F42772" w14:textId="027DBBD1" w:rsidR="00CD3706" w:rsidRDefault="004A093F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All pupils received </w:t>
                  </w:r>
                  <w:r w:rsidR="00B93BF0">
                    <w:rPr>
                      <w:color w:val="000000"/>
                    </w:rPr>
                    <w:t xml:space="preserve">uniform vouchers. Most school trips were free but 50% of the </w:t>
                  </w:r>
                  <w:r w:rsidR="00F30245">
                    <w:rPr>
                      <w:color w:val="000000"/>
                    </w:rPr>
                    <w:t xml:space="preserve">Y5/6 residential was funded for </w:t>
                  </w:r>
                  <w:r w:rsidR="00690A7E">
                    <w:rPr>
                      <w:color w:val="000000"/>
                    </w:rPr>
                    <w:t>three</w:t>
                  </w:r>
                  <w:r w:rsidR="00F30245">
                    <w:rPr>
                      <w:color w:val="000000"/>
                    </w:rPr>
                    <w:t xml:space="preserve"> pupils. Wraparound care was offered but not taken up.</w:t>
                  </w:r>
                </w:p>
              </w:tc>
            </w:tr>
            <w:tr w:rsidR="00F63A51" w14:paraId="7D19E084" w14:textId="77777777" w:rsidTr="00C15AE9">
              <w:tc>
                <w:tcPr>
                  <w:tcW w:w="4100" w:type="dxa"/>
                </w:tcPr>
                <w:p w14:paraId="405BAC48" w14:textId="2FD29CC8" w:rsidR="00F63A51" w:rsidRDefault="00F63A51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Phonics </w:t>
                  </w:r>
                  <w:r w:rsidR="00B36509">
                    <w:rPr>
                      <w:color w:val="000000"/>
                    </w:rPr>
                    <w:t xml:space="preserve">and early reading </w:t>
                  </w:r>
                  <w:r>
                    <w:rPr>
                      <w:color w:val="000000"/>
                    </w:rPr>
                    <w:t>CPD</w:t>
                  </w:r>
                  <w:r w:rsidR="00B36509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706" w:type="dxa"/>
                </w:tcPr>
                <w:p w14:paraId="17ED13B6" w14:textId="10860F39" w:rsidR="00F63A51" w:rsidRDefault="00F63A51" w:rsidP="00FC3061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All KS1 staff </w:t>
                  </w:r>
                  <w:r w:rsidR="00C32C00">
                    <w:rPr>
                      <w:color w:val="000000"/>
                    </w:rPr>
                    <w:t xml:space="preserve">undertook CPD and observed phonics experts teaching to </w:t>
                  </w:r>
                  <w:r w:rsidR="00B36509">
                    <w:rPr>
                      <w:color w:val="000000"/>
                    </w:rPr>
                    <w:t xml:space="preserve">develop their teaching. </w:t>
                  </w:r>
                </w:p>
              </w:tc>
            </w:tr>
          </w:tbl>
          <w:p w14:paraId="5023926C" w14:textId="63F4D11A" w:rsidR="00630FA6" w:rsidRPr="00630FA6" w:rsidRDefault="00630FA6" w:rsidP="00630FA6">
            <w:pPr>
              <w:rPr>
                <w:color w:val="000000"/>
              </w:rPr>
            </w:pPr>
          </w:p>
        </w:tc>
      </w:tr>
      <w:bookmarkEnd w:id="14"/>
      <w:bookmarkEnd w:id="15"/>
      <w:bookmarkEnd w:id="16"/>
    </w:tbl>
    <w:p w14:paraId="2A7D555F" w14:textId="77777777" w:rsidR="00E66558" w:rsidRDefault="00E66558">
      <w:pPr>
        <w:spacing w:after="0" w:line="240" w:lineRule="auto"/>
      </w:pPr>
    </w:p>
    <w:sectPr w:rsidR="00E66558" w:rsidSect="00FC3061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D2B2" w14:textId="77777777" w:rsidR="004A2E8B" w:rsidRDefault="004A2E8B">
      <w:pPr>
        <w:spacing w:after="0" w:line="240" w:lineRule="auto"/>
      </w:pPr>
      <w:r>
        <w:separator/>
      </w:r>
    </w:p>
  </w:endnote>
  <w:endnote w:type="continuationSeparator" w:id="0">
    <w:p w14:paraId="316FD19B" w14:textId="77777777" w:rsidR="004A2E8B" w:rsidRDefault="004A2E8B">
      <w:pPr>
        <w:spacing w:after="0" w:line="240" w:lineRule="auto"/>
      </w:pPr>
      <w:r>
        <w:continuationSeparator/>
      </w:r>
    </w:p>
  </w:endnote>
  <w:endnote w:type="continuationNotice" w:id="1">
    <w:p w14:paraId="1DB41232" w14:textId="77777777" w:rsidR="004A2E8B" w:rsidRDefault="004A2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EDC3" w14:textId="77777777" w:rsidR="004A2E8B" w:rsidRDefault="004A2E8B">
      <w:pPr>
        <w:spacing w:after="0" w:line="240" w:lineRule="auto"/>
      </w:pPr>
      <w:r>
        <w:separator/>
      </w:r>
    </w:p>
  </w:footnote>
  <w:footnote w:type="continuationSeparator" w:id="0">
    <w:p w14:paraId="505E99AA" w14:textId="77777777" w:rsidR="004A2E8B" w:rsidRDefault="004A2E8B">
      <w:pPr>
        <w:spacing w:after="0" w:line="240" w:lineRule="auto"/>
      </w:pPr>
      <w:r>
        <w:continuationSeparator/>
      </w:r>
    </w:p>
  </w:footnote>
  <w:footnote w:type="continuationNotice" w:id="1">
    <w:p w14:paraId="437FC604" w14:textId="77777777" w:rsidR="004A2E8B" w:rsidRDefault="004A2E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6A6E"/>
    <w:multiLevelType w:val="hybridMultilevel"/>
    <w:tmpl w:val="DB7CE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0146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2E47F7"/>
    <w:multiLevelType w:val="hybridMultilevel"/>
    <w:tmpl w:val="3A44AF8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C035160"/>
    <w:multiLevelType w:val="hybridMultilevel"/>
    <w:tmpl w:val="7FAEB0CC"/>
    <w:lvl w:ilvl="0" w:tplc="D75C6502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E692501"/>
    <w:multiLevelType w:val="hybridMultilevel"/>
    <w:tmpl w:val="BBE6E680"/>
    <w:lvl w:ilvl="0" w:tplc="528AC91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B76FB"/>
    <w:multiLevelType w:val="hybridMultilevel"/>
    <w:tmpl w:val="7820F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D26892"/>
    <w:multiLevelType w:val="hybridMultilevel"/>
    <w:tmpl w:val="9A9E494C"/>
    <w:lvl w:ilvl="0" w:tplc="D1B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8"/>
  </w:num>
  <w:num w:numId="2" w16cid:durableId="1628730595">
    <w:abstractNumId w:val="6"/>
  </w:num>
  <w:num w:numId="3" w16cid:durableId="497188144">
    <w:abstractNumId w:val="9"/>
  </w:num>
  <w:num w:numId="4" w16cid:durableId="1138914232">
    <w:abstractNumId w:val="11"/>
  </w:num>
  <w:num w:numId="5" w16cid:durableId="857932188">
    <w:abstractNumId w:val="1"/>
  </w:num>
  <w:num w:numId="6" w16cid:durableId="798501009">
    <w:abstractNumId w:val="12"/>
  </w:num>
  <w:num w:numId="7" w16cid:durableId="1210847263">
    <w:abstractNumId w:val="18"/>
  </w:num>
  <w:num w:numId="8" w16cid:durableId="982348153">
    <w:abstractNumId w:val="22"/>
  </w:num>
  <w:num w:numId="9" w16cid:durableId="1529290868">
    <w:abstractNumId w:val="20"/>
  </w:num>
  <w:num w:numId="10" w16cid:durableId="1171066271">
    <w:abstractNumId w:val="19"/>
  </w:num>
  <w:num w:numId="11" w16cid:durableId="1453552857">
    <w:abstractNumId w:val="7"/>
  </w:num>
  <w:num w:numId="12" w16cid:durableId="1812097430">
    <w:abstractNumId w:val="21"/>
  </w:num>
  <w:num w:numId="13" w16cid:durableId="42288650">
    <w:abstractNumId w:val="17"/>
  </w:num>
  <w:num w:numId="14" w16cid:durableId="1721712531">
    <w:abstractNumId w:val="13"/>
  </w:num>
  <w:num w:numId="15" w16cid:durableId="1235432793">
    <w:abstractNumId w:val="5"/>
  </w:num>
  <w:num w:numId="16" w16cid:durableId="884678859">
    <w:abstractNumId w:val="3"/>
  </w:num>
  <w:num w:numId="17" w16cid:durableId="826165421">
    <w:abstractNumId w:val="14"/>
  </w:num>
  <w:num w:numId="18" w16cid:durableId="457527968">
    <w:abstractNumId w:val="2"/>
  </w:num>
  <w:num w:numId="19" w16cid:durableId="1593775220">
    <w:abstractNumId w:val="15"/>
  </w:num>
  <w:num w:numId="20" w16cid:durableId="1386220222">
    <w:abstractNumId w:val="16"/>
  </w:num>
  <w:num w:numId="21" w16cid:durableId="638147680">
    <w:abstractNumId w:val="0"/>
  </w:num>
  <w:num w:numId="22" w16cid:durableId="1615208723">
    <w:abstractNumId w:val="4"/>
  </w:num>
  <w:num w:numId="23" w16cid:durableId="638875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08DA"/>
    <w:rsid w:val="00003A45"/>
    <w:rsid w:val="00007067"/>
    <w:rsid w:val="00013477"/>
    <w:rsid w:val="000140D9"/>
    <w:rsid w:val="00023729"/>
    <w:rsid w:val="000243B4"/>
    <w:rsid w:val="0002530E"/>
    <w:rsid w:val="0002710D"/>
    <w:rsid w:val="00031EA0"/>
    <w:rsid w:val="00036678"/>
    <w:rsid w:val="000372E7"/>
    <w:rsid w:val="000452EB"/>
    <w:rsid w:val="00045603"/>
    <w:rsid w:val="000463AE"/>
    <w:rsid w:val="000507A3"/>
    <w:rsid w:val="0005143B"/>
    <w:rsid w:val="000521DC"/>
    <w:rsid w:val="00052BC0"/>
    <w:rsid w:val="00054FB7"/>
    <w:rsid w:val="00060A62"/>
    <w:rsid w:val="00060CA6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5DA"/>
    <w:rsid w:val="000A5C58"/>
    <w:rsid w:val="000A6379"/>
    <w:rsid w:val="000A7BAF"/>
    <w:rsid w:val="000B0D49"/>
    <w:rsid w:val="000B203E"/>
    <w:rsid w:val="000C31C4"/>
    <w:rsid w:val="000C3323"/>
    <w:rsid w:val="000D0911"/>
    <w:rsid w:val="000D22B0"/>
    <w:rsid w:val="000D318D"/>
    <w:rsid w:val="000D35C9"/>
    <w:rsid w:val="000D520C"/>
    <w:rsid w:val="000D6596"/>
    <w:rsid w:val="000D6779"/>
    <w:rsid w:val="000D76B5"/>
    <w:rsid w:val="000E682F"/>
    <w:rsid w:val="000E6DF0"/>
    <w:rsid w:val="000F4A96"/>
    <w:rsid w:val="001037CB"/>
    <w:rsid w:val="0010629E"/>
    <w:rsid w:val="00111F5B"/>
    <w:rsid w:val="00114288"/>
    <w:rsid w:val="00115538"/>
    <w:rsid w:val="00116FA8"/>
    <w:rsid w:val="00120AB1"/>
    <w:rsid w:val="00123A7F"/>
    <w:rsid w:val="001278D0"/>
    <w:rsid w:val="00127F72"/>
    <w:rsid w:val="001307AB"/>
    <w:rsid w:val="001377F5"/>
    <w:rsid w:val="00140646"/>
    <w:rsid w:val="0014409B"/>
    <w:rsid w:val="00147A4B"/>
    <w:rsid w:val="00152554"/>
    <w:rsid w:val="001530CC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463"/>
    <w:rsid w:val="00185700"/>
    <w:rsid w:val="00185988"/>
    <w:rsid w:val="00186666"/>
    <w:rsid w:val="001873B6"/>
    <w:rsid w:val="001901E6"/>
    <w:rsid w:val="00191305"/>
    <w:rsid w:val="001948FB"/>
    <w:rsid w:val="00195B55"/>
    <w:rsid w:val="001A179F"/>
    <w:rsid w:val="001A18F8"/>
    <w:rsid w:val="001A2FE8"/>
    <w:rsid w:val="001A33AC"/>
    <w:rsid w:val="001B1656"/>
    <w:rsid w:val="001B1EEE"/>
    <w:rsid w:val="001B2066"/>
    <w:rsid w:val="001B357D"/>
    <w:rsid w:val="001B6B71"/>
    <w:rsid w:val="001C1C51"/>
    <w:rsid w:val="001D4FC9"/>
    <w:rsid w:val="001E0ECA"/>
    <w:rsid w:val="001E206F"/>
    <w:rsid w:val="001E5750"/>
    <w:rsid w:val="001E66BA"/>
    <w:rsid w:val="001E7739"/>
    <w:rsid w:val="001F3CDB"/>
    <w:rsid w:val="001F3DB4"/>
    <w:rsid w:val="001F7564"/>
    <w:rsid w:val="00203DB9"/>
    <w:rsid w:val="00204F40"/>
    <w:rsid w:val="00205DEF"/>
    <w:rsid w:val="002112C3"/>
    <w:rsid w:val="002131E5"/>
    <w:rsid w:val="00216C8A"/>
    <w:rsid w:val="00221C67"/>
    <w:rsid w:val="00226317"/>
    <w:rsid w:val="00231539"/>
    <w:rsid w:val="00242093"/>
    <w:rsid w:val="00243F22"/>
    <w:rsid w:val="002523E3"/>
    <w:rsid w:val="002525F3"/>
    <w:rsid w:val="00252AD6"/>
    <w:rsid w:val="002542CE"/>
    <w:rsid w:val="00255F9B"/>
    <w:rsid w:val="00257A4E"/>
    <w:rsid w:val="002653EE"/>
    <w:rsid w:val="00266FA5"/>
    <w:rsid w:val="00276BED"/>
    <w:rsid w:val="00276FBA"/>
    <w:rsid w:val="00277665"/>
    <w:rsid w:val="002837AE"/>
    <w:rsid w:val="00287936"/>
    <w:rsid w:val="00287FA8"/>
    <w:rsid w:val="002920F4"/>
    <w:rsid w:val="002931BB"/>
    <w:rsid w:val="002940F3"/>
    <w:rsid w:val="00295842"/>
    <w:rsid w:val="002B3574"/>
    <w:rsid w:val="002B4467"/>
    <w:rsid w:val="002B6B74"/>
    <w:rsid w:val="002C6AE7"/>
    <w:rsid w:val="002D2D4B"/>
    <w:rsid w:val="002D3805"/>
    <w:rsid w:val="002E4BC1"/>
    <w:rsid w:val="002E66AE"/>
    <w:rsid w:val="002E7763"/>
    <w:rsid w:val="002F052A"/>
    <w:rsid w:val="002F4C6F"/>
    <w:rsid w:val="002F5011"/>
    <w:rsid w:val="002F5842"/>
    <w:rsid w:val="002F71D6"/>
    <w:rsid w:val="002F7847"/>
    <w:rsid w:val="00306CB7"/>
    <w:rsid w:val="00307ABF"/>
    <w:rsid w:val="003111F5"/>
    <w:rsid w:val="00317664"/>
    <w:rsid w:val="00335C83"/>
    <w:rsid w:val="00336200"/>
    <w:rsid w:val="00337418"/>
    <w:rsid w:val="003455CF"/>
    <w:rsid w:val="003470CB"/>
    <w:rsid w:val="00351D83"/>
    <w:rsid w:val="00352197"/>
    <w:rsid w:val="00353E46"/>
    <w:rsid w:val="003576C4"/>
    <w:rsid w:val="0036277A"/>
    <w:rsid w:val="0036304E"/>
    <w:rsid w:val="003666A1"/>
    <w:rsid w:val="00366AB0"/>
    <w:rsid w:val="003678BA"/>
    <w:rsid w:val="003700E8"/>
    <w:rsid w:val="0037437C"/>
    <w:rsid w:val="00380FFC"/>
    <w:rsid w:val="00381127"/>
    <w:rsid w:val="0038146B"/>
    <w:rsid w:val="0038340F"/>
    <w:rsid w:val="00384457"/>
    <w:rsid w:val="00384715"/>
    <w:rsid w:val="00384F24"/>
    <w:rsid w:val="003A32B2"/>
    <w:rsid w:val="003A47DD"/>
    <w:rsid w:val="003A4C65"/>
    <w:rsid w:val="003A5F67"/>
    <w:rsid w:val="003A634F"/>
    <w:rsid w:val="003A6487"/>
    <w:rsid w:val="003B14C1"/>
    <w:rsid w:val="003B2820"/>
    <w:rsid w:val="003B2884"/>
    <w:rsid w:val="003B588A"/>
    <w:rsid w:val="003B621D"/>
    <w:rsid w:val="003C4388"/>
    <w:rsid w:val="003C4816"/>
    <w:rsid w:val="003C4C27"/>
    <w:rsid w:val="003C6E35"/>
    <w:rsid w:val="003C7F7B"/>
    <w:rsid w:val="003D0CD6"/>
    <w:rsid w:val="003D2EAA"/>
    <w:rsid w:val="003D448C"/>
    <w:rsid w:val="003D48B9"/>
    <w:rsid w:val="003D4B48"/>
    <w:rsid w:val="003E054C"/>
    <w:rsid w:val="003E1EC5"/>
    <w:rsid w:val="003E27A0"/>
    <w:rsid w:val="003E2C7C"/>
    <w:rsid w:val="003E3872"/>
    <w:rsid w:val="004044AA"/>
    <w:rsid w:val="004044C8"/>
    <w:rsid w:val="00404F3F"/>
    <w:rsid w:val="00410B5D"/>
    <w:rsid w:val="004116A3"/>
    <w:rsid w:val="00413BEC"/>
    <w:rsid w:val="0041661C"/>
    <w:rsid w:val="0042265E"/>
    <w:rsid w:val="00424ED7"/>
    <w:rsid w:val="00425258"/>
    <w:rsid w:val="00426217"/>
    <w:rsid w:val="00431A80"/>
    <w:rsid w:val="00433641"/>
    <w:rsid w:val="004344ED"/>
    <w:rsid w:val="00435A89"/>
    <w:rsid w:val="0044717A"/>
    <w:rsid w:val="00452267"/>
    <w:rsid w:val="00453307"/>
    <w:rsid w:val="00454EE1"/>
    <w:rsid w:val="00455A02"/>
    <w:rsid w:val="00457E36"/>
    <w:rsid w:val="00460BD3"/>
    <w:rsid w:val="00462EF1"/>
    <w:rsid w:val="00462F8F"/>
    <w:rsid w:val="004708F2"/>
    <w:rsid w:val="004724DE"/>
    <w:rsid w:val="004740F1"/>
    <w:rsid w:val="004770FE"/>
    <w:rsid w:val="0048157F"/>
    <w:rsid w:val="00481B39"/>
    <w:rsid w:val="00481D56"/>
    <w:rsid w:val="004850B1"/>
    <w:rsid w:val="00490408"/>
    <w:rsid w:val="004A093F"/>
    <w:rsid w:val="004A2E8B"/>
    <w:rsid w:val="004A3A4F"/>
    <w:rsid w:val="004A4C45"/>
    <w:rsid w:val="004A53A4"/>
    <w:rsid w:val="004A55C4"/>
    <w:rsid w:val="004B0485"/>
    <w:rsid w:val="004B0ED7"/>
    <w:rsid w:val="004B1B62"/>
    <w:rsid w:val="004B1F58"/>
    <w:rsid w:val="004B428E"/>
    <w:rsid w:val="004B4D0A"/>
    <w:rsid w:val="004B4D37"/>
    <w:rsid w:val="004C42F0"/>
    <w:rsid w:val="004D50C8"/>
    <w:rsid w:val="004D55A7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3130"/>
    <w:rsid w:val="00516021"/>
    <w:rsid w:val="00516457"/>
    <w:rsid w:val="00516641"/>
    <w:rsid w:val="0051729F"/>
    <w:rsid w:val="005201C6"/>
    <w:rsid w:val="00520A0C"/>
    <w:rsid w:val="00530E37"/>
    <w:rsid w:val="00535946"/>
    <w:rsid w:val="00535B0D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1BD5"/>
    <w:rsid w:val="00573E1D"/>
    <w:rsid w:val="005750E2"/>
    <w:rsid w:val="005777BC"/>
    <w:rsid w:val="0058313F"/>
    <w:rsid w:val="00585859"/>
    <w:rsid w:val="00586FBC"/>
    <w:rsid w:val="005879C9"/>
    <w:rsid w:val="00590389"/>
    <w:rsid w:val="00594CAD"/>
    <w:rsid w:val="005A1D0B"/>
    <w:rsid w:val="005A389C"/>
    <w:rsid w:val="005A3C6B"/>
    <w:rsid w:val="005A4D1F"/>
    <w:rsid w:val="005A7AB8"/>
    <w:rsid w:val="005B1EA5"/>
    <w:rsid w:val="005C0BBD"/>
    <w:rsid w:val="005C489F"/>
    <w:rsid w:val="005C54A0"/>
    <w:rsid w:val="005C5957"/>
    <w:rsid w:val="005D0D15"/>
    <w:rsid w:val="005D7176"/>
    <w:rsid w:val="005E18CB"/>
    <w:rsid w:val="005E1F24"/>
    <w:rsid w:val="005E3667"/>
    <w:rsid w:val="005E73F1"/>
    <w:rsid w:val="005F07EF"/>
    <w:rsid w:val="005F0A75"/>
    <w:rsid w:val="005F16B6"/>
    <w:rsid w:val="005F2600"/>
    <w:rsid w:val="005F5224"/>
    <w:rsid w:val="005F7AA1"/>
    <w:rsid w:val="00600B2E"/>
    <w:rsid w:val="00601122"/>
    <w:rsid w:val="00604F5D"/>
    <w:rsid w:val="00606521"/>
    <w:rsid w:val="00607386"/>
    <w:rsid w:val="00607CEB"/>
    <w:rsid w:val="00613299"/>
    <w:rsid w:val="0061762D"/>
    <w:rsid w:val="00626668"/>
    <w:rsid w:val="00626C99"/>
    <w:rsid w:val="00626CBC"/>
    <w:rsid w:val="00627FC2"/>
    <w:rsid w:val="00630FA6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46D3A"/>
    <w:rsid w:val="00647B0B"/>
    <w:rsid w:val="00650529"/>
    <w:rsid w:val="00650BAB"/>
    <w:rsid w:val="00651737"/>
    <w:rsid w:val="00654E31"/>
    <w:rsid w:val="006565FA"/>
    <w:rsid w:val="00656A8F"/>
    <w:rsid w:val="00661FDB"/>
    <w:rsid w:val="006652DD"/>
    <w:rsid w:val="006671BF"/>
    <w:rsid w:val="006713A1"/>
    <w:rsid w:val="0067174E"/>
    <w:rsid w:val="00671AEB"/>
    <w:rsid w:val="00672A7D"/>
    <w:rsid w:val="00681416"/>
    <w:rsid w:val="00690A7E"/>
    <w:rsid w:val="00694806"/>
    <w:rsid w:val="0069590D"/>
    <w:rsid w:val="00697D9C"/>
    <w:rsid w:val="006A06F5"/>
    <w:rsid w:val="006A0ED2"/>
    <w:rsid w:val="006B0A0C"/>
    <w:rsid w:val="006B0A73"/>
    <w:rsid w:val="006B5A6B"/>
    <w:rsid w:val="006C0A8D"/>
    <w:rsid w:val="006C0F82"/>
    <w:rsid w:val="006C25E8"/>
    <w:rsid w:val="006C332E"/>
    <w:rsid w:val="006C5901"/>
    <w:rsid w:val="006D00F1"/>
    <w:rsid w:val="006D377A"/>
    <w:rsid w:val="006D4222"/>
    <w:rsid w:val="006D5742"/>
    <w:rsid w:val="006D6372"/>
    <w:rsid w:val="006D68C4"/>
    <w:rsid w:val="006D6E5C"/>
    <w:rsid w:val="006E02AF"/>
    <w:rsid w:val="006E061F"/>
    <w:rsid w:val="006E0786"/>
    <w:rsid w:val="006E4248"/>
    <w:rsid w:val="006E4FB2"/>
    <w:rsid w:val="006E6B4A"/>
    <w:rsid w:val="006E7449"/>
    <w:rsid w:val="006E7FB1"/>
    <w:rsid w:val="006F2604"/>
    <w:rsid w:val="006F2A1F"/>
    <w:rsid w:val="006F5319"/>
    <w:rsid w:val="006F55FD"/>
    <w:rsid w:val="006F5D21"/>
    <w:rsid w:val="006F6538"/>
    <w:rsid w:val="006F7F8B"/>
    <w:rsid w:val="007061DA"/>
    <w:rsid w:val="007109F6"/>
    <w:rsid w:val="00711BE3"/>
    <w:rsid w:val="00715D0D"/>
    <w:rsid w:val="00721B51"/>
    <w:rsid w:val="00722CB3"/>
    <w:rsid w:val="00724594"/>
    <w:rsid w:val="00724FA7"/>
    <w:rsid w:val="007251C8"/>
    <w:rsid w:val="00725303"/>
    <w:rsid w:val="00725415"/>
    <w:rsid w:val="007262CC"/>
    <w:rsid w:val="007262FC"/>
    <w:rsid w:val="00727505"/>
    <w:rsid w:val="00731581"/>
    <w:rsid w:val="00732591"/>
    <w:rsid w:val="0073481D"/>
    <w:rsid w:val="007403AC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57FEF"/>
    <w:rsid w:val="007610B5"/>
    <w:rsid w:val="007623CB"/>
    <w:rsid w:val="00762652"/>
    <w:rsid w:val="00764551"/>
    <w:rsid w:val="0076556F"/>
    <w:rsid w:val="007677B8"/>
    <w:rsid w:val="007678F5"/>
    <w:rsid w:val="00781713"/>
    <w:rsid w:val="0078229F"/>
    <w:rsid w:val="00783983"/>
    <w:rsid w:val="00785285"/>
    <w:rsid w:val="0078529D"/>
    <w:rsid w:val="00785388"/>
    <w:rsid w:val="00785E77"/>
    <w:rsid w:val="0078720B"/>
    <w:rsid w:val="00787DC1"/>
    <w:rsid w:val="00794070"/>
    <w:rsid w:val="007A63CA"/>
    <w:rsid w:val="007A713B"/>
    <w:rsid w:val="007A7DA0"/>
    <w:rsid w:val="007B64E5"/>
    <w:rsid w:val="007C1DE7"/>
    <w:rsid w:val="007C25E7"/>
    <w:rsid w:val="007C2F04"/>
    <w:rsid w:val="007C7664"/>
    <w:rsid w:val="007D3641"/>
    <w:rsid w:val="007E2EBD"/>
    <w:rsid w:val="007E333C"/>
    <w:rsid w:val="007F06E5"/>
    <w:rsid w:val="007F5B8B"/>
    <w:rsid w:val="00805BC0"/>
    <w:rsid w:val="008072A7"/>
    <w:rsid w:val="00810B5D"/>
    <w:rsid w:val="00814FB9"/>
    <w:rsid w:val="00817E9A"/>
    <w:rsid w:val="008204A4"/>
    <w:rsid w:val="00825B36"/>
    <w:rsid w:val="00827786"/>
    <w:rsid w:val="00827BDA"/>
    <w:rsid w:val="00830D57"/>
    <w:rsid w:val="00831F00"/>
    <w:rsid w:val="00850CA0"/>
    <w:rsid w:val="00850E45"/>
    <w:rsid w:val="00852A2F"/>
    <w:rsid w:val="00856E12"/>
    <w:rsid w:val="008608EE"/>
    <w:rsid w:val="00860B07"/>
    <w:rsid w:val="008616F6"/>
    <w:rsid w:val="0086259C"/>
    <w:rsid w:val="008674ED"/>
    <w:rsid w:val="0087074C"/>
    <w:rsid w:val="00874913"/>
    <w:rsid w:val="00883F24"/>
    <w:rsid w:val="0088424F"/>
    <w:rsid w:val="00887F22"/>
    <w:rsid w:val="00894050"/>
    <w:rsid w:val="008954A1"/>
    <w:rsid w:val="00897E1F"/>
    <w:rsid w:val="008A271E"/>
    <w:rsid w:val="008A3E8E"/>
    <w:rsid w:val="008B2CB4"/>
    <w:rsid w:val="008B3D82"/>
    <w:rsid w:val="008B5503"/>
    <w:rsid w:val="008B6404"/>
    <w:rsid w:val="008B7A33"/>
    <w:rsid w:val="008C2C21"/>
    <w:rsid w:val="008C4B1F"/>
    <w:rsid w:val="008C69F8"/>
    <w:rsid w:val="008C77C8"/>
    <w:rsid w:val="008C7DD3"/>
    <w:rsid w:val="008D054C"/>
    <w:rsid w:val="008D10EF"/>
    <w:rsid w:val="008D3C9E"/>
    <w:rsid w:val="008D6126"/>
    <w:rsid w:val="008D77E0"/>
    <w:rsid w:val="008E000B"/>
    <w:rsid w:val="008E2926"/>
    <w:rsid w:val="008E35C6"/>
    <w:rsid w:val="008E3F49"/>
    <w:rsid w:val="008E6B3E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1218A"/>
    <w:rsid w:val="00917454"/>
    <w:rsid w:val="00921A3A"/>
    <w:rsid w:val="0092287F"/>
    <w:rsid w:val="0092495B"/>
    <w:rsid w:val="0092660E"/>
    <w:rsid w:val="00932B9F"/>
    <w:rsid w:val="00935FBD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62B"/>
    <w:rsid w:val="009619B1"/>
    <w:rsid w:val="00964625"/>
    <w:rsid w:val="00965B57"/>
    <w:rsid w:val="00966ADC"/>
    <w:rsid w:val="0097794B"/>
    <w:rsid w:val="00980937"/>
    <w:rsid w:val="00981C1D"/>
    <w:rsid w:val="0098341C"/>
    <w:rsid w:val="00983833"/>
    <w:rsid w:val="0099109C"/>
    <w:rsid w:val="009936DB"/>
    <w:rsid w:val="00993CFC"/>
    <w:rsid w:val="00996612"/>
    <w:rsid w:val="009A1DC2"/>
    <w:rsid w:val="009A5EEA"/>
    <w:rsid w:val="009B0906"/>
    <w:rsid w:val="009B38F2"/>
    <w:rsid w:val="009B48BE"/>
    <w:rsid w:val="009B7433"/>
    <w:rsid w:val="009C0914"/>
    <w:rsid w:val="009C27E5"/>
    <w:rsid w:val="009D24A1"/>
    <w:rsid w:val="009D3891"/>
    <w:rsid w:val="009D71E8"/>
    <w:rsid w:val="009E0CF5"/>
    <w:rsid w:val="009E104B"/>
    <w:rsid w:val="009E6F4D"/>
    <w:rsid w:val="009E7DE4"/>
    <w:rsid w:val="009F3BBD"/>
    <w:rsid w:val="009F4B00"/>
    <w:rsid w:val="00A022AB"/>
    <w:rsid w:val="00A04726"/>
    <w:rsid w:val="00A063DD"/>
    <w:rsid w:val="00A112B5"/>
    <w:rsid w:val="00A14EEA"/>
    <w:rsid w:val="00A33636"/>
    <w:rsid w:val="00A34502"/>
    <w:rsid w:val="00A44FBB"/>
    <w:rsid w:val="00A50104"/>
    <w:rsid w:val="00A522E0"/>
    <w:rsid w:val="00A52823"/>
    <w:rsid w:val="00A54BEE"/>
    <w:rsid w:val="00A60BAF"/>
    <w:rsid w:val="00A60E28"/>
    <w:rsid w:val="00A63579"/>
    <w:rsid w:val="00A638AC"/>
    <w:rsid w:val="00A64475"/>
    <w:rsid w:val="00A64779"/>
    <w:rsid w:val="00A67FB6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C369E"/>
    <w:rsid w:val="00AD07FB"/>
    <w:rsid w:val="00AD6BB7"/>
    <w:rsid w:val="00AD7B5A"/>
    <w:rsid w:val="00AE0DE8"/>
    <w:rsid w:val="00AE229F"/>
    <w:rsid w:val="00AF0618"/>
    <w:rsid w:val="00AF2370"/>
    <w:rsid w:val="00AF4F3F"/>
    <w:rsid w:val="00AF549C"/>
    <w:rsid w:val="00AF5E20"/>
    <w:rsid w:val="00B002FA"/>
    <w:rsid w:val="00B00327"/>
    <w:rsid w:val="00B024B3"/>
    <w:rsid w:val="00B10AFF"/>
    <w:rsid w:val="00B11DE8"/>
    <w:rsid w:val="00B179ED"/>
    <w:rsid w:val="00B17B2A"/>
    <w:rsid w:val="00B20E18"/>
    <w:rsid w:val="00B27FB7"/>
    <w:rsid w:val="00B331E1"/>
    <w:rsid w:val="00B36509"/>
    <w:rsid w:val="00B37110"/>
    <w:rsid w:val="00B4532A"/>
    <w:rsid w:val="00B47C66"/>
    <w:rsid w:val="00B572C4"/>
    <w:rsid w:val="00B60858"/>
    <w:rsid w:val="00B60D69"/>
    <w:rsid w:val="00B6234E"/>
    <w:rsid w:val="00B64A8E"/>
    <w:rsid w:val="00B70E3F"/>
    <w:rsid w:val="00B74D4E"/>
    <w:rsid w:val="00B80219"/>
    <w:rsid w:val="00B81390"/>
    <w:rsid w:val="00B85AA1"/>
    <w:rsid w:val="00B87184"/>
    <w:rsid w:val="00B91453"/>
    <w:rsid w:val="00B93BF0"/>
    <w:rsid w:val="00B95FF0"/>
    <w:rsid w:val="00BA19A5"/>
    <w:rsid w:val="00BB00BD"/>
    <w:rsid w:val="00BB2907"/>
    <w:rsid w:val="00BB29CA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43EB"/>
    <w:rsid w:val="00BF59B3"/>
    <w:rsid w:val="00BF6F95"/>
    <w:rsid w:val="00C0206C"/>
    <w:rsid w:val="00C10BCF"/>
    <w:rsid w:val="00C11EB4"/>
    <w:rsid w:val="00C12746"/>
    <w:rsid w:val="00C15AE9"/>
    <w:rsid w:val="00C21CCA"/>
    <w:rsid w:val="00C23C11"/>
    <w:rsid w:val="00C2441E"/>
    <w:rsid w:val="00C25827"/>
    <w:rsid w:val="00C31636"/>
    <w:rsid w:val="00C31BB8"/>
    <w:rsid w:val="00C32C00"/>
    <w:rsid w:val="00C33F34"/>
    <w:rsid w:val="00C364FA"/>
    <w:rsid w:val="00C373EA"/>
    <w:rsid w:val="00C43CA3"/>
    <w:rsid w:val="00C43D9D"/>
    <w:rsid w:val="00C43EA4"/>
    <w:rsid w:val="00C50040"/>
    <w:rsid w:val="00C52DFF"/>
    <w:rsid w:val="00C54664"/>
    <w:rsid w:val="00C570D4"/>
    <w:rsid w:val="00C574E1"/>
    <w:rsid w:val="00C57CA4"/>
    <w:rsid w:val="00C621C1"/>
    <w:rsid w:val="00C62989"/>
    <w:rsid w:val="00C65CBB"/>
    <w:rsid w:val="00C74684"/>
    <w:rsid w:val="00C764C4"/>
    <w:rsid w:val="00C77FEF"/>
    <w:rsid w:val="00C80F37"/>
    <w:rsid w:val="00C83659"/>
    <w:rsid w:val="00C839C1"/>
    <w:rsid w:val="00C84F38"/>
    <w:rsid w:val="00C85900"/>
    <w:rsid w:val="00C97A7F"/>
    <w:rsid w:val="00CA4421"/>
    <w:rsid w:val="00CA5363"/>
    <w:rsid w:val="00CA7A87"/>
    <w:rsid w:val="00CA7D07"/>
    <w:rsid w:val="00CB0C2B"/>
    <w:rsid w:val="00CB24A4"/>
    <w:rsid w:val="00CB5B17"/>
    <w:rsid w:val="00CB6AA0"/>
    <w:rsid w:val="00CC4443"/>
    <w:rsid w:val="00CC5674"/>
    <w:rsid w:val="00CC5CAF"/>
    <w:rsid w:val="00CC6C2D"/>
    <w:rsid w:val="00CC7A41"/>
    <w:rsid w:val="00CD3706"/>
    <w:rsid w:val="00CE2B8B"/>
    <w:rsid w:val="00CE7E1B"/>
    <w:rsid w:val="00CE7E7F"/>
    <w:rsid w:val="00CF43FA"/>
    <w:rsid w:val="00D04F25"/>
    <w:rsid w:val="00D064D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37DF3"/>
    <w:rsid w:val="00D43A15"/>
    <w:rsid w:val="00D4463C"/>
    <w:rsid w:val="00D46182"/>
    <w:rsid w:val="00D46C7D"/>
    <w:rsid w:val="00D501EE"/>
    <w:rsid w:val="00D517DC"/>
    <w:rsid w:val="00D528FD"/>
    <w:rsid w:val="00D5360D"/>
    <w:rsid w:val="00D54F42"/>
    <w:rsid w:val="00D5590D"/>
    <w:rsid w:val="00D5676E"/>
    <w:rsid w:val="00D618E4"/>
    <w:rsid w:val="00D61DA5"/>
    <w:rsid w:val="00D642A3"/>
    <w:rsid w:val="00D71B8A"/>
    <w:rsid w:val="00D72C08"/>
    <w:rsid w:val="00D75247"/>
    <w:rsid w:val="00D81325"/>
    <w:rsid w:val="00D82659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B7D9F"/>
    <w:rsid w:val="00DC26F6"/>
    <w:rsid w:val="00DC641A"/>
    <w:rsid w:val="00DD21A1"/>
    <w:rsid w:val="00DD4582"/>
    <w:rsid w:val="00DD68FB"/>
    <w:rsid w:val="00DD6B7D"/>
    <w:rsid w:val="00DD6E14"/>
    <w:rsid w:val="00DE15AC"/>
    <w:rsid w:val="00DE51BD"/>
    <w:rsid w:val="00DF2015"/>
    <w:rsid w:val="00DF63B5"/>
    <w:rsid w:val="00DF6ED6"/>
    <w:rsid w:val="00E00C1B"/>
    <w:rsid w:val="00E061EC"/>
    <w:rsid w:val="00E0696B"/>
    <w:rsid w:val="00E07398"/>
    <w:rsid w:val="00E10E81"/>
    <w:rsid w:val="00E12CF0"/>
    <w:rsid w:val="00E13E51"/>
    <w:rsid w:val="00E14F87"/>
    <w:rsid w:val="00E21F56"/>
    <w:rsid w:val="00E3014F"/>
    <w:rsid w:val="00E407D0"/>
    <w:rsid w:val="00E4286E"/>
    <w:rsid w:val="00E43EAD"/>
    <w:rsid w:val="00E625E9"/>
    <w:rsid w:val="00E62DCB"/>
    <w:rsid w:val="00E631E8"/>
    <w:rsid w:val="00E643BB"/>
    <w:rsid w:val="00E651DD"/>
    <w:rsid w:val="00E65EEF"/>
    <w:rsid w:val="00E66558"/>
    <w:rsid w:val="00E70D81"/>
    <w:rsid w:val="00E726A6"/>
    <w:rsid w:val="00E73418"/>
    <w:rsid w:val="00E8109E"/>
    <w:rsid w:val="00E81552"/>
    <w:rsid w:val="00E85961"/>
    <w:rsid w:val="00E85C23"/>
    <w:rsid w:val="00E86F05"/>
    <w:rsid w:val="00EA3A2A"/>
    <w:rsid w:val="00EA3CB2"/>
    <w:rsid w:val="00EA6B46"/>
    <w:rsid w:val="00EB3496"/>
    <w:rsid w:val="00EB4556"/>
    <w:rsid w:val="00EB4A11"/>
    <w:rsid w:val="00EB64C8"/>
    <w:rsid w:val="00EC58B6"/>
    <w:rsid w:val="00ED4136"/>
    <w:rsid w:val="00ED5108"/>
    <w:rsid w:val="00ED6AE8"/>
    <w:rsid w:val="00EE291B"/>
    <w:rsid w:val="00EE2CB2"/>
    <w:rsid w:val="00EE30AE"/>
    <w:rsid w:val="00EF3B77"/>
    <w:rsid w:val="00EF485B"/>
    <w:rsid w:val="00EF5A6B"/>
    <w:rsid w:val="00EF7C0D"/>
    <w:rsid w:val="00F012CA"/>
    <w:rsid w:val="00F01752"/>
    <w:rsid w:val="00F017D2"/>
    <w:rsid w:val="00F0355A"/>
    <w:rsid w:val="00F05C44"/>
    <w:rsid w:val="00F1138F"/>
    <w:rsid w:val="00F15753"/>
    <w:rsid w:val="00F21F92"/>
    <w:rsid w:val="00F24A7E"/>
    <w:rsid w:val="00F30245"/>
    <w:rsid w:val="00F32ABA"/>
    <w:rsid w:val="00F33DC0"/>
    <w:rsid w:val="00F33F28"/>
    <w:rsid w:val="00F35A40"/>
    <w:rsid w:val="00F35FDE"/>
    <w:rsid w:val="00F40DE1"/>
    <w:rsid w:val="00F4142A"/>
    <w:rsid w:val="00F4298D"/>
    <w:rsid w:val="00F45E11"/>
    <w:rsid w:val="00F54FCB"/>
    <w:rsid w:val="00F5646C"/>
    <w:rsid w:val="00F62587"/>
    <w:rsid w:val="00F631A6"/>
    <w:rsid w:val="00F639AF"/>
    <w:rsid w:val="00F63A51"/>
    <w:rsid w:val="00F63E9E"/>
    <w:rsid w:val="00F63FEA"/>
    <w:rsid w:val="00F66AA7"/>
    <w:rsid w:val="00F75603"/>
    <w:rsid w:val="00F76843"/>
    <w:rsid w:val="00F776E1"/>
    <w:rsid w:val="00F77E8D"/>
    <w:rsid w:val="00F83668"/>
    <w:rsid w:val="00F83FD3"/>
    <w:rsid w:val="00F925EB"/>
    <w:rsid w:val="00F960D0"/>
    <w:rsid w:val="00F96AC6"/>
    <w:rsid w:val="00F97033"/>
    <w:rsid w:val="00FA615F"/>
    <w:rsid w:val="00FA6DD0"/>
    <w:rsid w:val="00FB1F7D"/>
    <w:rsid w:val="00FB35CD"/>
    <w:rsid w:val="00FC28DF"/>
    <w:rsid w:val="00FC3061"/>
    <w:rsid w:val="00FC542E"/>
    <w:rsid w:val="00FD1780"/>
    <w:rsid w:val="00FD2297"/>
    <w:rsid w:val="00FD406D"/>
    <w:rsid w:val="00FD6AC6"/>
    <w:rsid w:val="00FE3136"/>
    <w:rsid w:val="00FE3D56"/>
    <w:rsid w:val="00FE50A3"/>
    <w:rsid w:val="00FE5204"/>
    <w:rsid w:val="00FE604C"/>
    <w:rsid w:val="00FF0D38"/>
    <w:rsid w:val="00FF1100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uiPriority w:val="9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endowmentfoundation.org.uk/education-evidence/teaching-learning-toolkit/arts-particip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62bc1242d3bf7f292040d364/The_Power_of_Music_to_Change_Liv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C81E7466FCE48A31B7800DD3C1756" ma:contentTypeVersion="13" ma:contentTypeDescription="Create a new document." ma:contentTypeScope="" ma:versionID="fefc827214bf4c48850949de6dd9ba64">
  <xsd:schema xmlns:xsd="http://www.w3.org/2001/XMLSchema" xmlns:xs="http://www.w3.org/2001/XMLSchema" xmlns:p="http://schemas.microsoft.com/office/2006/metadata/properties" xmlns:ns2="d4b848d8-0576-40aa-8fda-388a0e3e9a2b" xmlns:ns3="9716ddad-917c-48be-8247-e2a57e237d5c" targetNamespace="http://schemas.microsoft.com/office/2006/metadata/properties" ma:root="true" ma:fieldsID="215c08c5bf0f6a12d09169eafdc85428" ns2:_="" ns3:_="">
    <xsd:import namespace="d4b848d8-0576-40aa-8fda-388a0e3e9a2b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48d8-0576-40aa-8fda-388a0e3e9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848d8-0576-40aa-8fda-388a0e3e9a2b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7D2B7-B6FF-4747-9A82-4BF48100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848d8-0576-40aa-8fda-388a0e3e9a2b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F7F8-4A00-4130-BE3D-6AFA6AD93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5D044-D9C1-43C8-9142-271B6C053077}">
  <ds:schemaRefs>
    <ds:schemaRef ds:uri="http://schemas.microsoft.com/office/2006/metadata/properties"/>
    <ds:schemaRef ds:uri="http://schemas.microsoft.com/office/infopath/2007/PartnerControls"/>
    <ds:schemaRef ds:uri="d4b848d8-0576-40aa-8fda-388a0e3e9a2b"/>
    <ds:schemaRef ds:uri="9716ddad-917c-48be-8247-e2a57e237d5c"/>
  </ds:schemaRefs>
</ds:datastoreItem>
</file>

<file path=customXml/itemProps4.xml><?xml version="1.0" encoding="utf-8"?>
<ds:datastoreItem xmlns:ds="http://schemas.openxmlformats.org/officeDocument/2006/customXml" ds:itemID="{5F5E7E92-96B1-411C-B412-EA8C54F06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1728</Words>
  <Characters>9498</Characters>
  <Application>Microsoft Office Word</Application>
  <DocSecurity>0</DocSecurity>
  <Lines>301</Lines>
  <Paragraphs>178</Paragraphs>
  <ScaleCrop>false</ScaleCrop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Charlie Jones</cp:lastModifiedBy>
  <cp:revision>239</cp:revision>
  <cp:lastPrinted>2025-10-06T14:47:00Z</cp:lastPrinted>
  <dcterms:created xsi:type="dcterms:W3CDTF">2025-09-25T10:29:00Z</dcterms:created>
  <dcterms:modified xsi:type="dcterms:W3CDTF">2025-12-02T08:53:00Z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0x01010058FC81E7466FCE48A31B7800DD3C1756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GrammarlyDocumentId">
    <vt:lpwstr>b98836d7-bbdf-4313-9808-02a978b3963a</vt:lpwstr>
  </property>
  <property fmtid="{D5CDD505-2E9C-101B-9397-08002B2CF9AE}" pid="14" name="MediaServiceImageTags">
    <vt:lpwstr/>
  </property>
</Properties>
</file>