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1AF7F4" w14:textId="77777777" w:rsidR="00451C2F" w:rsidRDefault="008565F7">
      <w:pPr>
        <w:pStyle w:val="Heading1"/>
        <w:ind w:left="1387"/>
        <w:rPr>
          <w:u w:val="none"/>
        </w:rPr>
      </w:pPr>
      <w:bookmarkStart w:id="0" w:name="_GoBack"/>
      <w:bookmarkEnd w:id="0"/>
      <w:r>
        <w:rPr>
          <w:u w:val="thick"/>
        </w:rPr>
        <w:t>BACUP AND RAWTENSTALL GRAMMAR SCHOOL</w:t>
      </w:r>
    </w:p>
    <w:p w14:paraId="70A727E0" w14:textId="77777777" w:rsidR="00451C2F" w:rsidRDefault="00451C2F">
      <w:pPr>
        <w:pStyle w:val="BodyText"/>
        <w:spacing w:before="1"/>
        <w:ind w:left="0" w:firstLine="0"/>
        <w:rPr>
          <w:b/>
          <w:sz w:val="20"/>
        </w:rPr>
      </w:pPr>
    </w:p>
    <w:p w14:paraId="57B1AD37" w14:textId="77777777" w:rsidR="00451C2F" w:rsidRDefault="008565F7">
      <w:pPr>
        <w:spacing w:before="93"/>
        <w:ind w:left="806"/>
        <w:rPr>
          <w:b/>
          <w:sz w:val="24"/>
        </w:rPr>
      </w:pPr>
      <w:r>
        <w:rPr>
          <w:b/>
          <w:sz w:val="24"/>
          <w:u w:val="thick"/>
        </w:rPr>
        <w:t>Sub-Committee of the Governing Body – Terms of Reference</w:t>
      </w:r>
    </w:p>
    <w:p w14:paraId="564F0619" w14:textId="77777777" w:rsidR="00451C2F" w:rsidRDefault="00451C2F">
      <w:pPr>
        <w:pStyle w:val="BodyText"/>
        <w:spacing w:before="4"/>
        <w:ind w:left="0" w:firstLine="0"/>
        <w:rPr>
          <w:b/>
          <w:sz w:val="23"/>
        </w:rPr>
      </w:pPr>
    </w:p>
    <w:p w14:paraId="30A9D53C" w14:textId="3DF1BDF5" w:rsidR="00451C2F" w:rsidRDefault="008565F7">
      <w:pPr>
        <w:spacing w:before="93"/>
        <w:ind w:left="3333" w:right="3692"/>
        <w:jc w:val="center"/>
        <w:rPr>
          <w:b/>
          <w:sz w:val="20"/>
        </w:rPr>
      </w:pPr>
      <w:r>
        <w:rPr>
          <w:b/>
          <w:sz w:val="20"/>
          <w:u w:val="thick"/>
        </w:rPr>
        <w:t xml:space="preserve">Finance </w:t>
      </w:r>
      <w:r w:rsidR="000E796C">
        <w:rPr>
          <w:b/>
          <w:sz w:val="20"/>
          <w:u w:val="thick"/>
        </w:rPr>
        <w:t xml:space="preserve">and Audit </w:t>
      </w:r>
      <w:r>
        <w:rPr>
          <w:b/>
          <w:sz w:val="20"/>
          <w:u w:val="thick"/>
        </w:rPr>
        <w:t>Committee</w:t>
      </w:r>
    </w:p>
    <w:p w14:paraId="7E6624B4" w14:textId="77777777" w:rsidR="00451C2F" w:rsidRDefault="00451C2F">
      <w:pPr>
        <w:pStyle w:val="BodyText"/>
        <w:spacing w:before="5"/>
        <w:ind w:left="0" w:firstLine="0"/>
        <w:rPr>
          <w:b/>
        </w:rPr>
      </w:pPr>
    </w:p>
    <w:p w14:paraId="2F9AF94A" w14:textId="723A4496" w:rsidR="00451C2F" w:rsidRDefault="008565F7">
      <w:pPr>
        <w:pStyle w:val="ListParagraph"/>
        <w:numPr>
          <w:ilvl w:val="0"/>
          <w:numId w:val="2"/>
        </w:numPr>
        <w:tabs>
          <w:tab w:val="left" w:pos="481"/>
        </w:tabs>
        <w:spacing w:before="94" w:line="285" w:lineRule="auto"/>
        <w:ind w:right="118"/>
      </w:pPr>
      <w:r>
        <w:t>The</w:t>
      </w:r>
      <w:r>
        <w:rPr>
          <w:spacing w:val="-11"/>
        </w:rPr>
        <w:t xml:space="preserve"> </w:t>
      </w:r>
      <w:r>
        <w:t>Finance</w:t>
      </w:r>
      <w:r>
        <w:rPr>
          <w:spacing w:val="-13"/>
        </w:rPr>
        <w:t xml:space="preserve"> </w:t>
      </w:r>
      <w:r w:rsidR="000E796C">
        <w:rPr>
          <w:spacing w:val="-13"/>
        </w:rPr>
        <w:t xml:space="preserve">and Audit </w:t>
      </w:r>
      <w:r>
        <w:t>Sub-Committee</w:t>
      </w:r>
      <w:r>
        <w:rPr>
          <w:spacing w:val="-12"/>
        </w:rPr>
        <w:t xml:space="preserve"> </w:t>
      </w:r>
      <w:r>
        <w:t>(“the</w:t>
      </w:r>
      <w:r>
        <w:rPr>
          <w:spacing w:val="-10"/>
        </w:rPr>
        <w:t xml:space="preserve"> </w:t>
      </w:r>
      <w:r>
        <w:t>Sub-Committee”)</w:t>
      </w:r>
      <w:r>
        <w:rPr>
          <w:spacing w:val="-10"/>
        </w:rPr>
        <w:t xml:space="preserve"> </w:t>
      </w:r>
      <w:r>
        <w:t>is</w:t>
      </w:r>
      <w:r>
        <w:rPr>
          <w:spacing w:val="-12"/>
        </w:rPr>
        <w:t xml:space="preserve"> </w:t>
      </w:r>
      <w:r>
        <w:t>a</w:t>
      </w:r>
      <w:r>
        <w:rPr>
          <w:spacing w:val="-10"/>
        </w:rPr>
        <w:t xml:space="preserve"> </w:t>
      </w:r>
      <w:r>
        <w:t>committee</w:t>
      </w:r>
      <w:r>
        <w:rPr>
          <w:spacing w:val="-13"/>
        </w:rPr>
        <w:t xml:space="preserve"> </w:t>
      </w:r>
      <w:r>
        <w:t>established</w:t>
      </w:r>
      <w:r>
        <w:rPr>
          <w:spacing w:val="-10"/>
        </w:rPr>
        <w:t xml:space="preserve"> </w:t>
      </w:r>
      <w:r>
        <w:t>by</w:t>
      </w:r>
      <w:r>
        <w:rPr>
          <w:spacing w:val="-12"/>
        </w:rPr>
        <w:t xml:space="preserve"> </w:t>
      </w:r>
      <w:r>
        <w:t>the Governing Body</w:t>
      </w:r>
    </w:p>
    <w:p w14:paraId="675A54F0" w14:textId="77777777" w:rsidR="00451C2F" w:rsidRDefault="008565F7">
      <w:pPr>
        <w:pStyle w:val="ListParagraph"/>
        <w:numPr>
          <w:ilvl w:val="0"/>
          <w:numId w:val="2"/>
        </w:numPr>
        <w:tabs>
          <w:tab w:val="left" w:pos="481"/>
        </w:tabs>
        <w:spacing w:line="285" w:lineRule="auto"/>
        <w:ind w:right="114"/>
      </w:pPr>
      <w:r>
        <w:t>The Sub-committee shall comprise of at least four Governors, including the Headteacher. The School Business Manager will be invited to attend the Sub- Committee</w:t>
      </w:r>
      <w:r>
        <w:rPr>
          <w:spacing w:val="-3"/>
        </w:rPr>
        <w:t xml:space="preserve"> </w:t>
      </w:r>
      <w:r>
        <w:t>meetings.</w:t>
      </w:r>
    </w:p>
    <w:p w14:paraId="0F7958DA" w14:textId="77777777" w:rsidR="00451C2F" w:rsidRDefault="008565F7">
      <w:pPr>
        <w:pStyle w:val="ListParagraph"/>
        <w:numPr>
          <w:ilvl w:val="0"/>
          <w:numId w:val="2"/>
        </w:numPr>
        <w:tabs>
          <w:tab w:val="left" w:pos="481"/>
        </w:tabs>
        <w:spacing w:line="285" w:lineRule="auto"/>
        <w:ind w:right="117"/>
      </w:pPr>
      <w:r>
        <w:t>The quorum for a meeting of the Sub-committee shall be three members or one third of the membership (rounded up to a whole number), whichever is</w:t>
      </w:r>
      <w:r>
        <w:rPr>
          <w:spacing w:val="-10"/>
        </w:rPr>
        <w:t xml:space="preserve"> </w:t>
      </w:r>
      <w:r>
        <w:t>greater.</w:t>
      </w:r>
    </w:p>
    <w:p w14:paraId="3D52589F" w14:textId="77777777" w:rsidR="00451C2F" w:rsidRDefault="008565F7">
      <w:pPr>
        <w:pStyle w:val="ListParagraph"/>
        <w:numPr>
          <w:ilvl w:val="0"/>
          <w:numId w:val="2"/>
        </w:numPr>
        <w:tabs>
          <w:tab w:val="left" w:pos="481"/>
        </w:tabs>
        <w:spacing w:line="251" w:lineRule="exact"/>
      </w:pPr>
      <w:r>
        <w:t>The</w:t>
      </w:r>
      <w:r>
        <w:rPr>
          <w:spacing w:val="-16"/>
        </w:rPr>
        <w:t xml:space="preserve"> </w:t>
      </w:r>
      <w:r>
        <w:t>Sub-Committee</w:t>
      </w:r>
      <w:r>
        <w:rPr>
          <w:spacing w:val="-15"/>
        </w:rPr>
        <w:t xml:space="preserve"> </w:t>
      </w:r>
      <w:r>
        <w:t>shall</w:t>
      </w:r>
      <w:r>
        <w:rPr>
          <w:spacing w:val="-16"/>
        </w:rPr>
        <w:t xml:space="preserve"> </w:t>
      </w:r>
      <w:r>
        <w:t>annually</w:t>
      </w:r>
      <w:r>
        <w:rPr>
          <w:spacing w:val="-16"/>
        </w:rPr>
        <w:t xml:space="preserve"> </w:t>
      </w:r>
      <w:r>
        <w:t>appoint</w:t>
      </w:r>
      <w:r>
        <w:rPr>
          <w:spacing w:val="-14"/>
        </w:rPr>
        <w:t xml:space="preserve"> </w:t>
      </w:r>
      <w:r>
        <w:t>a</w:t>
      </w:r>
      <w:r>
        <w:rPr>
          <w:spacing w:val="-15"/>
        </w:rPr>
        <w:t xml:space="preserve"> </w:t>
      </w:r>
      <w:r>
        <w:t>Chair</w:t>
      </w:r>
      <w:r>
        <w:rPr>
          <w:spacing w:val="-16"/>
        </w:rPr>
        <w:t xml:space="preserve"> </w:t>
      </w:r>
      <w:r>
        <w:t>for</w:t>
      </w:r>
      <w:r>
        <w:rPr>
          <w:spacing w:val="-17"/>
        </w:rPr>
        <w:t xml:space="preserve"> </w:t>
      </w:r>
      <w:r>
        <w:t>meetings</w:t>
      </w:r>
      <w:r>
        <w:rPr>
          <w:spacing w:val="-16"/>
        </w:rPr>
        <w:t xml:space="preserve"> </w:t>
      </w:r>
      <w:r>
        <w:t>of</w:t>
      </w:r>
      <w:r>
        <w:rPr>
          <w:spacing w:val="-14"/>
        </w:rPr>
        <w:t xml:space="preserve"> </w:t>
      </w:r>
      <w:r>
        <w:t>the</w:t>
      </w:r>
      <w:r>
        <w:rPr>
          <w:spacing w:val="-15"/>
        </w:rPr>
        <w:t xml:space="preserve"> </w:t>
      </w:r>
      <w:r>
        <w:t>Sub-Committee.</w:t>
      </w:r>
    </w:p>
    <w:p w14:paraId="1B1E92CC" w14:textId="77777777" w:rsidR="00451C2F" w:rsidRDefault="008565F7">
      <w:pPr>
        <w:pStyle w:val="ListParagraph"/>
        <w:numPr>
          <w:ilvl w:val="0"/>
          <w:numId w:val="2"/>
        </w:numPr>
        <w:tabs>
          <w:tab w:val="left" w:pos="481"/>
        </w:tabs>
        <w:spacing w:before="41" w:line="285" w:lineRule="auto"/>
        <w:ind w:right="115"/>
      </w:pPr>
      <w:r>
        <w:t>The Governing Body shall delegate to the Sub-committee such financial functions as it sees fit, subject to any other statutory provision concerning the exercise of</w:t>
      </w:r>
      <w:r>
        <w:rPr>
          <w:spacing w:val="-43"/>
        </w:rPr>
        <w:t xml:space="preserve"> </w:t>
      </w:r>
      <w:r>
        <w:t>functions on behalf of the Governing Body.</w:t>
      </w:r>
    </w:p>
    <w:p w14:paraId="7EF25713" w14:textId="77777777" w:rsidR="00451C2F" w:rsidRDefault="008565F7">
      <w:pPr>
        <w:pStyle w:val="ListParagraph"/>
        <w:numPr>
          <w:ilvl w:val="0"/>
          <w:numId w:val="2"/>
        </w:numPr>
        <w:tabs>
          <w:tab w:val="left" w:pos="481"/>
        </w:tabs>
        <w:spacing w:line="285" w:lineRule="auto"/>
        <w:ind w:right="118"/>
      </w:pPr>
      <w:r>
        <w:t>The role of the Sub-Committee in terms of Financials Systems and Controls is summarised in Section 2 of the Financial Regulations. The main responsibilities include:</w:t>
      </w:r>
    </w:p>
    <w:p w14:paraId="3203723C" w14:textId="77777777" w:rsidR="00451C2F" w:rsidRDefault="008565F7">
      <w:pPr>
        <w:pStyle w:val="ListParagraph"/>
        <w:numPr>
          <w:ilvl w:val="1"/>
          <w:numId w:val="2"/>
        </w:numPr>
        <w:tabs>
          <w:tab w:val="left" w:pos="840"/>
          <w:tab w:val="left" w:pos="841"/>
        </w:tabs>
        <w:spacing w:line="250" w:lineRule="exact"/>
        <w:jc w:val="left"/>
      </w:pPr>
      <w:r>
        <w:t>the initial review and authorisation of the annual</w:t>
      </w:r>
      <w:r>
        <w:rPr>
          <w:spacing w:val="-9"/>
        </w:rPr>
        <w:t xml:space="preserve"> </w:t>
      </w:r>
      <w:r>
        <w:t>budget;</w:t>
      </w:r>
    </w:p>
    <w:p w14:paraId="494224DD" w14:textId="77777777" w:rsidR="00451C2F" w:rsidRDefault="008565F7">
      <w:pPr>
        <w:pStyle w:val="ListParagraph"/>
        <w:numPr>
          <w:ilvl w:val="1"/>
          <w:numId w:val="2"/>
        </w:numPr>
        <w:tabs>
          <w:tab w:val="left" w:pos="840"/>
          <w:tab w:val="left" w:pos="841"/>
        </w:tabs>
        <w:spacing w:before="45"/>
        <w:jc w:val="left"/>
      </w:pPr>
      <w:r>
        <w:t>the regular monitoring of actual expenditure and income against</w:t>
      </w:r>
      <w:r>
        <w:rPr>
          <w:spacing w:val="-10"/>
        </w:rPr>
        <w:t xml:space="preserve"> </w:t>
      </w:r>
      <w:r>
        <w:t>budget;</w:t>
      </w:r>
    </w:p>
    <w:p w14:paraId="098D0D8D" w14:textId="77777777" w:rsidR="00451C2F" w:rsidRDefault="008565F7">
      <w:pPr>
        <w:pStyle w:val="ListParagraph"/>
        <w:numPr>
          <w:ilvl w:val="1"/>
          <w:numId w:val="2"/>
        </w:numPr>
        <w:tabs>
          <w:tab w:val="left" w:pos="840"/>
          <w:tab w:val="left" w:pos="841"/>
        </w:tabs>
        <w:spacing w:before="47" w:line="285" w:lineRule="auto"/>
        <w:ind w:right="113"/>
        <w:jc w:val="left"/>
      </w:pPr>
      <w:r>
        <w:t>ensuring the annual accounts are produced in accordance with the requirements of the Companies Act 2006 and the DfE guidance issued to</w:t>
      </w:r>
      <w:r>
        <w:rPr>
          <w:spacing w:val="-8"/>
        </w:rPr>
        <w:t xml:space="preserve"> </w:t>
      </w:r>
      <w:r>
        <w:t>academies;</w:t>
      </w:r>
    </w:p>
    <w:p w14:paraId="034D96D8" w14:textId="77777777" w:rsidR="00451C2F" w:rsidRDefault="008565F7">
      <w:pPr>
        <w:pStyle w:val="ListParagraph"/>
        <w:numPr>
          <w:ilvl w:val="1"/>
          <w:numId w:val="2"/>
        </w:numPr>
        <w:tabs>
          <w:tab w:val="left" w:pos="840"/>
          <w:tab w:val="left" w:pos="841"/>
        </w:tabs>
        <w:spacing w:line="251" w:lineRule="exact"/>
        <w:jc w:val="left"/>
      </w:pPr>
      <w:r>
        <w:t>authorising the award of contracts over</w:t>
      </w:r>
      <w:r>
        <w:rPr>
          <w:spacing w:val="-2"/>
        </w:rPr>
        <w:t xml:space="preserve"> </w:t>
      </w:r>
      <w:r>
        <w:t>£5,000</w:t>
      </w:r>
    </w:p>
    <w:p w14:paraId="52A08DEC" w14:textId="77777777" w:rsidR="00451C2F" w:rsidRDefault="008565F7">
      <w:pPr>
        <w:pStyle w:val="ListParagraph"/>
        <w:numPr>
          <w:ilvl w:val="1"/>
          <w:numId w:val="2"/>
        </w:numPr>
        <w:tabs>
          <w:tab w:val="left" w:pos="840"/>
          <w:tab w:val="left" w:pos="841"/>
        </w:tabs>
        <w:spacing w:before="47"/>
        <w:jc w:val="left"/>
      </w:pPr>
      <w:r>
        <w:t>authorising changes to the academy personnel establishment</w:t>
      </w:r>
      <w:r>
        <w:rPr>
          <w:spacing w:val="-10"/>
        </w:rPr>
        <w:t xml:space="preserve"> </w:t>
      </w:r>
      <w:r>
        <w:t>and</w:t>
      </w:r>
    </w:p>
    <w:p w14:paraId="74716C14" w14:textId="77777777" w:rsidR="00451C2F" w:rsidRDefault="008565F7">
      <w:pPr>
        <w:pStyle w:val="ListParagraph"/>
        <w:numPr>
          <w:ilvl w:val="1"/>
          <w:numId w:val="2"/>
        </w:numPr>
        <w:tabs>
          <w:tab w:val="left" w:pos="840"/>
          <w:tab w:val="left" w:pos="841"/>
        </w:tabs>
        <w:spacing w:before="47"/>
        <w:jc w:val="left"/>
      </w:pPr>
      <w:r>
        <w:t>reviewing reports on the effectiveness of the financial procedures and</w:t>
      </w:r>
      <w:r>
        <w:rPr>
          <w:spacing w:val="-18"/>
        </w:rPr>
        <w:t xml:space="preserve"> </w:t>
      </w:r>
      <w:r>
        <w:t>controls.</w:t>
      </w:r>
    </w:p>
    <w:p w14:paraId="3E4C27D6" w14:textId="77777777" w:rsidR="00451C2F" w:rsidRDefault="008565F7">
      <w:pPr>
        <w:pStyle w:val="ListParagraph"/>
        <w:numPr>
          <w:ilvl w:val="1"/>
          <w:numId w:val="2"/>
        </w:numPr>
        <w:tabs>
          <w:tab w:val="left" w:pos="840"/>
          <w:tab w:val="left" w:pos="841"/>
        </w:tabs>
        <w:spacing w:before="47" w:line="285" w:lineRule="auto"/>
        <w:ind w:right="121"/>
        <w:jc w:val="left"/>
      </w:pPr>
      <w:r>
        <w:t>Approving items not included within the budget in line with the following procedures:</w:t>
      </w:r>
    </w:p>
    <w:p w14:paraId="0AA11E3A" w14:textId="77777777" w:rsidR="00451C2F" w:rsidRDefault="008565F7">
      <w:pPr>
        <w:pStyle w:val="ListParagraph"/>
        <w:numPr>
          <w:ilvl w:val="0"/>
          <w:numId w:val="1"/>
        </w:numPr>
        <w:tabs>
          <w:tab w:val="left" w:pos="1201"/>
        </w:tabs>
        <w:spacing w:line="285" w:lineRule="auto"/>
        <w:ind w:right="119"/>
      </w:pPr>
      <w:r>
        <w:t>Individual items or a series of connected items not exceeding £1,500 will be approved at the discretion of the Headteacher but reported quarterly to the Governing Body</w:t>
      </w:r>
    </w:p>
    <w:p w14:paraId="6211569C" w14:textId="77777777" w:rsidR="00451C2F" w:rsidRDefault="008565F7">
      <w:pPr>
        <w:pStyle w:val="ListParagraph"/>
        <w:numPr>
          <w:ilvl w:val="0"/>
          <w:numId w:val="1"/>
        </w:numPr>
        <w:tabs>
          <w:tab w:val="left" w:pos="1201"/>
        </w:tabs>
        <w:spacing w:line="285" w:lineRule="auto"/>
        <w:ind w:right="115"/>
      </w:pPr>
      <w:r>
        <w:t>As</w:t>
      </w:r>
      <w:r>
        <w:rPr>
          <w:spacing w:val="-11"/>
        </w:rPr>
        <w:t xml:space="preserve"> </w:t>
      </w:r>
      <w:r>
        <w:t>above</w:t>
      </w:r>
      <w:r>
        <w:rPr>
          <w:spacing w:val="-10"/>
        </w:rPr>
        <w:t xml:space="preserve"> </w:t>
      </w:r>
      <w:r>
        <w:t>but</w:t>
      </w:r>
      <w:r>
        <w:rPr>
          <w:spacing w:val="-9"/>
        </w:rPr>
        <w:t xml:space="preserve"> </w:t>
      </w:r>
      <w:r>
        <w:t>between</w:t>
      </w:r>
      <w:r>
        <w:rPr>
          <w:spacing w:val="-11"/>
        </w:rPr>
        <w:t xml:space="preserve"> </w:t>
      </w:r>
      <w:r>
        <w:t>£1,500</w:t>
      </w:r>
      <w:r>
        <w:rPr>
          <w:spacing w:val="-10"/>
        </w:rPr>
        <w:t xml:space="preserve"> </w:t>
      </w:r>
      <w:r>
        <w:t>and</w:t>
      </w:r>
      <w:r>
        <w:rPr>
          <w:spacing w:val="-9"/>
        </w:rPr>
        <w:t xml:space="preserve"> </w:t>
      </w:r>
      <w:r>
        <w:t>£5,000</w:t>
      </w:r>
      <w:r>
        <w:rPr>
          <w:spacing w:val="-10"/>
        </w:rPr>
        <w:t xml:space="preserve"> </w:t>
      </w:r>
      <w:r>
        <w:t>prior</w:t>
      </w:r>
      <w:r>
        <w:rPr>
          <w:spacing w:val="-10"/>
        </w:rPr>
        <w:t xml:space="preserve"> </w:t>
      </w:r>
      <w:r>
        <w:t>approval</w:t>
      </w:r>
      <w:r>
        <w:rPr>
          <w:spacing w:val="-11"/>
        </w:rPr>
        <w:t xml:space="preserve"> </w:t>
      </w:r>
      <w:r>
        <w:t>must</w:t>
      </w:r>
      <w:r>
        <w:rPr>
          <w:spacing w:val="-9"/>
        </w:rPr>
        <w:t xml:space="preserve"> </w:t>
      </w:r>
      <w:r>
        <w:t>be</w:t>
      </w:r>
      <w:r>
        <w:rPr>
          <w:spacing w:val="-13"/>
        </w:rPr>
        <w:t xml:space="preserve"> </w:t>
      </w:r>
      <w:r>
        <w:t>sought</w:t>
      </w:r>
      <w:r>
        <w:rPr>
          <w:spacing w:val="-10"/>
        </w:rPr>
        <w:t xml:space="preserve"> </w:t>
      </w:r>
      <w:r>
        <w:t>by</w:t>
      </w:r>
      <w:r>
        <w:rPr>
          <w:spacing w:val="-13"/>
        </w:rPr>
        <w:t xml:space="preserve"> </w:t>
      </w:r>
      <w:r>
        <w:t>the Sub-committee and reported quarterly to the Governing</w:t>
      </w:r>
      <w:r>
        <w:rPr>
          <w:spacing w:val="-14"/>
        </w:rPr>
        <w:t xml:space="preserve"> </w:t>
      </w:r>
      <w:r>
        <w:t>Body</w:t>
      </w:r>
    </w:p>
    <w:p w14:paraId="21349BAB" w14:textId="1844B08B" w:rsidR="000E796C" w:rsidRDefault="008565F7" w:rsidP="000E796C">
      <w:pPr>
        <w:pStyle w:val="ListParagraph"/>
        <w:numPr>
          <w:ilvl w:val="0"/>
          <w:numId w:val="1"/>
        </w:numPr>
        <w:tabs>
          <w:tab w:val="left" w:pos="1201"/>
        </w:tabs>
        <w:spacing w:line="285" w:lineRule="auto"/>
        <w:ind w:right="116"/>
      </w:pPr>
      <w:r>
        <w:t>Items exceeding £5,000 prior approval by the appropriate Sub-committee and the Governing</w:t>
      </w:r>
      <w:r>
        <w:rPr>
          <w:spacing w:val="-3"/>
        </w:rPr>
        <w:t xml:space="preserve"> </w:t>
      </w:r>
      <w:r>
        <w:t>Body.</w:t>
      </w:r>
    </w:p>
    <w:p w14:paraId="0FAD3962" w14:textId="77777777" w:rsidR="000E796C" w:rsidRDefault="000E796C">
      <w:pPr>
        <w:pStyle w:val="ListParagraph"/>
        <w:numPr>
          <w:ilvl w:val="0"/>
          <w:numId w:val="2"/>
        </w:numPr>
        <w:tabs>
          <w:tab w:val="left" w:pos="481"/>
        </w:tabs>
        <w:spacing w:line="285" w:lineRule="auto"/>
        <w:ind w:right="114"/>
      </w:pPr>
      <w:r>
        <w:t>The role of the Sub-Committee in terms of Audit related responsibilities is as follows:</w:t>
      </w:r>
    </w:p>
    <w:p w14:paraId="0A0022B5" w14:textId="5ABE7FCA" w:rsidR="000E796C" w:rsidRDefault="000E796C" w:rsidP="000E796C">
      <w:pPr>
        <w:pStyle w:val="ListParagraph"/>
        <w:numPr>
          <w:ilvl w:val="0"/>
          <w:numId w:val="3"/>
        </w:numPr>
        <w:tabs>
          <w:tab w:val="left" w:pos="481"/>
        </w:tabs>
        <w:spacing w:line="285" w:lineRule="auto"/>
        <w:ind w:right="114"/>
      </w:pPr>
      <w:r>
        <w:t>advise the governing body on the adequacy and effectiveness of the Academy Trust’s systems of internal control and its arrangements for risk management, control and governance processes, and securing economy, efficiency and effectiveness (value for money);</w:t>
      </w:r>
    </w:p>
    <w:p w14:paraId="30A71E0B" w14:textId="7DCF9FE4" w:rsidR="000E796C" w:rsidRDefault="000E796C" w:rsidP="000E796C">
      <w:pPr>
        <w:pStyle w:val="ListParagraph"/>
        <w:numPr>
          <w:ilvl w:val="0"/>
          <w:numId w:val="3"/>
        </w:numPr>
        <w:tabs>
          <w:tab w:val="left" w:pos="481"/>
        </w:tabs>
        <w:spacing w:line="285" w:lineRule="auto"/>
        <w:ind w:right="114"/>
      </w:pPr>
      <w:r>
        <w:t>review the statement on internal control and make appropriate recommendations to the governing body;</w:t>
      </w:r>
    </w:p>
    <w:p w14:paraId="080189F5" w14:textId="00CCF616" w:rsidR="000E796C" w:rsidRDefault="000E796C" w:rsidP="000E796C">
      <w:pPr>
        <w:pStyle w:val="ListParagraph"/>
        <w:numPr>
          <w:ilvl w:val="0"/>
          <w:numId w:val="3"/>
        </w:numPr>
        <w:tabs>
          <w:tab w:val="left" w:pos="481"/>
        </w:tabs>
        <w:spacing w:line="285" w:lineRule="auto"/>
        <w:ind w:right="114"/>
      </w:pPr>
      <w:r>
        <w:t>advise the governing body on the appointment, reappointment, dismissal and remuneration of auditors (both external auditors and internal audit);</w:t>
      </w:r>
    </w:p>
    <w:p w14:paraId="76CEB4D5" w14:textId="6615A31A" w:rsidR="000E796C" w:rsidRDefault="000E796C" w:rsidP="000E796C">
      <w:pPr>
        <w:pStyle w:val="ListParagraph"/>
        <w:numPr>
          <w:ilvl w:val="0"/>
          <w:numId w:val="3"/>
        </w:numPr>
        <w:tabs>
          <w:tab w:val="left" w:pos="481"/>
        </w:tabs>
        <w:spacing w:line="285" w:lineRule="auto"/>
        <w:ind w:right="114"/>
      </w:pPr>
      <w:r>
        <w:lastRenderedPageBreak/>
        <w:t>monitor the effectiveness of auditors,</w:t>
      </w:r>
    </w:p>
    <w:p w14:paraId="526F30EE" w14:textId="7CE6A237" w:rsidR="000E796C" w:rsidRDefault="000E796C" w:rsidP="000E796C">
      <w:pPr>
        <w:pStyle w:val="ListParagraph"/>
        <w:numPr>
          <w:ilvl w:val="0"/>
          <w:numId w:val="3"/>
        </w:numPr>
        <w:tabs>
          <w:tab w:val="left" w:pos="481"/>
        </w:tabs>
        <w:spacing w:line="285" w:lineRule="auto"/>
        <w:ind w:right="114"/>
      </w:pPr>
      <w:r>
        <w:t>ensure that additional services undertaken by the auditors is compatible with the audit independence and objectivity;</w:t>
      </w:r>
    </w:p>
    <w:p w14:paraId="4FED358E" w14:textId="43D1C13A" w:rsidR="000E796C" w:rsidRDefault="000E796C" w:rsidP="000E796C">
      <w:pPr>
        <w:pStyle w:val="ListParagraph"/>
        <w:numPr>
          <w:ilvl w:val="0"/>
          <w:numId w:val="3"/>
        </w:numPr>
        <w:tabs>
          <w:tab w:val="left" w:pos="481"/>
        </w:tabs>
        <w:spacing w:line="285" w:lineRule="auto"/>
        <w:ind w:right="114"/>
      </w:pPr>
      <w:r>
        <w:t>agree the work programme of internal audit including the checking of financial controls, systems, transactions and risks;</w:t>
      </w:r>
    </w:p>
    <w:p w14:paraId="774998EB" w14:textId="15F90B92" w:rsidR="000E796C" w:rsidRDefault="000E796C" w:rsidP="000E796C">
      <w:pPr>
        <w:pStyle w:val="ListParagraph"/>
        <w:numPr>
          <w:ilvl w:val="0"/>
          <w:numId w:val="3"/>
        </w:numPr>
        <w:tabs>
          <w:tab w:val="left" w:pos="481"/>
        </w:tabs>
        <w:spacing w:line="285" w:lineRule="auto"/>
        <w:ind w:right="114"/>
      </w:pPr>
      <w:r>
        <w:t>consider the reports of the auditors and, when appropriate, advise the governing body of material controls issues;</w:t>
      </w:r>
    </w:p>
    <w:p w14:paraId="06C90F12" w14:textId="7382CFD5" w:rsidR="000E796C" w:rsidRDefault="000E796C" w:rsidP="000E796C">
      <w:pPr>
        <w:pStyle w:val="ListParagraph"/>
        <w:numPr>
          <w:ilvl w:val="0"/>
          <w:numId w:val="3"/>
        </w:numPr>
        <w:tabs>
          <w:tab w:val="left" w:pos="481"/>
        </w:tabs>
        <w:spacing w:line="285" w:lineRule="auto"/>
        <w:ind w:right="114"/>
      </w:pPr>
      <w:r>
        <w:t>monitor the implementation of agreed audit recommendations;</w:t>
      </w:r>
    </w:p>
    <w:p w14:paraId="2EB9149E" w14:textId="2EE0E5CA" w:rsidR="000E796C" w:rsidRDefault="000E796C" w:rsidP="000E796C">
      <w:pPr>
        <w:pStyle w:val="ListParagraph"/>
        <w:numPr>
          <w:ilvl w:val="0"/>
          <w:numId w:val="3"/>
        </w:numPr>
        <w:tabs>
          <w:tab w:val="left" w:pos="481"/>
        </w:tabs>
        <w:spacing w:line="285" w:lineRule="auto"/>
        <w:ind w:right="114"/>
      </w:pPr>
      <w:r>
        <w:t>ensure that all allegations of fraud and irregularity are appropriately investigated, and controls weaknesses addressed;</w:t>
      </w:r>
    </w:p>
    <w:p w14:paraId="1F2F7ABA" w14:textId="56AEBE84" w:rsidR="000E796C" w:rsidRDefault="000E796C" w:rsidP="000E796C">
      <w:pPr>
        <w:pStyle w:val="ListParagraph"/>
        <w:numPr>
          <w:ilvl w:val="0"/>
          <w:numId w:val="3"/>
        </w:numPr>
        <w:tabs>
          <w:tab w:val="left" w:pos="481"/>
        </w:tabs>
        <w:spacing w:line="285" w:lineRule="auto"/>
        <w:ind w:right="114"/>
      </w:pPr>
      <w:r>
        <w:t>recommend the annual financial statements to the governing body for approval</w:t>
      </w:r>
    </w:p>
    <w:p w14:paraId="3806E0E2" w14:textId="60362DCC" w:rsidR="00744E32" w:rsidRDefault="000E796C" w:rsidP="00744E32">
      <w:pPr>
        <w:pStyle w:val="ListParagraph"/>
        <w:numPr>
          <w:ilvl w:val="0"/>
          <w:numId w:val="3"/>
        </w:numPr>
        <w:tabs>
          <w:tab w:val="left" w:pos="481"/>
        </w:tabs>
        <w:spacing w:line="285" w:lineRule="auto"/>
        <w:ind w:right="114"/>
      </w:pPr>
      <w:r>
        <w:t>review the committee’s membership and effectiveness on an annual basis to ensure that it has appropriate skills and relevant experience.</w:t>
      </w:r>
    </w:p>
    <w:p w14:paraId="73ACEE84" w14:textId="77777777" w:rsidR="000E796C" w:rsidRDefault="000E796C" w:rsidP="000E796C">
      <w:pPr>
        <w:tabs>
          <w:tab w:val="left" w:pos="481"/>
        </w:tabs>
        <w:spacing w:line="285" w:lineRule="auto"/>
        <w:ind w:left="481" w:right="114"/>
      </w:pPr>
    </w:p>
    <w:p w14:paraId="18F506A0" w14:textId="4E53B560" w:rsidR="00744E32" w:rsidRDefault="00744E32" w:rsidP="00744E32">
      <w:pPr>
        <w:pStyle w:val="ListParagraph"/>
        <w:numPr>
          <w:ilvl w:val="0"/>
          <w:numId w:val="2"/>
        </w:numPr>
        <w:tabs>
          <w:tab w:val="left" w:pos="481"/>
        </w:tabs>
        <w:spacing w:line="285" w:lineRule="auto"/>
        <w:ind w:right="114"/>
      </w:pPr>
      <w:r>
        <w:t>The Finance and Audit Sub-Committee will review the Risk Register at each meeting.</w:t>
      </w:r>
    </w:p>
    <w:p w14:paraId="4E2E0931" w14:textId="1987E685" w:rsidR="00451C2F" w:rsidRDefault="008565F7">
      <w:pPr>
        <w:pStyle w:val="ListParagraph"/>
        <w:numPr>
          <w:ilvl w:val="0"/>
          <w:numId w:val="2"/>
        </w:numPr>
        <w:tabs>
          <w:tab w:val="left" w:pos="481"/>
        </w:tabs>
        <w:spacing w:line="285" w:lineRule="auto"/>
        <w:ind w:right="114"/>
      </w:pPr>
      <w:r>
        <w:t xml:space="preserve">The Finance </w:t>
      </w:r>
      <w:r w:rsidR="000E796C">
        <w:t xml:space="preserve">and Audit </w:t>
      </w:r>
      <w:r>
        <w:t>Sub-Committee will meet at least once a term. The timing of such meetings is to be agreed in line with the EFA reporting</w:t>
      </w:r>
      <w:r>
        <w:rPr>
          <w:spacing w:val="-15"/>
        </w:rPr>
        <w:t xml:space="preserve"> </w:t>
      </w:r>
      <w:r>
        <w:t>timetable.</w:t>
      </w:r>
    </w:p>
    <w:p w14:paraId="572380FB" w14:textId="77777777" w:rsidR="00451C2F" w:rsidRDefault="008565F7">
      <w:pPr>
        <w:pStyle w:val="ListParagraph"/>
        <w:numPr>
          <w:ilvl w:val="0"/>
          <w:numId w:val="2"/>
        </w:numPr>
        <w:tabs>
          <w:tab w:val="left" w:pos="481"/>
        </w:tabs>
        <w:spacing w:line="285" w:lineRule="auto"/>
        <w:ind w:right="122"/>
      </w:pPr>
      <w:r>
        <w:t>The Governing Body shall annually review the constitution, membership and terms of reference for the</w:t>
      </w:r>
      <w:r>
        <w:rPr>
          <w:spacing w:val="-6"/>
        </w:rPr>
        <w:t xml:space="preserve"> </w:t>
      </w:r>
      <w:r>
        <w:t>Sub-Committee.</w:t>
      </w:r>
    </w:p>
    <w:p w14:paraId="5CBCCD27" w14:textId="160B75EC" w:rsidR="000E796C" w:rsidRDefault="00AB1B69" w:rsidP="000E796C">
      <w:pPr>
        <w:pStyle w:val="ListParagraph"/>
        <w:numPr>
          <w:ilvl w:val="0"/>
          <w:numId w:val="2"/>
        </w:numPr>
        <w:tabs>
          <w:tab w:val="left" w:pos="481"/>
        </w:tabs>
        <w:spacing w:before="9"/>
        <w:ind w:left="425" w:right="941" w:hanging="306"/>
      </w:pPr>
      <w:r>
        <w:t>In the academic year 202</w:t>
      </w:r>
      <w:r w:rsidR="007C7389">
        <w:t>1</w:t>
      </w:r>
      <w:r>
        <w:t>/202</w:t>
      </w:r>
      <w:r w:rsidR="007C7389">
        <w:t>2</w:t>
      </w:r>
      <w:r w:rsidR="008565F7">
        <w:t xml:space="preserve">, the Finance </w:t>
      </w:r>
      <w:r w:rsidR="000E796C">
        <w:t xml:space="preserve">and Audit </w:t>
      </w:r>
      <w:r w:rsidR="008565F7">
        <w:t>Sub-committee shall</w:t>
      </w:r>
      <w:r w:rsidR="000E796C">
        <w:t xml:space="preserve"> c</w:t>
      </w:r>
      <w:r w:rsidR="008565F7">
        <w:t xml:space="preserve">omprise: </w:t>
      </w:r>
    </w:p>
    <w:p w14:paraId="5729B077" w14:textId="77777777" w:rsidR="000E796C" w:rsidRDefault="000E796C" w:rsidP="000E796C">
      <w:pPr>
        <w:tabs>
          <w:tab w:val="left" w:pos="481"/>
        </w:tabs>
        <w:spacing w:before="9"/>
        <w:ind w:right="941"/>
      </w:pPr>
    </w:p>
    <w:p w14:paraId="0817F168" w14:textId="52173499" w:rsidR="00451C2F" w:rsidRDefault="008565F7" w:rsidP="000E796C">
      <w:pPr>
        <w:tabs>
          <w:tab w:val="left" w:pos="481"/>
        </w:tabs>
        <w:spacing w:before="9"/>
        <w:ind w:left="426" w:right="941"/>
      </w:pPr>
      <w:r>
        <w:t>Mr. P. Terry</w:t>
      </w:r>
      <w:r w:rsidRPr="000E796C">
        <w:rPr>
          <w:spacing w:val="-2"/>
        </w:rPr>
        <w:t xml:space="preserve"> </w:t>
      </w:r>
      <w:r>
        <w:t>(Chairman)</w:t>
      </w:r>
    </w:p>
    <w:p w14:paraId="1994DC8E" w14:textId="16B3F1CD" w:rsidR="00451C2F" w:rsidRDefault="008565F7" w:rsidP="000E796C">
      <w:pPr>
        <w:pStyle w:val="BodyText"/>
        <w:spacing w:line="200" w:lineRule="exact"/>
        <w:ind w:left="426" w:firstLine="0"/>
      </w:pPr>
      <w:r>
        <w:t>Mr D Cain</w:t>
      </w:r>
    </w:p>
    <w:p w14:paraId="104FF4FB" w14:textId="1B0C02A6" w:rsidR="00CE10CB" w:rsidRDefault="00CE10CB" w:rsidP="000E796C">
      <w:pPr>
        <w:pStyle w:val="BodyText"/>
        <w:spacing w:line="200" w:lineRule="exact"/>
        <w:ind w:left="426" w:firstLine="0"/>
      </w:pPr>
      <w:r>
        <w:t xml:space="preserve">Mr. J. Mazzina </w:t>
      </w:r>
    </w:p>
    <w:p w14:paraId="050C1E04" w14:textId="77777777" w:rsidR="00C85A44" w:rsidRDefault="00886010" w:rsidP="000E796C">
      <w:pPr>
        <w:pStyle w:val="BodyText"/>
        <w:ind w:left="426" w:right="6925" w:firstLine="0"/>
      </w:pPr>
      <w:r>
        <w:t>Mrs.</w:t>
      </w:r>
      <w:r w:rsidR="007C7389">
        <w:t xml:space="preserve"> </w:t>
      </w:r>
      <w:r w:rsidR="008565F7">
        <w:t>A.</w:t>
      </w:r>
      <w:r w:rsidR="007C7389">
        <w:t xml:space="preserve"> </w:t>
      </w:r>
      <w:r w:rsidR="008565F7">
        <w:t xml:space="preserve">Wardle </w:t>
      </w:r>
    </w:p>
    <w:p w14:paraId="3407D0D7" w14:textId="04F7B6E8" w:rsidR="00C85A44" w:rsidRDefault="00C85A44" w:rsidP="000E796C">
      <w:pPr>
        <w:pStyle w:val="BodyText"/>
        <w:ind w:left="426" w:right="6925" w:firstLine="0"/>
      </w:pPr>
      <w:r>
        <w:t xml:space="preserve">Mr D. Whittaker </w:t>
      </w:r>
    </w:p>
    <w:p w14:paraId="7EDDE8C8" w14:textId="3CE83A0D" w:rsidR="00451C2F" w:rsidRDefault="008565F7" w:rsidP="000E796C">
      <w:pPr>
        <w:pStyle w:val="BodyText"/>
        <w:ind w:left="426" w:right="6925" w:firstLine="0"/>
      </w:pPr>
      <w:r>
        <w:t>Headmaster</w:t>
      </w:r>
    </w:p>
    <w:p w14:paraId="22383F83" w14:textId="20F0E85F" w:rsidR="00451C2F" w:rsidRDefault="008565F7" w:rsidP="000E796C">
      <w:pPr>
        <w:pStyle w:val="BodyText"/>
        <w:spacing w:before="1"/>
        <w:ind w:left="426" w:firstLine="0"/>
      </w:pPr>
      <w:r>
        <w:t>School Business Manager</w:t>
      </w:r>
      <w:r w:rsidR="007C7389">
        <w:t xml:space="preserve"> </w:t>
      </w:r>
    </w:p>
    <w:sectPr w:rsidR="00451C2F" w:rsidSect="008565F7">
      <w:type w:val="continuous"/>
      <w:pgSz w:w="11910" w:h="16840"/>
      <w:pgMar w:top="1361" w:right="1321" w:bottom="1361" w:left="167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D4D66"/>
    <w:multiLevelType w:val="hybridMultilevel"/>
    <w:tmpl w:val="2BA4B198"/>
    <w:lvl w:ilvl="0" w:tplc="A05C6966">
      <w:start w:val="1"/>
      <w:numFmt w:val="lowerLetter"/>
      <w:lvlText w:val="%1."/>
      <w:lvlJc w:val="left"/>
      <w:pPr>
        <w:ind w:left="1200" w:hanging="358"/>
      </w:pPr>
      <w:rPr>
        <w:rFonts w:ascii="Arial" w:eastAsia="Arial" w:hAnsi="Arial" w:cs="Arial" w:hint="default"/>
        <w:spacing w:val="-1"/>
        <w:w w:val="100"/>
        <w:sz w:val="22"/>
        <w:szCs w:val="22"/>
        <w:lang w:val="en-GB" w:eastAsia="en-GB" w:bidi="en-GB"/>
      </w:rPr>
    </w:lvl>
    <w:lvl w:ilvl="1" w:tplc="FF68D27C">
      <w:numFmt w:val="bullet"/>
      <w:lvlText w:val="•"/>
      <w:lvlJc w:val="left"/>
      <w:pPr>
        <w:ind w:left="1970" w:hanging="358"/>
      </w:pPr>
      <w:rPr>
        <w:rFonts w:hint="default"/>
        <w:lang w:val="en-GB" w:eastAsia="en-GB" w:bidi="en-GB"/>
      </w:rPr>
    </w:lvl>
    <w:lvl w:ilvl="2" w:tplc="6B389CEE">
      <w:numFmt w:val="bullet"/>
      <w:lvlText w:val="•"/>
      <w:lvlJc w:val="left"/>
      <w:pPr>
        <w:ind w:left="2741" w:hanging="358"/>
      </w:pPr>
      <w:rPr>
        <w:rFonts w:hint="default"/>
        <w:lang w:val="en-GB" w:eastAsia="en-GB" w:bidi="en-GB"/>
      </w:rPr>
    </w:lvl>
    <w:lvl w:ilvl="3" w:tplc="017E7F5C">
      <w:numFmt w:val="bullet"/>
      <w:lvlText w:val="•"/>
      <w:lvlJc w:val="left"/>
      <w:pPr>
        <w:ind w:left="3511" w:hanging="358"/>
      </w:pPr>
      <w:rPr>
        <w:rFonts w:hint="default"/>
        <w:lang w:val="en-GB" w:eastAsia="en-GB" w:bidi="en-GB"/>
      </w:rPr>
    </w:lvl>
    <w:lvl w:ilvl="4" w:tplc="7B2233D4">
      <w:numFmt w:val="bullet"/>
      <w:lvlText w:val="•"/>
      <w:lvlJc w:val="left"/>
      <w:pPr>
        <w:ind w:left="4282" w:hanging="358"/>
      </w:pPr>
      <w:rPr>
        <w:rFonts w:hint="default"/>
        <w:lang w:val="en-GB" w:eastAsia="en-GB" w:bidi="en-GB"/>
      </w:rPr>
    </w:lvl>
    <w:lvl w:ilvl="5" w:tplc="B7781EA2">
      <w:numFmt w:val="bullet"/>
      <w:lvlText w:val="•"/>
      <w:lvlJc w:val="left"/>
      <w:pPr>
        <w:ind w:left="5053" w:hanging="358"/>
      </w:pPr>
      <w:rPr>
        <w:rFonts w:hint="default"/>
        <w:lang w:val="en-GB" w:eastAsia="en-GB" w:bidi="en-GB"/>
      </w:rPr>
    </w:lvl>
    <w:lvl w:ilvl="6" w:tplc="A45E2B18">
      <w:numFmt w:val="bullet"/>
      <w:lvlText w:val="•"/>
      <w:lvlJc w:val="left"/>
      <w:pPr>
        <w:ind w:left="5823" w:hanging="358"/>
      </w:pPr>
      <w:rPr>
        <w:rFonts w:hint="default"/>
        <w:lang w:val="en-GB" w:eastAsia="en-GB" w:bidi="en-GB"/>
      </w:rPr>
    </w:lvl>
    <w:lvl w:ilvl="7" w:tplc="97A89552">
      <w:numFmt w:val="bullet"/>
      <w:lvlText w:val="•"/>
      <w:lvlJc w:val="left"/>
      <w:pPr>
        <w:ind w:left="6594" w:hanging="358"/>
      </w:pPr>
      <w:rPr>
        <w:rFonts w:hint="default"/>
        <w:lang w:val="en-GB" w:eastAsia="en-GB" w:bidi="en-GB"/>
      </w:rPr>
    </w:lvl>
    <w:lvl w:ilvl="8" w:tplc="F3165B50">
      <w:numFmt w:val="bullet"/>
      <w:lvlText w:val="•"/>
      <w:lvlJc w:val="left"/>
      <w:pPr>
        <w:ind w:left="7365" w:hanging="358"/>
      </w:pPr>
      <w:rPr>
        <w:rFonts w:hint="default"/>
        <w:lang w:val="en-GB" w:eastAsia="en-GB" w:bidi="en-GB"/>
      </w:rPr>
    </w:lvl>
  </w:abstractNum>
  <w:abstractNum w:abstractNumId="1" w15:restartNumberingAfterBreak="0">
    <w:nsid w:val="47820D9E"/>
    <w:multiLevelType w:val="hybridMultilevel"/>
    <w:tmpl w:val="2968052C"/>
    <w:lvl w:ilvl="0" w:tplc="C8304CE4">
      <w:start w:val="1"/>
      <w:numFmt w:val="decimal"/>
      <w:lvlText w:val="%1."/>
      <w:lvlJc w:val="left"/>
      <w:pPr>
        <w:ind w:left="480" w:hanging="358"/>
      </w:pPr>
      <w:rPr>
        <w:rFonts w:ascii="Arial" w:eastAsia="Arial" w:hAnsi="Arial" w:cs="Arial" w:hint="default"/>
        <w:spacing w:val="-1"/>
        <w:w w:val="100"/>
        <w:sz w:val="22"/>
        <w:szCs w:val="22"/>
        <w:lang w:val="en-GB" w:eastAsia="en-GB" w:bidi="en-GB"/>
      </w:rPr>
    </w:lvl>
    <w:lvl w:ilvl="1" w:tplc="381AAD7E">
      <w:numFmt w:val="bullet"/>
      <w:lvlText w:val="•"/>
      <w:lvlJc w:val="left"/>
      <w:pPr>
        <w:ind w:left="840" w:hanging="358"/>
      </w:pPr>
      <w:rPr>
        <w:rFonts w:ascii="Arial" w:eastAsia="Arial" w:hAnsi="Arial" w:cs="Arial" w:hint="default"/>
        <w:w w:val="100"/>
        <w:sz w:val="22"/>
        <w:szCs w:val="22"/>
        <w:lang w:val="en-GB" w:eastAsia="en-GB" w:bidi="en-GB"/>
      </w:rPr>
    </w:lvl>
    <w:lvl w:ilvl="2" w:tplc="3D44C484">
      <w:numFmt w:val="bullet"/>
      <w:lvlText w:val="•"/>
      <w:lvlJc w:val="left"/>
      <w:pPr>
        <w:ind w:left="1736" w:hanging="358"/>
      </w:pPr>
      <w:rPr>
        <w:rFonts w:hint="default"/>
        <w:lang w:val="en-GB" w:eastAsia="en-GB" w:bidi="en-GB"/>
      </w:rPr>
    </w:lvl>
    <w:lvl w:ilvl="3" w:tplc="6D1C60B4">
      <w:numFmt w:val="bullet"/>
      <w:lvlText w:val="•"/>
      <w:lvlJc w:val="left"/>
      <w:pPr>
        <w:ind w:left="2632" w:hanging="358"/>
      </w:pPr>
      <w:rPr>
        <w:rFonts w:hint="default"/>
        <w:lang w:val="en-GB" w:eastAsia="en-GB" w:bidi="en-GB"/>
      </w:rPr>
    </w:lvl>
    <w:lvl w:ilvl="4" w:tplc="391C4EAA">
      <w:numFmt w:val="bullet"/>
      <w:lvlText w:val="•"/>
      <w:lvlJc w:val="left"/>
      <w:pPr>
        <w:ind w:left="3528" w:hanging="358"/>
      </w:pPr>
      <w:rPr>
        <w:rFonts w:hint="default"/>
        <w:lang w:val="en-GB" w:eastAsia="en-GB" w:bidi="en-GB"/>
      </w:rPr>
    </w:lvl>
    <w:lvl w:ilvl="5" w:tplc="3F609508">
      <w:numFmt w:val="bullet"/>
      <w:lvlText w:val="•"/>
      <w:lvlJc w:val="left"/>
      <w:pPr>
        <w:ind w:left="4425" w:hanging="358"/>
      </w:pPr>
      <w:rPr>
        <w:rFonts w:hint="default"/>
        <w:lang w:val="en-GB" w:eastAsia="en-GB" w:bidi="en-GB"/>
      </w:rPr>
    </w:lvl>
    <w:lvl w:ilvl="6" w:tplc="BB9C0A7E">
      <w:numFmt w:val="bullet"/>
      <w:lvlText w:val="•"/>
      <w:lvlJc w:val="left"/>
      <w:pPr>
        <w:ind w:left="5321" w:hanging="358"/>
      </w:pPr>
      <w:rPr>
        <w:rFonts w:hint="default"/>
        <w:lang w:val="en-GB" w:eastAsia="en-GB" w:bidi="en-GB"/>
      </w:rPr>
    </w:lvl>
    <w:lvl w:ilvl="7" w:tplc="D92CEBFC">
      <w:numFmt w:val="bullet"/>
      <w:lvlText w:val="•"/>
      <w:lvlJc w:val="left"/>
      <w:pPr>
        <w:ind w:left="6217" w:hanging="358"/>
      </w:pPr>
      <w:rPr>
        <w:rFonts w:hint="default"/>
        <w:lang w:val="en-GB" w:eastAsia="en-GB" w:bidi="en-GB"/>
      </w:rPr>
    </w:lvl>
    <w:lvl w:ilvl="8" w:tplc="CC88394C">
      <w:numFmt w:val="bullet"/>
      <w:lvlText w:val="•"/>
      <w:lvlJc w:val="left"/>
      <w:pPr>
        <w:ind w:left="7113" w:hanging="358"/>
      </w:pPr>
      <w:rPr>
        <w:rFonts w:hint="default"/>
        <w:lang w:val="en-GB" w:eastAsia="en-GB" w:bidi="en-GB"/>
      </w:rPr>
    </w:lvl>
  </w:abstractNum>
  <w:abstractNum w:abstractNumId="2" w15:restartNumberingAfterBreak="0">
    <w:nsid w:val="793E1DCF"/>
    <w:multiLevelType w:val="hybridMultilevel"/>
    <w:tmpl w:val="A8229812"/>
    <w:lvl w:ilvl="0" w:tplc="08090001">
      <w:start w:val="1"/>
      <w:numFmt w:val="bullet"/>
      <w:lvlText w:val=""/>
      <w:lvlJc w:val="left"/>
      <w:pPr>
        <w:ind w:left="841" w:hanging="360"/>
      </w:pPr>
      <w:rPr>
        <w:rFonts w:ascii="Symbol" w:hAnsi="Symbol" w:hint="default"/>
      </w:rPr>
    </w:lvl>
    <w:lvl w:ilvl="1" w:tplc="08090003" w:tentative="1">
      <w:start w:val="1"/>
      <w:numFmt w:val="bullet"/>
      <w:lvlText w:val="o"/>
      <w:lvlJc w:val="left"/>
      <w:pPr>
        <w:ind w:left="1561" w:hanging="360"/>
      </w:pPr>
      <w:rPr>
        <w:rFonts w:ascii="Courier New" w:hAnsi="Courier New" w:cs="Courier New" w:hint="default"/>
      </w:rPr>
    </w:lvl>
    <w:lvl w:ilvl="2" w:tplc="08090005" w:tentative="1">
      <w:start w:val="1"/>
      <w:numFmt w:val="bullet"/>
      <w:lvlText w:val=""/>
      <w:lvlJc w:val="left"/>
      <w:pPr>
        <w:ind w:left="2281" w:hanging="360"/>
      </w:pPr>
      <w:rPr>
        <w:rFonts w:ascii="Wingdings" w:hAnsi="Wingdings" w:hint="default"/>
      </w:rPr>
    </w:lvl>
    <w:lvl w:ilvl="3" w:tplc="08090001" w:tentative="1">
      <w:start w:val="1"/>
      <w:numFmt w:val="bullet"/>
      <w:lvlText w:val=""/>
      <w:lvlJc w:val="left"/>
      <w:pPr>
        <w:ind w:left="3001" w:hanging="360"/>
      </w:pPr>
      <w:rPr>
        <w:rFonts w:ascii="Symbol" w:hAnsi="Symbol" w:hint="default"/>
      </w:rPr>
    </w:lvl>
    <w:lvl w:ilvl="4" w:tplc="08090003" w:tentative="1">
      <w:start w:val="1"/>
      <w:numFmt w:val="bullet"/>
      <w:lvlText w:val="o"/>
      <w:lvlJc w:val="left"/>
      <w:pPr>
        <w:ind w:left="3721" w:hanging="360"/>
      </w:pPr>
      <w:rPr>
        <w:rFonts w:ascii="Courier New" w:hAnsi="Courier New" w:cs="Courier New" w:hint="default"/>
      </w:rPr>
    </w:lvl>
    <w:lvl w:ilvl="5" w:tplc="08090005" w:tentative="1">
      <w:start w:val="1"/>
      <w:numFmt w:val="bullet"/>
      <w:lvlText w:val=""/>
      <w:lvlJc w:val="left"/>
      <w:pPr>
        <w:ind w:left="4441" w:hanging="360"/>
      </w:pPr>
      <w:rPr>
        <w:rFonts w:ascii="Wingdings" w:hAnsi="Wingdings" w:hint="default"/>
      </w:rPr>
    </w:lvl>
    <w:lvl w:ilvl="6" w:tplc="08090001" w:tentative="1">
      <w:start w:val="1"/>
      <w:numFmt w:val="bullet"/>
      <w:lvlText w:val=""/>
      <w:lvlJc w:val="left"/>
      <w:pPr>
        <w:ind w:left="5161" w:hanging="360"/>
      </w:pPr>
      <w:rPr>
        <w:rFonts w:ascii="Symbol" w:hAnsi="Symbol" w:hint="default"/>
      </w:rPr>
    </w:lvl>
    <w:lvl w:ilvl="7" w:tplc="08090003" w:tentative="1">
      <w:start w:val="1"/>
      <w:numFmt w:val="bullet"/>
      <w:lvlText w:val="o"/>
      <w:lvlJc w:val="left"/>
      <w:pPr>
        <w:ind w:left="5881" w:hanging="360"/>
      </w:pPr>
      <w:rPr>
        <w:rFonts w:ascii="Courier New" w:hAnsi="Courier New" w:cs="Courier New" w:hint="default"/>
      </w:rPr>
    </w:lvl>
    <w:lvl w:ilvl="8" w:tplc="08090005" w:tentative="1">
      <w:start w:val="1"/>
      <w:numFmt w:val="bullet"/>
      <w:lvlText w:val=""/>
      <w:lvlJc w:val="left"/>
      <w:pPr>
        <w:ind w:left="6601"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C2F"/>
    <w:rsid w:val="000E796C"/>
    <w:rsid w:val="00110DC2"/>
    <w:rsid w:val="00451C2F"/>
    <w:rsid w:val="00466ECD"/>
    <w:rsid w:val="00744E32"/>
    <w:rsid w:val="007C7389"/>
    <w:rsid w:val="008565F7"/>
    <w:rsid w:val="00886010"/>
    <w:rsid w:val="00AB1B69"/>
    <w:rsid w:val="00B0099A"/>
    <w:rsid w:val="00C85A44"/>
    <w:rsid w:val="00CE10CB"/>
    <w:rsid w:val="00E811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55373"/>
  <w15:docId w15:val="{26E23360-26C1-4ED1-AED4-DAB1E4C10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lang w:val="en-GB" w:eastAsia="en-GB" w:bidi="en-GB"/>
    </w:rPr>
  </w:style>
  <w:style w:type="paragraph" w:styleId="Heading1">
    <w:name w:val="heading 1"/>
    <w:basedOn w:val="Normal"/>
    <w:uiPriority w:val="9"/>
    <w:qFormat/>
    <w:pPr>
      <w:spacing w:before="74"/>
      <w:ind w:left="806"/>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80" w:hanging="358"/>
    </w:pPr>
  </w:style>
  <w:style w:type="paragraph" w:styleId="ListParagraph">
    <w:name w:val="List Paragraph"/>
    <w:basedOn w:val="Normal"/>
    <w:uiPriority w:val="1"/>
    <w:qFormat/>
    <w:pPr>
      <w:ind w:left="480" w:hanging="358"/>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582</Words>
  <Characters>3323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staffjlg</dc:creator>
  <cp:lastModifiedBy>Emma Gauntlett</cp:lastModifiedBy>
  <cp:revision>2</cp:revision>
  <dcterms:created xsi:type="dcterms:W3CDTF">2022-06-24T18:52:00Z</dcterms:created>
  <dcterms:modified xsi:type="dcterms:W3CDTF">2022-06-24T18:52:00Z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2018-11-29T00:00:00Z</vt:filetime>
  </property>
  <property fmtid="{D5CDD505-2E9C-101B-9397-08002B2CF9AE}" pid="3" name="Creator">
    <vt:lpwstr>Microsoft® Word 2016</vt:lpwstr>
  </property>
  <property fmtid="{D5CDD505-2E9C-101B-9397-08002B2CF9AE}" pid="4" name="LastSaved">
    <vt:filetime>2019-03-25T00:00:00Z</vt:filetime>
  </property>
</Properties>
</file>