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072A6" w14:textId="77777777" w:rsidR="00901262" w:rsidRDefault="00901262" w:rsidP="00901262">
      <w:pPr>
        <w:spacing w:after="0" w:line="240" w:lineRule="auto"/>
        <w:rPr>
          <w:b/>
          <w:sz w:val="36"/>
        </w:rPr>
      </w:pPr>
      <w:r>
        <w:rPr>
          <w:b/>
          <w:sz w:val="36"/>
        </w:rPr>
        <w:t xml:space="preserve">Drama Year 8 Curriculum Plan </w:t>
      </w:r>
      <w:r>
        <w:rPr>
          <w:b/>
          <w:sz w:val="36"/>
        </w:rPr>
        <w:tab/>
      </w:r>
      <w:r>
        <w:rPr>
          <w:b/>
          <w:sz w:val="36"/>
        </w:rPr>
        <w:tab/>
      </w:r>
      <w:r>
        <w:rPr>
          <w:b/>
          <w:sz w:val="36"/>
        </w:rPr>
        <w:tab/>
      </w:r>
    </w:p>
    <w:p w14:paraId="76BB2C15" w14:textId="77777777" w:rsidR="00901262" w:rsidRDefault="00901262" w:rsidP="00901262">
      <w:pPr>
        <w:spacing w:after="0" w:line="240" w:lineRule="auto"/>
        <w:jc w:val="both"/>
        <w:rPr>
          <w:b/>
          <w:sz w:val="36"/>
        </w:rPr>
      </w:pPr>
    </w:p>
    <w:tbl>
      <w:tblPr>
        <w:tblW w:w="155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426"/>
        <w:gridCol w:w="567"/>
        <w:gridCol w:w="2433"/>
        <w:gridCol w:w="2433"/>
        <w:gridCol w:w="2434"/>
        <w:gridCol w:w="2433"/>
        <w:gridCol w:w="2433"/>
        <w:gridCol w:w="2434"/>
      </w:tblGrid>
      <w:tr w:rsidR="00901262" w14:paraId="044E9D37" w14:textId="77777777" w:rsidTr="00A411D6">
        <w:trPr>
          <w:trHeight w:val="306"/>
        </w:trPr>
        <w:tc>
          <w:tcPr>
            <w:tcW w:w="426" w:type="dxa"/>
            <w:vMerge w:val="restart"/>
            <w:tcBorders>
              <w:right w:val="single" w:sz="4" w:space="0" w:color="auto"/>
            </w:tcBorders>
            <w:shd w:val="clear" w:color="auto" w:fill="D9D9D9" w:themeFill="background1" w:themeFillShade="D9"/>
            <w:tcMar>
              <w:top w:w="72" w:type="dxa"/>
              <w:left w:w="144" w:type="dxa"/>
              <w:bottom w:w="72" w:type="dxa"/>
              <w:right w:w="144" w:type="dxa"/>
            </w:tcMar>
            <w:textDirection w:val="btLr"/>
            <w:vAlign w:val="center"/>
            <w:hideMark/>
          </w:tcPr>
          <w:p w14:paraId="05972369" w14:textId="77777777" w:rsidR="00901262" w:rsidRPr="001E04D6" w:rsidRDefault="00901262" w:rsidP="00A411D6">
            <w:pPr>
              <w:pStyle w:val="tabletexthd"/>
              <w:spacing w:before="0" w:after="0"/>
              <w:ind w:left="113" w:right="113"/>
              <w:jc w:val="center"/>
              <w:rPr>
                <w:rFonts w:asciiTheme="minorHAnsi" w:hAnsiTheme="minorHAnsi" w:cstheme="minorHAnsi"/>
                <w:i/>
                <w:color w:val="auto"/>
                <w:sz w:val="24"/>
              </w:rPr>
            </w:pPr>
            <w:r w:rsidRPr="002A4A2E">
              <w:rPr>
                <w:rFonts w:asciiTheme="minorHAnsi" w:hAnsiTheme="minorHAnsi" w:cstheme="minorHAnsi"/>
                <w:bCs/>
                <w:iCs/>
                <w:color w:val="0A1D30" w:themeColor="text2" w:themeShade="BF"/>
                <w:sz w:val="24"/>
                <w:szCs w:val="20"/>
              </w:rPr>
              <w:t xml:space="preserve">Year </w:t>
            </w:r>
            <w:r>
              <w:rPr>
                <w:rFonts w:asciiTheme="minorHAnsi" w:hAnsiTheme="minorHAnsi" w:cstheme="minorHAnsi"/>
                <w:bCs/>
                <w:iCs/>
                <w:color w:val="0A1D30" w:themeColor="text2" w:themeShade="BF"/>
                <w:sz w:val="24"/>
                <w:szCs w:val="20"/>
              </w:rPr>
              <w:t>8</w:t>
            </w:r>
          </w:p>
        </w:tc>
        <w:tc>
          <w:tcPr>
            <w:tcW w:w="567"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2361757" w14:textId="77777777" w:rsidR="00901262" w:rsidRPr="001E04D6" w:rsidRDefault="00901262" w:rsidP="00A411D6">
            <w:pPr>
              <w:spacing w:after="0"/>
              <w:ind w:left="139"/>
              <w:jc w:val="center"/>
              <w:rPr>
                <w:rFonts w:cstheme="minorHAnsi"/>
              </w:rPr>
            </w:pPr>
          </w:p>
        </w:tc>
        <w:tc>
          <w:tcPr>
            <w:tcW w:w="2433" w:type="dxa"/>
            <w:tcBorders>
              <w:top w:val="single" w:sz="4" w:space="0" w:color="auto"/>
              <w:left w:val="nil"/>
              <w:bottom w:val="single" w:sz="4" w:space="0" w:color="auto"/>
              <w:right w:val="single" w:sz="4" w:space="0" w:color="auto"/>
            </w:tcBorders>
            <w:shd w:val="clear" w:color="auto" w:fill="D9D9D9" w:themeFill="background1" w:themeFillShade="D9"/>
          </w:tcPr>
          <w:p w14:paraId="402A0DD1" w14:textId="77777777" w:rsidR="00901262" w:rsidRPr="001E04D6" w:rsidRDefault="00901262" w:rsidP="00A411D6">
            <w:pPr>
              <w:spacing w:after="0"/>
              <w:ind w:left="139"/>
              <w:jc w:val="center"/>
              <w:rPr>
                <w:rFonts w:cstheme="minorHAnsi"/>
              </w:rPr>
            </w:pPr>
            <w:r w:rsidRPr="001E04D6">
              <w:rPr>
                <w:rFonts w:cstheme="minorHAnsi"/>
              </w:rPr>
              <w:t>Autumn 1</w:t>
            </w:r>
          </w:p>
        </w:tc>
        <w:tc>
          <w:tcPr>
            <w:tcW w:w="2433" w:type="dxa"/>
            <w:tcBorders>
              <w:left w:val="single" w:sz="4" w:space="0" w:color="auto"/>
            </w:tcBorders>
            <w:shd w:val="clear" w:color="auto" w:fill="D9D9D9" w:themeFill="background1" w:themeFillShade="D9"/>
            <w:tcMar>
              <w:top w:w="72" w:type="dxa"/>
              <w:left w:w="144" w:type="dxa"/>
              <w:bottom w:w="72" w:type="dxa"/>
              <w:right w:w="144" w:type="dxa"/>
            </w:tcMar>
            <w:hideMark/>
          </w:tcPr>
          <w:p w14:paraId="2860E105" w14:textId="77777777" w:rsidR="00901262" w:rsidRPr="001E04D6" w:rsidRDefault="00901262" w:rsidP="00A411D6">
            <w:pPr>
              <w:spacing w:after="0"/>
              <w:ind w:left="139"/>
              <w:jc w:val="center"/>
              <w:rPr>
                <w:rFonts w:cstheme="minorHAnsi"/>
              </w:rPr>
            </w:pPr>
            <w:r w:rsidRPr="001E04D6">
              <w:rPr>
                <w:rFonts w:cstheme="minorHAnsi"/>
              </w:rPr>
              <w:t>Autumn 2</w:t>
            </w:r>
          </w:p>
        </w:tc>
        <w:tc>
          <w:tcPr>
            <w:tcW w:w="2434" w:type="dxa"/>
            <w:shd w:val="clear" w:color="auto" w:fill="D9D9D9" w:themeFill="background1" w:themeFillShade="D9"/>
            <w:tcMar>
              <w:top w:w="72" w:type="dxa"/>
              <w:left w:w="144" w:type="dxa"/>
              <w:bottom w:w="72" w:type="dxa"/>
              <w:right w:w="144" w:type="dxa"/>
            </w:tcMar>
            <w:hideMark/>
          </w:tcPr>
          <w:p w14:paraId="27A54B58" w14:textId="77777777" w:rsidR="00901262" w:rsidRPr="001E04D6" w:rsidRDefault="00901262" w:rsidP="00A411D6">
            <w:pPr>
              <w:spacing w:after="0"/>
              <w:ind w:left="139"/>
              <w:jc w:val="center"/>
              <w:rPr>
                <w:rFonts w:cstheme="minorHAnsi"/>
              </w:rPr>
            </w:pPr>
            <w:r w:rsidRPr="001E04D6">
              <w:rPr>
                <w:rFonts w:cstheme="minorHAnsi"/>
              </w:rPr>
              <w:t>Spring 1</w:t>
            </w:r>
          </w:p>
        </w:tc>
        <w:tc>
          <w:tcPr>
            <w:tcW w:w="2433" w:type="dxa"/>
            <w:shd w:val="clear" w:color="auto" w:fill="D9D9D9" w:themeFill="background1" w:themeFillShade="D9"/>
            <w:tcMar>
              <w:top w:w="72" w:type="dxa"/>
              <w:left w:w="144" w:type="dxa"/>
              <w:bottom w:w="72" w:type="dxa"/>
              <w:right w:w="144" w:type="dxa"/>
            </w:tcMar>
            <w:hideMark/>
          </w:tcPr>
          <w:p w14:paraId="0B48303C" w14:textId="77777777" w:rsidR="00901262" w:rsidRPr="001E04D6" w:rsidRDefault="00901262" w:rsidP="00A411D6">
            <w:pPr>
              <w:spacing w:after="0"/>
              <w:ind w:left="139"/>
              <w:jc w:val="center"/>
              <w:rPr>
                <w:rFonts w:cstheme="minorHAnsi"/>
              </w:rPr>
            </w:pPr>
            <w:r w:rsidRPr="001E04D6">
              <w:rPr>
                <w:rFonts w:cstheme="minorHAnsi"/>
              </w:rPr>
              <w:t>Spring 2</w:t>
            </w:r>
          </w:p>
        </w:tc>
        <w:tc>
          <w:tcPr>
            <w:tcW w:w="2433" w:type="dxa"/>
            <w:shd w:val="clear" w:color="auto" w:fill="D9D9D9" w:themeFill="background1" w:themeFillShade="D9"/>
            <w:tcMar>
              <w:top w:w="72" w:type="dxa"/>
              <w:left w:w="144" w:type="dxa"/>
              <w:bottom w:w="72" w:type="dxa"/>
              <w:right w:w="144" w:type="dxa"/>
            </w:tcMar>
            <w:hideMark/>
          </w:tcPr>
          <w:p w14:paraId="6B6F294A" w14:textId="77777777" w:rsidR="00901262" w:rsidRPr="001E04D6" w:rsidRDefault="00901262" w:rsidP="00A411D6">
            <w:pPr>
              <w:spacing w:after="0"/>
              <w:ind w:left="139"/>
              <w:jc w:val="center"/>
              <w:rPr>
                <w:rFonts w:cstheme="minorHAnsi"/>
              </w:rPr>
            </w:pPr>
            <w:r w:rsidRPr="001E04D6">
              <w:rPr>
                <w:rFonts w:cstheme="minorHAnsi"/>
              </w:rPr>
              <w:t>Summer 1</w:t>
            </w:r>
          </w:p>
        </w:tc>
        <w:tc>
          <w:tcPr>
            <w:tcW w:w="2434" w:type="dxa"/>
            <w:shd w:val="clear" w:color="auto" w:fill="D9D9D9" w:themeFill="background1" w:themeFillShade="D9"/>
            <w:tcMar>
              <w:top w:w="72" w:type="dxa"/>
              <w:left w:w="144" w:type="dxa"/>
              <w:bottom w:w="72" w:type="dxa"/>
              <w:right w:w="144" w:type="dxa"/>
            </w:tcMar>
            <w:hideMark/>
          </w:tcPr>
          <w:p w14:paraId="228FDE44" w14:textId="77777777" w:rsidR="00901262" w:rsidRPr="001E04D6" w:rsidRDefault="00901262" w:rsidP="00A411D6">
            <w:pPr>
              <w:spacing w:after="0"/>
              <w:ind w:left="139"/>
              <w:jc w:val="center"/>
              <w:rPr>
                <w:rFonts w:cstheme="minorHAnsi"/>
              </w:rPr>
            </w:pPr>
            <w:r w:rsidRPr="001E04D6">
              <w:rPr>
                <w:rFonts w:cstheme="minorHAnsi"/>
              </w:rPr>
              <w:t>Summer 2</w:t>
            </w:r>
          </w:p>
        </w:tc>
      </w:tr>
      <w:tr w:rsidR="00901262" w14:paraId="3D5B47A7" w14:textId="77777777" w:rsidTr="00A411D6">
        <w:trPr>
          <w:cantSplit/>
          <w:trHeight w:val="839"/>
        </w:trPr>
        <w:tc>
          <w:tcPr>
            <w:tcW w:w="426" w:type="dxa"/>
            <w:vMerge/>
            <w:tcMar>
              <w:top w:w="72" w:type="dxa"/>
              <w:left w:w="144" w:type="dxa"/>
              <w:bottom w:w="72" w:type="dxa"/>
              <w:right w:w="144" w:type="dxa"/>
            </w:tcMar>
            <w:textDirection w:val="btLr"/>
            <w:vAlign w:val="center"/>
          </w:tcPr>
          <w:p w14:paraId="56F1F788" w14:textId="77777777" w:rsidR="00901262" w:rsidRPr="001E04D6" w:rsidRDefault="00901262" w:rsidP="00A411D6">
            <w:pPr>
              <w:pStyle w:val="ListParagraph"/>
              <w:ind w:left="289" w:right="113"/>
              <w:jc w:val="center"/>
              <w:rPr>
                <w:rFonts w:cstheme="minorHAnsi"/>
                <w:bCs/>
                <w:sz w:val="24"/>
              </w:rPr>
            </w:pPr>
          </w:p>
        </w:tc>
        <w:tc>
          <w:tcPr>
            <w:tcW w:w="567" w:type="dxa"/>
            <w:tcBorders>
              <w:top w:val="single" w:sz="4" w:space="0" w:color="auto"/>
            </w:tcBorders>
            <w:textDirection w:val="btLr"/>
            <w:vAlign w:val="center"/>
          </w:tcPr>
          <w:p w14:paraId="1BB21139" w14:textId="77777777" w:rsidR="00901262" w:rsidRPr="001E04D6" w:rsidRDefault="00901262" w:rsidP="00A411D6">
            <w:pPr>
              <w:pStyle w:val="tabletexthd"/>
              <w:spacing w:before="0" w:after="0"/>
              <w:ind w:left="113" w:right="113"/>
              <w:jc w:val="center"/>
              <w:rPr>
                <w:rFonts w:asciiTheme="minorHAnsi" w:hAnsiTheme="minorHAnsi" w:cstheme="minorHAnsi"/>
                <w:b w:val="0"/>
                <w:bCs/>
                <w:iCs/>
                <w:color w:val="0A1D30" w:themeColor="text2" w:themeShade="BF"/>
                <w:szCs w:val="20"/>
              </w:rPr>
            </w:pPr>
            <w:r w:rsidRPr="0099444E">
              <w:rPr>
                <w:rFonts w:asciiTheme="minorHAnsi" w:hAnsiTheme="minorHAnsi" w:cstheme="minorHAnsi"/>
                <w:bCs/>
                <w:iCs/>
                <w:color w:val="0A1D30" w:themeColor="text2" w:themeShade="BF"/>
                <w:szCs w:val="20"/>
              </w:rPr>
              <w:t>PRIOR LEARNING</w:t>
            </w:r>
          </w:p>
        </w:tc>
        <w:tc>
          <w:tcPr>
            <w:tcW w:w="4866" w:type="dxa"/>
            <w:gridSpan w:val="2"/>
            <w:tcBorders>
              <w:top w:val="single" w:sz="4" w:space="0" w:color="auto"/>
            </w:tcBorders>
            <w:shd w:val="clear" w:color="auto" w:fill="auto"/>
            <w:tcMar>
              <w:top w:w="72" w:type="dxa"/>
              <w:left w:w="144" w:type="dxa"/>
              <w:bottom w:w="72" w:type="dxa"/>
              <w:right w:w="144" w:type="dxa"/>
            </w:tcMar>
          </w:tcPr>
          <w:p w14:paraId="194B7201" w14:textId="77777777" w:rsidR="00901262" w:rsidRPr="004F3B1C" w:rsidRDefault="00901262" w:rsidP="00A411D6">
            <w:pPr>
              <w:spacing w:after="0"/>
              <w:rPr>
                <w:b/>
                <w:bCs/>
                <w:sz w:val="16"/>
                <w:szCs w:val="16"/>
              </w:rPr>
            </w:pPr>
            <w:r w:rsidRPr="440EB34A">
              <w:rPr>
                <w:b/>
                <w:bCs/>
                <w:sz w:val="16"/>
                <w:szCs w:val="16"/>
              </w:rPr>
              <w:t>COMMEDIA DELL’ARTE</w:t>
            </w:r>
          </w:p>
          <w:p w14:paraId="7E614FF9" w14:textId="77777777" w:rsidR="00901262" w:rsidRPr="00C73B37" w:rsidRDefault="00901262" w:rsidP="00A411D6">
            <w:pPr>
              <w:pStyle w:val="tabletexthd"/>
              <w:spacing w:before="0" w:after="0"/>
              <w:rPr>
                <w:rFonts w:asciiTheme="minorHAnsi" w:eastAsiaTheme="minorEastAsia" w:hAnsiTheme="minorHAnsi" w:cstheme="minorBidi"/>
                <w:b w:val="0"/>
                <w:color w:val="auto"/>
                <w:sz w:val="16"/>
                <w:szCs w:val="16"/>
              </w:rPr>
            </w:pPr>
            <w:r w:rsidRPr="25E0FF0F">
              <w:rPr>
                <w:rFonts w:asciiTheme="minorHAnsi" w:eastAsiaTheme="minorEastAsia" w:hAnsiTheme="minorHAnsi" w:cstheme="minorBidi"/>
                <w:b w:val="0"/>
                <w:color w:val="auto"/>
                <w:sz w:val="16"/>
                <w:szCs w:val="16"/>
              </w:rPr>
              <w:t>This unit links with the Year 7 Shakespeare unit in terms of understanding the history of theatre.</w:t>
            </w:r>
          </w:p>
        </w:tc>
        <w:tc>
          <w:tcPr>
            <w:tcW w:w="4867" w:type="dxa"/>
            <w:gridSpan w:val="2"/>
            <w:shd w:val="clear" w:color="auto" w:fill="auto"/>
            <w:tcMar>
              <w:top w:w="72" w:type="dxa"/>
              <w:left w:w="144" w:type="dxa"/>
              <w:bottom w:w="72" w:type="dxa"/>
              <w:right w:w="144" w:type="dxa"/>
            </w:tcMar>
          </w:tcPr>
          <w:p w14:paraId="76460BD3" w14:textId="77777777" w:rsidR="00901262" w:rsidRDefault="00901262" w:rsidP="00A411D6">
            <w:pPr>
              <w:spacing w:after="0"/>
              <w:rPr>
                <w:b/>
                <w:bCs/>
                <w:sz w:val="16"/>
                <w:szCs w:val="16"/>
              </w:rPr>
            </w:pPr>
            <w:r w:rsidRPr="440EB34A">
              <w:rPr>
                <w:b/>
                <w:bCs/>
                <w:sz w:val="16"/>
                <w:szCs w:val="16"/>
              </w:rPr>
              <w:t>BLOOD BROTHERS</w:t>
            </w:r>
          </w:p>
          <w:p w14:paraId="78408DF7" w14:textId="77777777" w:rsidR="00901262" w:rsidRDefault="00901262" w:rsidP="00A411D6">
            <w:pPr>
              <w:rPr>
                <w:sz w:val="16"/>
                <w:szCs w:val="16"/>
              </w:rPr>
            </w:pPr>
            <w:r w:rsidRPr="25E0FF0F">
              <w:rPr>
                <w:sz w:val="16"/>
                <w:szCs w:val="16"/>
              </w:rPr>
              <w:t>This unit links with Commedia, focussing on comedy and the use of status in performance.</w:t>
            </w:r>
          </w:p>
        </w:tc>
        <w:tc>
          <w:tcPr>
            <w:tcW w:w="4867" w:type="dxa"/>
            <w:gridSpan w:val="2"/>
            <w:shd w:val="clear" w:color="auto" w:fill="auto"/>
            <w:tcMar>
              <w:top w:w="72" w:type="dxa"/>
              <w:left w:w="144" w:type="dxa"/>
              <w:bottom w:w="72" w:type="dxa"/>
              <w:right w:w="144" w:type="dxa"/>
            </w:tcMar>
          </w:tcPr>
          <w:p w14:paraId="5F9347B9" w14:textId="77777777" w:rsidR="00901262" w:rsidRDefault="00901262" w:rsidP="00A411D6">
            <w:pPr>
              <w:spacing w:after="0"/>
              <w:rPr>
                <w:b/>
                <w:bCs/>
                <w:sz w:val="16"/>
                <w:szCs w:val="16"/>
              </w:rPr>
            </w:pPr>
            <w:r w:rsidRPr="440EB34A">
              <w:rPr>
                <w:b/>
                <w:bCs/>
                <w:sz w:val="16"/>
                <w:szCs w:val="16"/>
              </w:rPr>
              <w:t>JOYRIDE</w:t>
            </w:r>
          </w:p>
          <w:p w14:paraId="30335BF3" w14:textId="77777777" w:rsidR="00901262" w:rsidRDefault="00901262" w:rsidP="00A411D6">
            <w:pPr>
              <w:rPr>
                <w:sz w:val="16"/>
                <w:szCs w:val="16"/>
              </w:rPr>
            </w:pPr>
            <w:r w:rsidRPr="25E0FF0F">
              <w:rPr>
                <w:sz w:val="16"/>
                <w:szCs w:val="16"/>
              </w:rPr>
              <w:t xml:space="preserve">This final unit, like the end of year 7, is a social topic Intended to engage pupils in reflecting upon anti-social behaviour and the consequences involved. </w:t>
            </w:r>
          </w:p>
        </w:tc>
      </w:tr>
      <w:tr w:rsidR="00901262" w14:paraId="1406C78D" w14:textId="77777777" w:rsidTr="00A411D6">
        <w:trPr>
          <w:cantSplit/>
          <w:trHeight w:val="2028"/>
        </w:trPr>
        <w:tc>
          <w:tcPr>
            <w:tcW w:w="426" w:type="dxa"/>
            <w:vMerge/>
            <w:tcMar>
              <w:top w:w="72" w:type="dxa"/>
              <w:left w:w="144" w:type="dxa"/>
              <w:bottom w:w="72" w:type="dxa"/>
              <w:right w:w="144" w:type="dxa"/>
            </w:tcMar>
            <w:textDirection w:val="btLr"/>
            <w:vAlign w:val="center"/>
          </w:tcPr>
          <w:p w14:paraId="71D8AB5B" w14:textId="77777777" w:rsidR="00901262" w:rsidRPr="001E04D6" w:rsidRDefault="00901262" w:rsidP="00A411D6">
            <w:pPr>
              <w:ind w:left="113" w:right="113"/>
              <w:jc w:val="center"/>
              <w:rPr>
                <w:rFonts w:cstheme="minorHAnsi"/>
                <w:b/>
                <w:bCs/>
                <w:sz w:val="24"/>
              </w:rPr>
            </w:pPr>
          </w:p>
        </w:tc>
        <w:tc>
          <w:tcPr>
            <w:tcW w:w="567" w:type="dxa"/>
            <w:textDirection w:val="btLr"/>
            <w:vAlign w:val="center"/>
          </w:tcPr>
          <w:p w14:paraId="2032AC29" w14:textId="77777777" w:rsidR="00901262" w:rsidRPr="001E04D6" w:rsidRDefault="00901262" w:rsidP="00A411D6">
            <w:pPr>
              <w:pStyle w:val="tabletexthd"/>
              <w:spacing w:before="0" w:after="0"/>
              <w:ind w:left="113" w:right="113"/>
              <w:jc w:val="center"/>
              <w:rPr>
                <w:rFonts w:asciiTheme="minorHAnsi" w:hAnsiTheme="minorHAnsi" w:cstheme="minorHAnsi"/>
                <w:bCs/>
                <w:iCs/>
                <w:color w:val="0A1D30" w:themeColor="text2" w:themeShade="BF"/>
                <w:szCs w:val="20"/>
              </w:rPr>
            </w:pPr>
            <w:r>
              <w:rPr>
                <w:rFonts w:asciiTheme="minorHAnsi" w:hAnsiTheme="minorHAnsi" w:cstheme="minorHAnsi"/>
                <w:bCs/>
                <w:iCs/>
                <w:color w:val="0A1D30" w:themeColor="text2" w:themeShade="BF"/>
                <w:szCs w:val="20"/>
              </w:rPr>
              <w:t>KNOWING WHAT…</w:t>
            </w:r>
          </w:p>
        </w:tc>
        <w:tc>
          <w:tcPr>
            <w:tcW w:w="4866" w:type="dxa"/>
            <w:gridSpan w:val="2"/>
            <w:shd w:val="clear" w:color="auto" w:fill="auto"/>
            <w:tcMar>
              <w:top w:w="72" w:type="dxa"/>
              <w:left w:w="144" w:type="dxa"/>
              <w:bottom w:w="72" w:type="dxa"/>
              <w:right w:w="144" w:type="dxa"/>
            </w:tcMar>
          </w:tcPr>
          <w:p w14:paraId="53035C29" w14:textId="77777777" w:rsidR="00901262" w:rsidRPr="0074092D" w:rsidRDefault="00901262" w:rsidP="00A411D6">
            <w:pPr>
              <w:pStyle w:val="tabletexthd"/>
              <w:spacing w:before="0" w:after="0"/>
              <w:rPr>
                <w:rFonts w:asciiTheme="minorHAnsi" w:eastAsiaTheme="minorEastAsia" w:hAnsiTheme="minorHAnsi" w:cstheme="minorBidi"/>
                <w:b w:val="0"/>
                <w:color w:val="000000" w:themeColor="text1"/>
                <w:sz w:val="16"/>
                <w:szCs w:val="16"/>
                <w:lang w:val="en-US"/>
              </w:rPr>
            </w:pPr>
            <w:r w:rsidRPr="4438F2AF">
              <w:rPr>
                <w:rFonts w:asciiTheme="minorHAnsi" w:eastAsiaTheme="minorEastAsia" w:hAnsiTheme="minorHAnsi" w:cstheme="minorBidi"/>
                <w:bCs/>
                <w:color w:val="000000" w:themeColor="text1"/>
                <w:sz w:val="16"/>
                <w:szCs w:val="16"/>
                <w:lang w:val="en-US"/>
              </w:rPr>
              <w:t xml:space="preserve">Historical Context: </w:t>
            </w:r>
            <w:r w:rsidRPr="4438F2AF">
              <w:rPr>
                <w:rFonts w:asciiTheme="minorHAnsi" w:eastAsiaTheme="minorEastAsia" w:hAnsiTheme="minorHAnsi" w:cstheme="minorBidi"/>
                <w:b w:val="0"/>
                <w:color w:val="000000" w:themeColor="text1"/>
                <w:sz w:val="16"/>
                <w:szCs w:val="16"/>
                <w:lang w:val="en-US"/>
              </w:rPr>
              <w:t xml:space="preserve">historical origins and development of Commedia </w:t>
            </w:r>
            <w:proofErr w:type="spellStart"/>
            <w:r w:rsidRPr="4438F2AF">
              <w:rPr>
                <w:rFonts w:asciiTheme="minorHAnsi" w:eastAsiaTheme="minorEastAsia" w:hAnsiTheme="minorHAnsi" w:cstheme="minorBidi"/>
                <w:b w:val="0"/>
                <w:color w:val="000000" w:themeColor="text1"/>
                <w:sz w:val="16"/>
                <w:szCs w:val="16"/>
                <w:lang w:val="en-US"/>
              </w:rPr>
              <w:t>dell'Arte</w:t>
            </w:r>
            <w:proofErr w:type="spellEnd"/>
            <w:r w:rsidRPr="4438F2AF">
              <w:rPr>
                <w:rFonts w:asciiTheme="minorHAnsi" w:eastAsiaTheme="minorEastAsia" w:hAnsiTheme="minorHAnsi" w:cstheme="minorBidi"/>
                <w:b w:val="0"/>
                <w:color w:val="000000" w:themeColor="text1"/>
                <w:sz w:val="16"/>
                <w:szCs w:val="16"/>
                <w:lang w:val="en-US"/>
              </w:rPr>
              <w:t>.</w:t>
            </w:r>
          </w:p>
          <w:p w14:paraId="42F384BC" w14:textId="77777777" w:rsidR="00901262" w:rsidRPr="0074092D" w:rsidRDefault="00901262" w:rsidP="00A411D6">
            <w:pPr>
              <w:spacing w:after="0" w:line="259" w:lineRule="auto"/>
              <w:rPr>
                <w:rFonts w:eastAsiaTheme="minorEastAsia"/>
                <w:color w:val="000000" w:themeColor="text1"/>
                <w:sz w:val="16"/>
                <w:szCs w:val="16"/>
              </w:rPr>
            </w:pPr>
            <w:r w:rsidRPr="4438F2AF">
              <w:rPr>
                <w:rFonts w:eastAsiaTheme="minorEastAsia"/>
                <w:b/>
                <w:bCs/>
                <w:color w:val="000000" w:themeColor="text1"/>
                <w:sz w:val="16"/>
                <w:szCs w:val="16"/>
                <w:lang w:val="en-US"/>
              </w:rPr>
              <w:t xml:space="preserve">Stock Characters: </w:t>
            </w:r>
            <w:r w:rsidRPr="4438F2AF">
              <w:rPr>
                <w:rFonts w:eastAsiaTheme="minorEastAsia"/>
                <w:color w:val="000000" w:themeColor="text1"/>
                <w:sz w:val="16"/>
                <w:szCs w:val="16"/>
                <w:lang w:val="en-US"/>
              </w:rPr>
              <w:t>Master &amp; servant relationships.</w:t>
            </w:r>
          </w:p>
          <w:p w14:paraId="1337F318" w14:textId="77777777" w:rsidR="00901262" w:rsidRPr="0074092D" w:rsidRDefault="00901262" w:rsidP="00A411D6">
            <w:pPr>
              <w:spacing w:after="0" w:line="259" w:lineRule="auto"/>
              <w:rPr>
                <w:rFonts w:eastAsiaTheme="minorEastAsia"/>
                <w:color w:val="000000" w:themeColor="text1"/>
                <w:sz w:val="16"/>
                <w:szCs w:val="16"/>
                <w:lang w:val="en-US"/>
              </w:rPr>
            </w:pPr>
            <w:r w:rsidRPr="25E0FF0F">
              <w:rPr>
                <w:rFonts w:eastAsiaTheme="minorEastAsia"/>
                <w:b/>
                <w:bCs/>
                <w:color w:val="000000" w:themeColor="text1"/>
                <w:sz w:val="16"/>
                <w:szCs w:val="16"/>
                <w:lang w:val="en-US"/>
              </w:rPr>
              <w:t xml:space="preserve">Mask Work: </w:t>
            </w:r>
            <w:r w:rsidRPr="25E0FF0F">
              <w:rPr>
                <w:rFonts w:eastAsiaTheme="minorEastAsia"/>
                <w:color w:val="000000" w:themeColor="text1"/>
                <w:sz w:val="16"/>
                <w:szCs w:val="16"/>
                <w:lang w:val="en-US"/>
              </w:rPr>
              <w:t>Grasp the significance of masks in Commedia.</w:t>
            </w:r>
          </w:p>
          <w:p w14:paraId="6475AE8B" w14:textId="77777777" w:rsidR="00901262" w:rsidRPr="0074092D" w:rsidRDefault="00901262" w:rsidP="00A411D6">
            <w:pPr>
              <w:spacing w:after="0" w:line="259" w:lineRule="auto"/>
              <w:rPr>
                <w:rFonts w:eastAsiaTheme="minorEastAsia"/>
                <w:color w:val="000000" w:themeColor="text1"/>
                <w:sz w:val="16"/>
                <w:szCs w:val="16"/>
              </w:rPr>
            </w:pPr>
            <w:r w:rsidRPr="08C72A28">
              <w:rPr>
                <w:rFonts w:eastAsiaTheme="minorEastAsia"/>
                <w:b/>
                <w:bCs/>
                <w:color w:val="000000" w:themeColor="text1"/>
                <w:sz w:val="16"/>
                <w:szCs w:val="16"/>
                <w:lang w:val="en-US"/>
              </w:rPr>
              <w:t xml:space="preserve">Cultural Influence: </w:t>
            </w:r>
            <w:r w:rsidRPr="08C72A28">
              <w:rPr>
                <w:rFonts w:eastAsiaTheme="minorEastAsia"/>
                <w:color w:val="000000" w:themeColor="text1"/>
                <w:sz w:val="16"/>
                <w:szCs w:val="16"/>
                <w:lang w:val="en-US"/>
              </w:rPr>
              <w:t xml:space="preserve">Appreciate the cultural impact of Commedia </w:t>
            </w:r>
            <w:proofErr w:type="spellStart"/>
            <w:r w:rsidRPr="08C72A28">
              <w:rPr>
                <w:rFonts w:eastAsiaTheme="minorEastAsia"/>
                <w:color w:val="000000" w:themeColor="text1"/>
                <w:sz w:val="16"/>
                <w:szCs w:val="16"/>
                <w:lang w:val="en-US"/>
              </w:rPr>
              <w:t>dell'Arte</w:t>
            </w:r>
            <w:proofErr w:type="spellEnd"/>
            <w:r w:rsidRPr="08C72A28">
              <w:rPr>
                <w:rFonts w:eastAsiaTheme="minorEastAsia"/>
                <w:color w:val="000000" w:themeColor="text1"/>
                <w:sz w:val="16"/>
                <w:szCs w:val="16"/>
                <w:lang w:val="en-US"/>
              </w:rPr>
              <w:t xml:space="preserve"> on the development of theater and its influence on modern comedic traditions.</w:t>
            </w:r>
          </w:p>
          <w:p w14:paraId="11B5E7A3" w14:textId="77777777" w:rsidR="00901262" w:rsidRPr="00C73B37" w:rsidRDefault="00901262" w:rsidP="00A411D6">
            <w:pPr>
              <w:spacing w:after="0" w:line="259" w:lineRule="auto"/>
              <w:rPr>
                <w:rFonts w:eastAsiaTheme="minorEastAsia"/>
                <w:color w:val="000000" w:themeColor="text1"/>
                <w:sz w:val="16"/>
                <w:szCs w:val="16"/>
              </w:rPr>
            </w:pPr>
            <w:r w:rsidRPr="4438F2AF">
              <w:rPr>
                <w:rFonts w:eastAsiaTheme="minorEastAsia"/>
                <w:b/>
                <w:bCs/>
                <w:color w:val="000000" w:themeColor="text1"/>
                <w:sz w:val="16"/>
                <w:szCs w:val="16"/>
                <w:lang w:val="en-US"/>
              </w:rPr>
              <w:t xml:space="preserve">Performance Skills: </w:t>
            </w:r>
            <w:r w:rsidRPr="4438F2AF">
              <w:rPr>
                <w:rFonts w:eastAsiaTheme="minorEastAsia"/>
                <w:color w:val="000000" w:themeColor="text1"/>
                <w:sz w:val="16"/>
                <w:szCs w:val="16"/>
                <w:lang w:val="en-US"/>
              </w:rPr>
              <w:t>Acquire basic performance skills related to vocal projection, physical skills, stage presence, and effective communication within the comedic style of Commedia.</w:t>
            </w:r>
          </w:p>
        </w:tc>
        <w:tc>
          <w:tcPr>
            <w:tcW w:w="4867" w:type="dxa"/>
            <w:gridSpan w:val="2"/>
            <w:shd w:val="clear" w:color="auto" w:fill="auto"/>
            <w:tcMar>
              <w:top w:w="72" w:type="dxa"/>
              <w:left w:w="144" w:type="dxa"/>
              <w:bottom w:w="72" w:type="dxa"/>
              <w:right w:w="144" w:type="dxa"/>
            </w:tcMar>
          </w:tcPr>
          <w:p w14:paraId="0A84033A" w14:textId="77777777" w:rsidR="00901262" w:rsidRPr="00C73B37" w:rsidRDefault="00901262" w:rsidP="00A411D6">
            <w:pPr>
              <w:spacing w:after="0"/>
              <w:rPr>
                <w:sz w:val="16"/>
                <w:szCs w:val="16"/>
              </w:rPr>
            </w:pPr>
            <w:r w:rsidRPr="00C73B37">
              <w:rPr>
                <w:sz w:val="16"/>
                <w:szCs w:val="16"/>
              </w:rPr>
              <w:t>Plot summary and the socioeconomic themes that underpin the narrative.</w:t>
            </w:r>
          </w:p>
          <w:p w14:paraId="057C8597" w14:textId="77777777" w:rsidR="00901262" w:rsidRPr="00C73B37" w:rsidRDefault="00901262" w:rsidP="00A411D6">
            <w:pPr>
              <w:spacing w:after="0"/>
              <w:rPr>
                <w:sz w:val="16"/>
                <w:szCs w:val="16"/>
              </w:rPr>
            </w:pPr>
            <w:r w:rsidRPr="00C73B37">
              <w:rPr>
                <w:sz w:val="16"/>
                <w:szCs w:val="16"/>
              </w:rPr>
              <w:t>Themes: social class, nature versus nurture.</w:t>
            </w:r>
          </w:p>
          <w:p w14:paraId="151DAA34" w14:textId="77777777" w:rsidR="00901262" w:rsidRPr="00C73B37" w:rsidRDefault="00901262" w:rsidP="00A411D6">
            <w:pPr>
              <w:spacing w:after="0"/>
              <w:rPr>
                <w:sz w:val="16"/>
                <w:szCs w:val="16"/>
              </w:rPr>
            </w:pPr>
            <w:r w:rsidRPr="00C73B37">
              <w:rPr>
                <w:sz w:val="16"/>
                <w:szCs w:val="16"/>
              </w:rPr>
              <w:t>Social and historical context: socio economic climate in Liverpool during the time the play is set (1950s – 1970s).</w:t>
            </w:r>
          </w:p>
          <w:p w14:paraId="2E175725" w14:textId="77777777" w:rsidR="00901262" w:rsidRPr="0074092D" w:rsidRDefault="00901262" w:rsidP="00A411D6">
            <w:pPr>
              <w:spacing w:after="0"/>
              <w:rPr>
                <w:sz w:val="16"/>
                <w:szCs w:val="16"/>
              </w:rPr>
            </w:pPr>
            <w:r w:rsidRPr="00C73B37">
              <w:rPr>
                <w:sz w:val="16"/>
                <w:szCs w:val="16"/>
              </w:rPr>
              <w:t>Scene re-enactments and creative interpretations of key moments.</w:t>
            </w:r>
          </w:p>
        </w:tc>
        <w:tc>
          <w:tcPr>
            <w:tcW w:w="4867" w:type="dxa"/>
            <w:gridSpan w:val="2"/>
            <w:shd w:val="clear" w:color="auto" w:fill="auto"/>
            <w:tcMar>
              <w:top w:w="72" w:type="dxa"/>
              <w:left w:w="144" w:type="dxa"/>
              <w:bottom w:w="72" w:type="dxa"/>
              <w:right w:w="144" w:type="dxa"/>
            </w:tcMar>
          </w:tcPr>
          <w:p w14:paraId="50770081" w14:textId="77777777" w:rsidR="00901262" w:rsidRPr="00C73B37" w:rsidRDefault="00901262" w:rsidP="00A411D6">
            <w:pPr>
              <w:spacing w:after="0"/>
              <w:rPr>
                <w:sz w:val="16"/>
                <w:szCs w:val="16"/>
              </w:rPr>
            </w:pPr>
            <w:r w:rsidRPr="00C73B37">
              <w:rPr>
                <w:sz w:val="16"/>
                <w:szCs w:val="16"/>
              </w:rPr>
              <w:t>Defining joyriding</w:t>
            </w:r>
          </w:p>
          <w:p w14:paraId="005B3B72" w14:textId="77777777" w:rsidR="00901262" w:rsidRPr="00C73B37" w:rsidRDefault="00901262" w:rsidP="00A411D6">
            <w:pPr>
              <w:spacing w:after="0"/>
              <w:rPr>
                <w:sz w:val="16"/>
                <w:szCs w:val="16"/>
              </w:rPr>
            </w:pPr>
            <w:r w:rsidRPr="00C73B37">
              <w:rPr>
                <w:sz w:val="16"/>
                <w:szCs w:val="16"/>
              </w:rPr>
              <w:t>Legal consequences</w:t>
            </w:r>
          </w:p>
          <w:p w14:paraId="47042B14" w14:textId="77777777" w:rsidR="00901262" w:rsidRPr="00C73B37" w:rsidRDefault="00901262" w:rsidP="00A411D6">
            <w:pPr>
              <w:spacing w:after="0"/>
              <w:rPr>
                <w:sz w:val="16"/>
                <w:szCs w:val="16"/>
              </w:rPr>
            </w:pPr>
            <w:r w:rsidRPr="00C73B37">
              <w:rPr>
                <w:sz w:val="16"/>
                <w:szCs w:val="16"/>
              </w:rPr>
              <w:t xml:space="preserve">Social impact: effects on individuals, </w:t>
            </w:r>
            <w:bookmarkStart w:id="0" w:name="_Int_VTnOzI2W"/>
            <w:r w:rsidRPr="00C73B37">
              <w:rPr>
                <w:sz w:val="16"/>
                <w:szCs w:val="16"/>
              </w:rPr>
              <w:t>families</w:t>
            </w:r>
            <w:bookmarkEnd w:id="0"/>
            <w:r w:rsidRPr="00C73B37">
              <w:rPr>
                <w:sz w:val="16"/>
                <w:szCs w:val="16"/>
              </w:rPr>
              <w:t xml:space="preserve"> and communities</w:t>
            </w:r>
          </w:p>
          <w:p w14:paraId="05F56D9F" w14:textId="77777777" w:rsidR="00901262" w:rsidRPr="00C73B37" w:rsidRDefault="00901262" w:rsidP="00A411D6">
            <w:pPr>
              <w:spacing w:after="0"/>
              <w:rPr>
                <w:sz w:val="16"/>
                <w:szCs w:val="16"/>
              </w:rPr>
            </w:pPr>
            <w:r w:rsidRPr="00C73B37">
              <w:rPr>
                <w:sz w:val="16"/>
                <w:szCs w:val="16"/>
              </w:rPr>
              <w:t>Motivation and psychology behind rebellious behaviour</w:t>
            </w:r>
          </w:p>
          <w:p w14:paraId="337B15F9" w14:textId="77777777" w:rsidR="00901262" w:rsidRPr="0074092D" w:rsidRDefault="00901262" w:rsidP="00A411D6">
            <w:pPr>
              <w:spacing w:after="0"/>
              <w:rPr>
                <w:sz w:val="16"/>
                <w:szCs w:val="16"/>
              </w:rPr>
            </w:pPr>
            <w:r w:rsidRPr="00C73B37">
              <w:rPr>
                <w:sz w:val="16"/>
                <w:szCs w:val="16"/>
              </w:rPr>
              <w:t xml:space="preserve">Utilisation of drama techniques such as role play, </w:t>
            </w:r>
            <w:bookmarkStart w:id="1" w:name="_Int_rrOLiHS4"/>
            <w:r w:rsidRPr="00C73B37">
              <w:rPr>
                <w:sz w:val="16"/>
                <w:szCs w:val="16"/>
              </w:rPr>
              <w:t>improvisation</w:t>
            </w:r>
            <w:bookmarkEnd w:id="1"/>
            <w:r w:rsidRPr="00C73B37">
              <w:rPr>
                <w:sz w:val="16"/>
                <w:szCs w:val="16"/>
              </w:rPr>
              <w:t xml:space="preserve"> and forum theatre.</w:t>
            </w:r>
          </w:p>
        </w:tc>
      </w:tr>
      <w:tr w:rsidR="00901262" w14:paraId="2D491330" w14:textId="77777777" w:rsidTr="00A411D6">
        <w:trPr>
          <w:cantSplit/>
          <w:trHeight w:val="2028"/>
        </w:trPr>
        <w:tc>
          <w:tcPr>
            <w:tcW w:w="426" w:type="dxa"/>
            <w:vMerge/>
            <w:tcMar>
              <w:top w:w="72" w:type="dxa"/>
              <w:left w:w="144" w:type="dxa"/>
              <w:bottom w:w="72" w:type="dxa"/>
              <w:right w:w="144" w:type="dxa"/>
            </w:tcMar>
            <w:textDirection w:val="btLr"/>
            <w:vAlign w:val="center"/>
          </w:tcPr>
          <w:p w14:paraId="63223ABF" w14:textId="77777777" w:rsidR="00901262" w:rsidRPr="001E04D6" w:rsidRDefault="00901262" w:rsidP="00A411D6">
            <w:pPr>
              <w:ind w:left="113" w:right="113"/>
              <w:jc w:val="center"/>
              <w:rPr>
                <w:rFonts w:cstheme="minorHAnsi"/>
                <w:b/>
                <w:bCs/>
                <w:sz w:val="24"/>
              </w:rPr>
            </w:pPr>
          </w:p>
        </w:tc>
        <w:tc>
          <w:tcPr>
            <w:tcW w:w="567" w:type="dxa"/>
            <w:textDirection w:val="btLr"/>
            <w:vAlign w:val="center"/>
          </w:tcPr>
          <w:p w14:paraId="33349903" w14:textId="77777777" w:rsidR="00901262" w:rsidRPr="001E04D6" w:rsidRDefault="00901262" w:rsidP="00A411D6">
            <w:pPr>
              <w:pStyle w:val="tabletexthd"/>
              <w:spacing w:before="0" w:after="0" w:line="0" w:lineRule="atLeast"/>
              <w:jc w:val="center"/>
              <w:rPr>
                <w:rFonts w:asciiTheme="minorHAnsi" w:hAnsiTheme="minorHAnsi" w:cstheme="minorHAnsi"/>
                <w:bCs/>
                <w:iCs/>
                <w:color w:val="0A1D30" w:themeColor="text2" w:themeShade="BF"/>
                <w:szCs w:val="20"/>
              </w:rPr>
            </w:pPr>
            <w:r>
              <w:rPr>
                <w:rFonts w:asciiTheme="minorHAnsi" w:hAnsiTheme="minorHAnsi" w:cstheme="minorHAnsi"/>
                <w:bCs/>
                <w:iCs/>
                <w:color w:val="0A1D30" w:themeColor="text2" w:themeShade="BF"/>
                <w:szCs w:val="20"/>
              </w:rPr>
              <w:t>KNOWING HOW…</w:t>
            </w:r>
          </w:p>
        </w:tc>
        <w:tc>
          <w:tcPr>
            <w:tcW w:w="4866" w:type="dxa"/>
            <w:gridSpan w:val="2"/>
            <w:shd w:val="clear" w:color="auto" w:fill="auto"/>
            <w:tcMar>
              <w:top w:w="72" w:type="dxa"/>
              <w:left w:w="144" w:type="dxa"/>
              <w:bottom w:w="72" w:type="dxa"/>
              <w:right w:w="144" w:type="dxa"/>
            </w:tcMar>
          </w:tcPr>
          <w:p w14:paraId="03DEE9F3" w14:textId="77777777" w:rsidR="00901262" w:rsidRPr="0074092D" w:rsidRDefault="00901262" w:rsidP="00A411D6">
            <w:pPr>
              <w:spacing w:after="0"/>
              <w:rPr>
                <w:rFonts w:eastAsiaTheme="minorEastAsia"/>
                <w:color w:val="000000" w:themeColor="text1"/>
                <w:sz w:val="16"/>
                <w:szCs w:val="16"/>
              </w:rPr>
            </w:pPr>
            <w:r w:rsidRPr="4438F2AF">
              <w:rPr>
                <w:rFonts w:eastAsiaTheme="minorEastAsia"/>
                <w:b/>
                <w:bCs/>
                <w:color w:val="000000" w:themeColor="text1"/>
                <w:sz w:val="16"/>
                <w:szCs w:val="16"/>
                <w:lang w:val="en-US"/>
              </w:rPr>
              <w:t xml:space="preserve">Physicality and Movement: </w:t>
            </w:r>
            <w:r w:rsidRPr="4438F2AF">
              <w:rPr>
                <w:rFonts w:eastAsiaTheme="minorEastAsia"/>
                <w:color w:val="000000" w:themeColor="text1"/>
                <w:sz w:val="16"/>
                <w:szCs w:val="16"/>
                <w:lang w:val="en-US"/>
              </w:rPr>
              <w:t>Develop an understanding of the exaggerated physicality and movement associated with Commedia characters, as well as the use of lazzi</w:t>
            </w:r>
          </w:p>
          <w:p w14:paraId="19C1CB4C" w14:textId="77777777" w:rsidR="00901262" w:rsidRPr="0074092D" w:rsidRDefault="00901262" w:rsidP="00A411D6">
            <w:pPr>
              <w:spacing w:after="0"/>
              <w:rPr>
                <w:rFonts w:eastAsiaTheme="minorEastAsia"/>
                <w:color w:val="000000" w:themeColor="text1"/>
                <w:sz w:val="16"/>
                <w:szCs w:val="16"/>
              </w:rPr>
            </w:pPr>
            <w:r w:rsidRPr="25E0FF0F">
              <w:rPr>
                <w:rFonts w:eastAsiaTheme="minorEastAsia"/>
                <w:color w:val="000000" w:themeColor="text1"/>
                <w:sz w:val="16"/>
                <w:szCs w:val="16"/>
                <w:lang w:val="en-US"/>
              </w:rPr>
              <w:t xml:space="preserve"> (comic routines), physical theatre and use of slapstick.</w:t>
            </w:r>
          </w:p>
          <w:p w14:paraId="3AA0E90B" w14:textId="77777777" w:rsidR="00901262" w:rsidRPr="0074092D" w:rsidRDefault="00901262" w:rsidP="00A411D6">
            <w:pPr>
              <w:spacing w:after="0"/>
              <w:rPr>
                <w:rFonts w:eastAsiaTheme="minorEastAsia"/>
                <w:color w:val="000000" w:themeColor="text1"/>
                <w:sz w:val="16"/>
                <w:szCs w:val="16"/>
                <w:lang w:val="en-US"/>
              </w:rPr>
            </w:pPr>
          </w:p>
          <w:p w14:paraId="4A191AF2" w14:textId="77777777" w:rsidR="00901262" w:rsidRPr="00C73B37" w:rsidRDefault="00901262" w:rsidP="00A411D6">
            <w:pPr>
              <w:spacing w:after="0" w:line="259" w:lineRule="auto"/>
              <w:rPr>
                <w:rFonts w:eastAsiaTheme="minorEastAsia"/>
                <w:color w:val="000000" w:themeColor="text1"/>
                <w:sz w:val="16"/>
                <w:szCs w:val="16"/>
              </w:rPr>
            </w:pPr>
            <w:r w:rsidRPr="08C72A28">
              <w:rPr>
                <w:rFonts w:eastAsiaTheme="minorEastAsia"/>
                <w:b/>
                <w:bCs/>
                <w:color w:val="000000" w:themeColor="text1"/>
                <w:sz w:val="16"/>
                <w:szCs w:val="16"/>
                <w:lang w:val="en-US"/>
              </w:rPr>
              <w:t xml:space="preserve">Improvisation Techniques: </w:t>
            </w:r>
            <w:r w:rsidRPr="08C72A28">
              <w:rPr>
                <w:rFonts w:eastAsiaTheme="minorEastAsia"/>
                <w:color w:val="000000" w:themeColor="text1"/>
                <w:sz w:val="16"/>
                <w:szCs w:val="16"/>
                <w:lang w:val="en-US"/>
              </w:rPr>
              <w:t xml:space="preserve">Learn and apply improvisation techniques within the context of Commedia scenarios, </w:t>
            </w:r>
            <w:proofErr w:type="spellStart"/>
            <w:r w:rsidRPr="08C72A28">
              <w:rPr>
                <w:rFonts w:eastAsiaTheme="minorEastAsia"/>
                <w:color w:val="000000" w:themeColor="text1"/>
                <w:sz w:val="16"/>
                <w:szCs w:val="16"/>
                <w:lang w:val="en-US"/>
              </w:rPr>
              <w:t>emphasising</w:t>
            </w:r>
            <w:proofErr w:type="spellEnd"/>
            <w:r w:rsidRPr="08C72A28">
              <w:rPr>
                <w:rFonts w:eastAsiaTheme="minorEastAsia"/>
                <w:color w:val="000000" w:themeColor="text1"/>
                <w:sz w:val="16"/>
                <w:szCs w:val="16"/>
                <w:lang w:val="en-US"/>
              </w:rPr>
              <w:t xml:space="preserve"> spontaneity and creativity.</w:t>
            </w:r>
          </w:p>
        </w:tc>
        <w:tc>
          <w:tcPr>
            <w:tcW w:w="4867" w:type="dxa"/>
            <w:gridSpan w:val="2"/>
            <w:shd w:val="clear" w:color="auto" w:fill="auto"/>
            <w:tcMar>
              <w:top w:w="72" w:type="dxa"/>
              <w:left w:w="144" w:type="dxa"/>
              <w:bottom w:w="72" w:type="dxa"/>
              <w:right w:w="144" w:type="dxa"/>
            </w:tcMar>
          </w:tcPr>
          <w:p w14:paraId="402B887C" w14:textId="77777777" w:rsidR="00901262" w:rsidRDefault="00901262" w:rsidP="00A411D6">
            <w:pPr>
              <w:spacing w:after="0"/>
              <w:rPr>
                <w:sz w:val="16"/>
                <w:szCs w:val="16"/>
              </w:rPr>
            </w:pPr>
            <w:r w:rsidRPr="00C73B37">
              <w:rPr>
                <w:b/>
                <w:bCs/>
                <w:sz w:val="16"/>
                <w:szCs w:val="16"/>
              </w:rPr>
              <w:t>Sociology:</w:t>
            </w:r>
            <w:r w:rsidRPr="25E0FF0F">
              <w:rPr>
                <w:sz w:val="16"/>
                <w:szCs w:val="16"/>
              </w:rPr>
              <w:t xml:space="preserve"> discussion of social issues presented in the play, particularly focusing on themes of social class and inequality.</w:t>
            </w:r>
          </w:p>
          <w:p w14:paraId="611FDD54" w14:textId="77777777" w:rsidR="00901262" w:rsidRDefault="00901262" w:rsidP="00A411D6">
            <w:pPr>
              <w:spacing w:after="0"/>
              <w:rPr>
                <w:sz w:val="16"/>
                <w:szCs w:val="16"/>
              </w:rPr>
            </w:pPr>
            <w:r w:rsidRPr="25E0FF0F">
              <w:rPr>
                <w:sz w:val="16"/>
                <w:szCs w:val="16"/>
              </w:rPr>
              <w:t xml:space="preserve">Psychology </w:t>
            </w:r>
            <w:bookmarkStart w:id="2" w:name="_Int_3K7R5x4m"/>
            <w:proofErr w:type="gramStart"/>
            <w:r w:rsidRPr="25E0FF0F">
              <w:rPr>
                <w:sz w:val="16"/>
                <w:szCs w:val="16"/>
              </w:rPr>
              <w:t>explore</w:t>
            </w:r>
            <w:bookmarkEnd w:id="2"/>
            <w:proofErr w:type="gramEnd"/>
            <w:r w:rsidRPr="25E0FF0F">
              <w:rPr>
                <w:sz w:val="16"/>
                <w:szCs w:val="16"/>
              </w:rPr>
              <w:t xml:space="preserve"> the psychological dimensions of character development particularly in relation to nature versus nurture. Discuss the impact of upbringing, </w:t>
            </w:r>
            <w:bookmarkStart w:id="3" w:name="_Int_xvYXz9Bw"/>
            <w:r w:rsidRPr="25E0FF0F">
              <w:rPr>
                <w:sz w:val="16"/>
                <w:szCs w:val="16"/>
              </w:rPr>
              <w:t>environment</w:t>
            </w:r>
            <w:bookmarkEnd w:id="3"/>
            <w:r w:rsidRPr="25E0FF0F">
              <w:rPr>
                <w:sz w:val="16"/>
                <w:szCs w:val="16"/>
              </w:rPr>
              <w:t xml:space="preserve"> and expectations.</w:t>
            </w:r>
          </w:p>
          <w:p w14:paraId="1E7AC904" w14:textId="77777777" w:rsidR="00901262" w:rsidRPr="0074092D" w:rsidRDefault="00901262" w:rsidP="00A411D6">
            <w:pPr>
              <w:spacing w:after="0"/>
              <w:rPr>
                <w:sz w:val="16"/>
                <w:szCs w:val="16"/>
              </w:rPr>
            </w:pPr>
            <w:r w:rsidRPr="25E0FF0F">
              <w:rPr>
                <w:sz w:val="16"/>
                <w:szCs w:val="16"/>
              </w:rPr>
              <w:t>Practical activities such as role play, re-enactments of key scenes and character analysis.</w:t>
            </w:r>
          </w:p>
        </w:tc>
        <w:tc>
          <w:tcPr>
            <w:tcW w:w="4867" w:type="dxa"/>
            <w:gridSpan w:val="2"/>
            <w:shd w:val="clear" w:color="auto" w:fill="auto"/>
            <w:tcMar>
              <w:top w:w="72" w:type="dxa"/>
              <w:left w:w="144" w:type="dxa"/>
              <w:bottom w:w="72" w:type="dxa"/>
              <w:right w:w="144" w:type="dxa"/>
            </w:tcMar>
          </w:tcPr>
          <w:p w14:paraId="677E6EB3" w14:textId="77777777" w:rsidR="00901262" w:rsidRDefault="00901262" w:rsidP="00A411D6">
            <w:pPr>
              <w:spacing w:after="0"/>
              <w:rPr>
                <w:sz w:val="16"/>
                <w:szCs w:val="16"/>
              </w:rPr>
            </w:pPr>
            <w:r w:rsidRPr="00C73B37">
              <w:rPr>
                <w:b/>
                <w:bCs/>
                <w:sz w:val="16"/>
                <w:szCs w:val="16"/>
              </w:rPr>
              <w:t>Psychology:</w:t>
            </w:r>
            <w:r w:rsidRPr="4438F2AF">
              <w:rPr>
                <w:sz w:val="16"/>
                <w:szCs w:val="16"/>
              </w:rPr>
              <w:t xml:space="preserve"> examining motivations behind joyriding considering factors such as thrill-seeking behaviour, peer pressure and the psychological impact on individuals involved. </w:t>
            </w:r>
          </w:p>
          <w:p w14:paraId="7869B778" w14:textId="77777777" w:rsidR="00901262" w:rsidRDefault="00901262" w:rsidP="00A411D6">
            <w:pPr>
              <w:spacing w:after="0"/>
              <w:rPr>
                <w:sz w:val="16"/>
                <w:szCs w:val="16"/>
              </w:rPr>
            </w:pPr>
            <w:r w:rsidRPr="00C73B37">
              <w:rPr>
                <w:b/>
                <w:bCs/>
                <w:sz w:val="16"/>
                <w:szCs w:val="16"/>
              </w:rPr>
              <w:t>Ethics and philosophy:</w:t>
            </w:r>
            <w:r w:rsidRPr="4438F2AF">
              <w:rPr>
                <w:sz w:val="16"/>
                <w:szCs w:val="16"/>
              </w:rPr>
              <w:t xml:space="preserve"> discuss the ethical implications of joyriding, considering issues of personal responsibility, harm to others and the ethical choices characters make within dramatic narratives.</w:t>
            </w:r>
          </w:p>
          <w:p w14:paraId="0AB06CC2" w14:textId="77777777" w:rsidR="00901262" w:rsidRPr="0074092D" w:rsidRDefault="00901262" w:rsidP="00A411D6">
            <w:pPr>
              <w:spacing w:after="0"/>
              <w:rPr>
                <w:sz w:val="16"/>
                <w:szCs w:val="16"/>
              </w:rPr>
            </w:pPr>
            <w:r w:rsidRPr="00C73B37">
              <w:rPr>
                <w:b/>
                <w:bCs/>
                <w:sz w:val="16"/>
                <w:szCs w:val="16"/>
              </w:rPr>
              <w:t>Public health:</w:t>
            </w:r>
            <w:r w:rsidRPr="4438F2AF">
              <w:rPr>
                <w:sz w:val="16"/>
                <w:szCs w:val="16"/>
              </w:rPr>
              <w:t xml:space="preserve"> examine the public health implications of joyriding especially in terms of injuries and fatalities resulting from accidents.</w:t>
            </w:r>
          </w:p>
        </w:tc>
      </w:tr>
      <w:tr w:rsidR="00901262" w14:paraId="71F31C99" w14:textId="77777777" w:rsidTr="00A411D6">
        <w:trPr>
          <w:cantSplit/>
          <w:trHeight w:val="1078"/>
        </w:trPr>
        <w:tc>
          <w:tcPr>
            <w:tcW w:w="426" w:type="dxa"/>
            <w:vMerge/>
            <w:tcMar>
              <w:top w:w="72" w:type="dxa"/>
              <w:left w:w="144" w:type="dxa"/>
              <w:bottom w:w="72" w:type="dxa"/>
              <w:right w:w="144" w:type="dxa"/>
            </w:tcMar>
            <w:textDirection w:val="btLr"/>
            <w:vAlign w:val="center"/>
          </w:tcPr>
          <w:p w14:paraId="6771E191" w14:textId="77777777" w:rsidR="00901262" w:rsidRPr="001E04D6" w:rsidRDefault="00901262" w:rsidP="00A411D6">
            <w:pPr>
              <w:ind w:left="113" w:right="113"/>
              <w:jc w:val="center"/>
              <w:rPr>
                <w:rFonts w:cstheme="minorHAnsi"/>
                <w:b/>
                <w:bCs/>
                <w:sz w:val="24"/>
              </w:rPr>
            </w:pPr>
          </w:p>
        </w:tc>
        <w:tc>
          <w:tcPr>
            <w:tcW w:w="567" w:type="dxa"/>
            <w:textDirection w:val="btLr"/>
            <w:vAlign w:val="center"/>
          </w:tcPr>
          <w:p w14:paraId="16E75C4F" w14:textId="77777777" w:rsidR="00901262" w:rsidRPr="001E04D6" w:rsidRDefault="00901262" w:rsidP="00A411D6">
            <w:pPr>
              <w:pStyle w:val="tabletexthd"/>
              <w:spacing w:before="0" w:after="0"/>
              <w:ind w:left="113" w:right="113"/>
              <w:jc w:val="center"/>
              <w:rPr>
                <w:rFonts w:asciiTheme="minorHAnsi" w:hAnsiTheme="minorHAnsi" w:cstheme="minorBidi"/>
                <w:color w:val="0A1D30" w:themeColor="text2" w:themeShade="BF"/>
                <w:sz w:val="16"/>
                <w:szCs w:val="16"/>
              </w:rPr>
            </w:pPr>
            <w:r w:rsidRPr="4438F2AF">
              <w:rPr>
                <w:rFonts w:asciiTheme="minorHAnsi" w:hAnsiTheme="minorHAnsi" w:cstheme="minorBidi"/>
                <w:color w:val="0A1D30" w:themeColor="text2" w:themeShade="BF"/>
                <w:sz w:val="16"/>
                <w:szCs w:val="16"/>
              </w:rPr>
              <w:t>ASSESSMENT</w:t>
            </w:r>
          </w:p>
        </w:tc>
        <w:tc>
          <w:tcPr>
            <w:tcW w:w="4866" w:type="dxa"/>
            <w:gridSpan w:val="2"/>
            <w:shd w:val="clear" w:color="auto" w:fill="auto"/>
            <w:tcMar>
              <w:top w:w="72" w:type="dxa"/>
              <w:left w:w="144" w:type="dxa"/>
              <w:bottom w:w="72" w:type="dxa"/>
              <w:right w:w="144" w:type="dxa"/>
            </w:tcMar>
          </w:tcPr>
          <w:p w14:paraId="44CCF401" w14:textId="77777777" w:rsidR="00901262" w:rsidRPr="0074092D" w:rsidRDefault="00901262" w:rsidP="00A411D6">
            <w:pPr>
              <w:rPr>
                <w:b/>
                <w:sz w:val="16"/>
                <w:szCs w:val="16"/>
              </w:rPr>
            </w:pPr>
            <w:r w:rsidRPr="25E0FF0F">
              <w:rPr>
                <w:sz w:val="16"/>
                <w:szCs w:val="16"/>
              </w:rPr>
              <w:t>Group performance of a scene in the style of commedia. Students are asked to demonstrate understanding of status within the master/servant scenarios, physically and vocally displaying this. In addition, they must incorporate relevant techniques such as slapstick, rule of three and lazzi.</w:t>
            </w:r>
          </w:p>
        </w:tc>
        <w:tc>
          <w:tcPr>
            <w:tcW w:w="4867" w:type="dxa"/>
            <w:gridSpan w:val="2"/>
            <w:shd w:val="clear" w:color="auto" w:fill="auto"/>
            <w:tcMar>
              <w:top w:w="72" w:type="dxa"/>
              <w:left w:w="144" w:type="dxa"/>
              <w:bottom w:w="72" w:type="dxa"/>
              <w:right w:w="144" w:type="dxa"/>
            </w:tcMar>
          </w:tcPr>
          <w:p w14:paraId="05B991C6" w14:textId="77777777" w:rsidR="00901262" w:rsidRPr="0074092D" w:rsidRDefault="00901262" w:rsidP="00A411D6">
            <w:pPr>
              <w:rPr>
                <w:sz w:val="16"/>
                <w:szCs w:val="16"/>
              </w:rPr>
            </w:pPr>
            <w:r w:rsidRPr="08C72A28">
              <w:rPr>
                <w:sz w:val="16"/>
                <w:szCs w:val="16"/>
              </w:rPr>
              <w:t>Assessment will include performing an extract from the play - Mickey and Eddie meet for the first time, aged 7. Students are asked to pay particular attention to the skills used to present these two characters to highlight the differences in their social class.</w:t>
            </w:r>
          </w:p>
        </w:tc>
        <w:tc>
          <w:tcPr>
            <w:tcW w:w="4867" w:type="dxa"/>
            <w:gridSpan w:val="2"/>
            <w:shd w:val="clear" w:color="auto" w:fill="auto"/>
            <w:tcMar>
              <w:top w:w="72" w:type="dxa"/>
              <w:left w:w="144" w:type="dxa"/>
              <w:bottom w:w="72" w:type="dxa"/>
              <w:right w:w="144" w:type="dxa"/>
            </w:tcMar>
          </w:tcPr>
          <w:p w14:paraId="3B1A1061" w14:textId="77777777" w:rsidR="00901262" w:rsidRPr="0074092D" w:rsidRDefault="00901262" w:rsidP="00A411D6">
            <w:pPr>
              <w:rPr>
                <w:sz w:val="16"/>
                <w:szCs w:val="16"/>
              </w:rPr>
            </w:pPr>
            <w:r w:rsidRPr="08C72A28">
              <w:rPr>
                <w:sz w:val="16"/>
                <w:szCs w:val="16"/>
              </w:rPr>
              <w:t>Assessment includes a group performance in which students are encouraged to push the drama forwards in a direction of their choice.</w:t>
            </w:r>
          </w:p>
        </w:tc>
      </w:tr>
    </w:tbl>
    <w:p w14:paraId="15C391B7" w14:textId="77777777" w:rsidR="003B3D5C" w:rsidRDefault="003B3D5C"/>
    <w:sectPr w:rsidR="003B3D5C" w:rsidSect="006F480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0A"/>
    <w:rsid w:val="003B3D5C"/>
    <w:rsid w:val="004532E1"/>
    <w:rsid w:val="006F480A"/>
    <w:rsid w:val="00701BA9"/>
    <w:rsid w:val="00901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CC44"/>
  <w15:chartTrackingRefBased/>
  <w15:docId w15:val="{339718A3-62DD-47D6-8942-348CF4BD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262"/>
    <w:pPr>
      <w:spacing w:after="200" w:line="276" w:lineRule="auto"/>
    </w:pPr>
    <w:rPr>
      <w:kern w:val="0"/>
      <w14:ligatures w14:val="none"/>
    </w:rPr>
  </w:style>
  <w:style w:type="paragraph" w:styleId="Heading1">
    <w:name w:val="heading 1"/>
    <w:basedOn w:val="Normal"/>
    <w:next w:val="Normal"/>
    <w:link w:val="Heading1Char"/>
    <w:uiPriority w:val="9"/>
    <w:qFormat/>
    <w:rsid w:val="006F480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480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480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480A"/>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F480A"/>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F480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F480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F480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F480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8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8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8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8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8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80A"/>
    <w:rPr>
      <w:rFonts w:eastAsiaTheme="majorEastAsia" w:cstheme="majorBidi"/>
      <w:color w:val="272727" w:themeColor="text1" w:themeTint="D8"/>
    </w:rPr>
  </w:style>
  <w:style w:type="paragraph" w:styleId="Title">
    <w:name w:val="Title"/>
    <w:basedOn w:val="Normal"/>
    <w:next w:val="Normal"/>
    <w:link w:val="TitleChar"/>
    <w:uiPriority w:val="10"/>
    <w:qFormat/>
    <w:rsid w:val="006F480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4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8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80A"/>
    <w:pPr>
      <w:spacing w:before="160"/>
      <w:jc w:val="center"/>
    </w:pPr>
    <w:rPr>
      <w:i/>
      <w:iCs/>
      <w:color w:val="404040" w:themeColor="text1" w:themeTint="BF"/>
    </w:rPr>
  </w:style>
  <w:style w:type="character" w:customStyle="1" w:styleId="QuoteChar">
    <w:name w:val="Quote Char"/>
    <w:basedOn w:val="DefaultParagraphFont"/>
    <w:link w:val="Quote"/>
    <w:uiPriority w:val="29"/>
    <w:rsid w:val="006F480A"/>
    <w:rPr>
      <w:i/>
      <w:iCs/>
      <w:color w:val="404040" w:themeColor="text1" w:themeTint="BF"/>
    </w:rPr>
  </w:style>
  <w:style w:type="paragraph" w:styleId="ListParagraph">
    <w:name w:val="List Paragraph"/>
    <w:basedOn w:val="Normal"/>
    <w:uiPriority w:val="34"/>
    <w:qFormat/>
    <w:rsid w:val="006F480A"/>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6F480A"/>
    <w:rPr>
      <w:i/>
      <w:iCs/>
      <w:color w:val="0F4761" w:themeColor="accent1" w:themeShade="BF"/>
    </w:rPr>
  </w:style>
  <w:style w:type="paragraph" w:styleId="IntenseQuote">
    <w:name w:val="Intense Quote"/>
    <w:basedOn w:val="Normal"/>
    <w:next w:val="Normal"/>
    <w:link w:val="IntenseQuoteChar"/>
    <w:uiPriority w:val="30"/>
    <w:qFormat/>
    <w:rsid w:val="006F4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80A"/>
    <w:rPr>
      <w:i/>
      <w:iCs/>
      <w:color w:val="0F4761" w:themeColor="accent1" w:themeShade="BF"/>
    </w:rPr>
  </w:style>
  <w:style w:type="character" w:styleId="IntenseReference">
    <w:name w:val="Intense Reference"/>
    <w:basedOn w:val="DefaultParagraphFont"/>
    <w:uiPriority w:val="32"/>
    <w:qFormat/>
    <w:rsid w:val="006F480A"/>
    <w:rPr>
      <w:b/>
      <w:bCs/>
      <w:smallCaps/>
      <w:color w:val="0F4761" w:themeColor="accent1" w:themeShade="BF"/>
      <w:spacing w:val="5"/>
    </w:rPr>
  </w:style>
  <w:style w:type="paragraph" w:customStyle="1" w:styleId="tabletexthd">
    <w:name w:val="table text hd"/>
    <w:rsid w:val="00901262"/>
    <w:pPr>
      <w:spacing w:before="120" w:after="60" w:line="260" w:lineRule="atLeast"/>
    </w:pPr>
    <w:rPr>
      <w:rFonts w:ascii="Verdana" w:eastAsia="Times New Roman" w:hAnsi="Verdana" w:cs="Times New Roman"/>
      <w:b/>
      <w:color w:val="FFFFFF"/>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Richardson</dc:creator>
  <cp:keywords/>
  <dc:description/>
  <cp:lastModifiedBy>Mr J Richardson</cp:lastModifiedBy>
  <cp:revision>2</cp:revision>
  <dcterms:created xsi:type="dcterms:W3CDTF">2024-10-04T13:09:00Z</dcterms:created>
  <dcterms:modified xsi:type="dcterms:W3CDTF">2024-10-04T13:09:00Z</dcterms:modified>
</cp:coreProperties>
</file>