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5" w:tblpY="425"/>
        <w:tblOverlap w:val="never"/>
        <w:tblW w:w="15595" w:type="dxa"/>
        <w:tblInd w:w="0" w:type="dxa"/>
        <w:tblCellMar>
          <w:top w:w="45" w:type="dxa"/>
          <w:left w:w="186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5558"/>
        <w:gridCol w:w="3089"/>
        <w:gridCol w:w="4680"/>
      </w:tblGrid>
      <w:tr w:rsidR="002F40B2" w14:paraId="45F56EFF" w14:textId="77777777" w:rsidTr="002F40B2">
        <w:trPr>
          <w:trHeight w:val="261"/>
        </w:trPr>
        <w:tc>
          <w:tcPr>
            <w:tcW w:w="7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0335F39" w14:textId="74180426" w:rsidR="002F40B2" w:rsidRPr="00FD3810" w:rsidRDefault="00FD3810" w:rsidP="00FD3810">
            <w:pPr>
              <w:ind w:left="0"/>
              <w:jc w:val="center"/>
              <w:rPr>
                <w:color w:val="000000" w:themeColor="text1"/>
              </w:rPr>
            </w:pPr>
            <w:r w:rsidRPr="002F40B2">
              <w:rPr>
                <w:color w:val="000000" w:themeColor="text1"/>
              </w:rPr>
              <w:t xml:space="preserve">SEND provision in </w:t>
            </w:r>
            <w:r w:rsidR="002D67A0">
              <w:rPr>
                <w:color w:val="000000" w:themeColor="text1"/>
              </w:rPr>
              <w:t>History</w:t>
            </w:r>
          </w:p>
        </w:tc>
        <w:tc>
          <w:tcPr>
            <w:tcW w:w="7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DD8EC7E" w14:textId="77777777" w:rsidR="002F40B2" w:rsidRDefault="002F40B2">
            <w:pPr>
              <w:ind w:left="0" w:right="119"/>
              <w:jc w:val="center"/>
              <w:rPr>
                <w:color w:val="FFFFFF"/>
                <w:sz w:val="20"/>
                <w:u w:val="none" w:color="000000"/>
              </w:rPr>
            </w:pPr>
          </w:p>
        </w:tc>
      </w:tr>
      <w:tr w:rsidR="00FD3810" w14:paraId="1D5253E8" w14:textId="77777777" w:rsidTr="00CF5C12">
        <w:trPr>
          <w:trHeight w:val="249"/>
        </w:trPr>
        <w:tc>
          <w:tcPr>
            <w:tcW w:w="7826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7392FC2" w14:textId="42124A34" w:rsidR="00FD3810" w:rsidRPr="00FD3810" w:rsidRDefault="00FD3810">
            <w:pPr>
              <w:ind w:left="0" w:right="11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Cognition and Learning</w:t>
            </w:r>
          </w:p>
        </w:tc>
        <w:tc>
          <w:tcPr>
            <w:tcW w:w="7769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9AF18AD" w14:textId="7BF32858" w:rsidR="00FD3810" w:rsidRPr="00FD3810" w:rsidRDefault="00FD3810">
            <w:pPr>
              <w:ind w:left="0" w:right="10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Communication and Interaction</w:t>
            </w:r>
          </w:p>
        </w:tc>
      </w:tr>
      <w:tr w:rsidR="007F7E79" w14:paraId="76710460" w14:textId="77777777" w:rsidTr="002F40B2">
        <w:trPr>
          <w:trHeight w:val="249"/>
        </w:trPr>
        <w:tc>
          <w:tcPr>
            <w:tcW w:w="226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4FBE4D5" w14:textId="77777777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Learning Challenges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E86BD08" w14:textId="77777777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20ECD47" w14:textId="77777777" w:rsidR="007F7E79" w:rsidRDefault="00FD3810">
            <w:pPr>
              <w:ind w:left="0" w:right="112"/>
              <w:jc w:val="center"/>
            </w:pPr>
            <w:r>
              <w:rPr>
                <w:sz w:val="20"/>
                <w:u w:val="none" w:color="000000"/>
              </w:rPr>
              <w:t xml:space="preserve">Learning Challenges </w:t>
            </w:r>
          </w:p>
        </w:tc>
        <w:tc>
          <w:tcPr>
            <w:tcW w:w="4680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CE5C986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14:paraId="711D61C8" w14:textId="77777777" w:rsidTr="002F40B2">
        <w:trPr>
          <w:trHeight w:val="4705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DA07CD" w14:textId="77777777" w:rsidR="002D67A0" w:rsidRPr="002D67A0" w:rsidRDefault="002D67A0" w:rsidP="002D67A0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2D67A0">
              <w:rPr>
                <w:b w:val="0"/>
                <w:bCs/>
                <w:sz w:val="16"/>
                <w:szCs w:val="18"/>
                <w:u w:val="none"/>
              </w:rPr>
              <w:t>• Accessing reading/ written historic accounts / evidence etc.</w:t>
            </w:r>
          </w:p>
          <w:p w14:paraId="2C6A09E8" w14:textId="77777777" w:rsidR="002D67A0" w:rsidRPr="002D67A0" w:rsidRDefault="002D67A0" w:rsidP="002D67A0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2D67A0">
              <w:rPr>
                <w:b w:val="0"/>
                <w:bCs/>
                <w:sz w:val="16"/>
                <w:szCs w:val="18"/>
                <w:u w:val="none"/>
              </w:rPr>
              <w:t>• Poor memory and recall skills</w:t>
            </w:r>
          </w:p>
          <w:p w14:paraId="7B0AD93A" w14:textId="77777777" w:rsidR="002D67A0" w:rsidRPr="002D67A0" w:rsidRDefault="002D67A0" w:rsidP="002D67A0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2D67A0">
              <w:rPr>
                <w:b w:val="0"/>
                <w:bCs/>
                <w:sz w:val="16"/>
                <w:szCs w:val="18"/>
                <w:u w:val="none"/>
              </w:rPr>
              <w:t>• Recording written investigations or findings.</w:t>
            </w:r>
          </w:p>
          <w:p w14:paraId="655BF106" w14:textId="6A3C7F01" w:rsidR="007F7E79" w:rsidRPr="002F40B2" w:rsidRDefault="002D67A0" w:rsidP="002D67A0">
            <w:pPr>
              <w:ind w:left="0" w:right="28"/>
              <w:rPr>
                <w:sz w:val="16"/>
                <w:szCs w:val="18"/>
              </w:rPr>
            </w:pPr>
            <w:r w:rsidRPr="002D67A0">
              <w:rPr>
                <w:b w:val="0"/>
                <w:bCs/>
                <w:sz w:val="16"/>
                <w:szCs w:val="18"/>
                <w:u w:val="none"/>
              </w:rPr>
              <w:t>• Poor sequencing skills and chronological understanding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5889F9" w14:textId="77777777" w:rsidR="008C29A8" w:rsidRPr="008C29A8" w:rsidRDefault="008C29A8" w:rsidP="008C29A8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C29A8">
              <w:rPr>
                <w:b w:val="0"/>
                <w:bCs/>
                <w:sz w:val="16"/>
                <w:szCs w:val="18"/>
                <w:u w:val="none"/>
              </w:rPr>
              <w:t xml:space="preserve">• Use of symbols, larger print, colour coding, multi-sensory </w:t>
            </w:r>
            <w:proofErr w:type="gramStart"/>
            <w:r w:rsidRPr="008C29A8">
              <w:rPr>
                <w:b w:val="0"/>
                <w:bCs/>
                <w:sz w:val="16"/>
                <w:szCs w:val="18"/>
                <w:u w:val="none"/>
              </w:rPr>
              <w:t>reinforcement</w:t>
            </w:r>
            <w:proofErr w:type="gramEnd"/>
            <w:r w:rsidRPr="008C29A8">
              <w:rPr>
                <w:b w:val="0"/>
                <w:bCs/>
                <w:sz w:val="16"/>
                <w:szCs w:val="18"/>
                <w:u w:val="none"/>
              </w:rPr>
              <w:t xml:space="preserve"> and photographs (if available) and a greater emphasis on aural memory skills.</w:t>
            </w:r>
          </w:p>
          <w:p w14:paraId="04B20148" w14:textId="1A2449ED" w:rsidR="008C29A8" w:rsidRPr="008C29A8" w:rsidRDefault="008C29A8" w:rsidP="008C29A8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C29A8">
              <w:rPr>
                <w:b w:val="0"/>
                <w:bCs/>
                <w:sz w:val="16"/>
                <w:szCs w:val="18"/>
                <w:u w:val="none"/>
              </w:rPr>
              <w:t xml:space="preserve">• Use word banks which include pictures – </w:t>
            </w:r>
            <w:r>
              <w:rPr>
                <w:b w:val="0"/>
                <w:bCs/>
                <w:sz w:val="16"/>
                <w:szCs w:val="18"/>
                <w:u w:val="none"/>
              </w:rPr>
              <w:t>board maker and noun project</w:t>
            </w:r>
          </w:p>
          <w:p w14:paraId="3BE7E93E" w14:textId="77777777" w:rsidR="008C29A8" w:rsidRPr="008C29A8" w:rsidRDefault="008C29A8" w:rsidP="008C29A8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C29A8">
              <w:rPr>
                <w:b w:val="0"/>
                <w:bCs/>
                <w:sz w:val="16"/>
                <w:szCs w:val="18"/>
                <w:u w:val="none"/>
              </w:rPr>
              <w:t>• Dyslexia friendly environment,</w:t>
            </w:r>
          </w:p>
          <w:p w14:paraId="2CEC53FB" w14:textId="4FC6E191" w:rsidR="00312EF1" w:rsidRDefault="008C29A8" w:rsidP="00312EF1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C29A8">
              <w:rPr>
                <w:b w:val="0"/>
                <w:bCs/>
                <w:sz w:val="16"/>
                <w:szCs w:val="18"/>
                <w:u w:val="none"/>
              </w:rPr>
              <w:t>• Scribing</w:t>
            </w:r>
          </w:p>
          <w:p w14:paraId="6558299C" w14:textId="0571F923" w:rsidR="00312EF1" w:rsidRPr="00312EF1" w:rsidRDefault="00312EF1" w:rsidP="00312EF1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C29A8">
              <w:rPr>
                <w:b w:val="0"/>
                <w:bCs/>
                <w:sz w:val="16"/>
                <w:szCs w:val="18"/>
                <w:u w:val="none"/>
              </w:rPr>
              <w:t>• S</w:t>
            </w:r>
            <w:r>
              <w:rPr>
                <w:b w:val="0"/>
                <w:bCs/>
                <w:sz w:val="16"/>
                <w:szCs w:val="18"/>
                <w:u w:val="none"/>
              </w:rPr>
              <w:t>ubstitution tables</w:t>
            </w:r>
          </w:p>
          <w:p w14:paraId="53C978BF" w14:textId="7D34C1BD" w:rsidR="008C29A8" w:rsidRPr="008C29A8" w:rsidRDefault="008C29A8" w:rsidP="008C29A8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C29A8">
              <w:rPr>
                <w:b w:val="0"/>
                <w:bCs/>
                <w:sz w:val="16"/>
                <w:szCs w:val="18"/>
                <w:u w:val="none"/>
              </w:rPr>
              <w:t xml:space="preserve">• Use of technology </w:t>
            </w:r>
          </w:p>
          <w:p w14:paraId="732A284D" w14:textId="77777777" w:rsidR="008C29A8" w:rsidRPr="008C29A8" w:rsidRDefault="008C29A8" w:rsidP="008C29A8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C29A8">
              <w:rPr>
                <w:b w:val="0"/>
                <w:bCs/>
                <w:sz w:val="16"/>
                <w:szCs w:val="18"/>
                <w:u w:val="none"/>
              </w:rPr>
              <w:t xml:space="preserve">• A working wall showing skills developed in each lesson and how successive lessons or topics link together both chronologically and advancement of skills including symbols, </w:t>
            </w:r>
            <w:proofErr w:type="gramStart"/>
            <w:r w:rsidRPr="008C29A8">
              <w:rPr>
                <w:b w:val="0"/>
                <w:bCs/>
                <w:sz w:val="16"/>
                <w:szCs w:val="18"/>
                <w:u w:val="none"/>
              </w:rPr>
              <w:t>images</w:t>
            </w:r>
            <w:proofErr w:type="gramEnd"/>
            <w:r w:rsidRPr="008C29A8">
              <w:rPr>
                <w:b w:val="0"/>
                <w:bCs/>
                <w:sz w:val="16"/>
                <w:szCs w:val="18"/>
                <w:u w:val="none"/>
              </w:rPr>
              <w:t xml:space="preserve"> or objects to make it more accessible. Repeat or display important information.</w:t>
            </w:r>
          </w:p>
          <w:p w14:paraId="335907E9" w14:textId="77777777" w:rsidR="008C29A8" w:rsidRPr="008C29A8" w:rsidRDefault="008C29A8" w:rsidP="008C29A8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C29A8">
              <w:rPr>
                <w:b w:val="0"/>
                <w:bCs/>
                <w:sz w:val="16"/>
                <w:szCs w:val="18"/>
                <w:u w:val="none"/>
              </w:rPr>
              <w:t>• Use of ICT to reduce the need for pupils to rely on their short- or long-term memories.</w:t>
            </w:r>
          </w:p>
          <w:p w14:paraId="79914BE2" w14:textId="77777777" w:rsidR="008C29A8" w:rsidRPr="008C29A8" w:rsidRDefault="008C29A8" w:rsidP="008C29A8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C29A8">
              <w:rPr>
                <w:b w:val="0"/>
                <w:bCs/>
                <w:sz w:val="16"/>
                <w:szCs w:val="18"/>
                <w:u w:val="none"/>
              </w:rPr>
              <w:t>• New learning fits into the framework of what the pupil already knows.</w:t>
            </w:r>
          </w:p>
          <w:p w14:paraId="56191FED" w14:textId="77777777" w:rsidR="008C29A8" w:rsidRPr="008C29A8" w:rsidRDefault="008C29A8" w:rsidP="008C29A8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C29A8">
              <w:rPr>
                <w:b w:val="0"/>
                <w:bCs/>
                <w:sz w:val="16"/>
                <w:szCs w:val="18"/>
                <w:u w:val="none"/>
              </w:rPr>
              <w:t>• A range of sources of assessment, including individual pupils’ successes in the lessons taking account of their oral contributions</w:t>
            </w:r>
          </w:p>
          <w:p w14:paraId="1CEAA6A2" w14:textId="77777777" w:rsidR="008C29A8" w:rsidRPr="008C29A8" w:rsidRDefault="008C29A8" w:rsidP="008C29A8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C29A8">
              <w:rPr>
                <w:b w:val="0"/>
                <w:bCs/>
                <w:sz w:val="16"/>
                <w:szCs w:val="18"/>
                <w:u w:val="none"/>
              </w:rPr>
              <w:t>• Smart grouping: pairing with a more able reader/writer.</w:t>
            </w:r>
          </w:p>
          <w:p w14:paraId="3614DDF3" w14:textId="71075F07" w:rsidR="007F7E79" w:rsidRPr="002F40B2" w:rsidRDefault="008C29A8" w:rsidP="008C29A8">
            <w:pPr>
              <w:ind w:left="0"/>
              <w:rPr>
                <w:sz w:val="16"/>
                <w:szCs w:val="18"/>
              </w:rPr>
            </w:pPr>
            <w:r w:rsidRPr="008C29A8">
              <w:rPr>
                <w:b w:val="0"/>
                <w:bCs/>
                <w:sz w:val="16"/>
                <w:szCs w:val="18"/>
                <w:u w:val="none"/>
              </w:rPr>
              <w:t>• Build in lots of repetition.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0983BF" w14:textId="77777777" w:rsidR="000E3DAF" w:rsidRPr="000E3DAF" w:rsidRDefault="000E3DAF" w:rsidP="000E3DA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0E3DAF">
              <w:rPr>
                <w:b w:val="0"/>
                <w:bCs/>
                <w:sz w:val="16"/>
                <w:szCs w:val="18"/>
                <w:u w:val="none"/>
              </w:rPr>
              <w:t>• Following instructions</w:t>
            </w:r>
          </w:p>
          <w:p w14:paraId="3A10244F" w14:textId="77777777" w:rsidR="000E3DAF" w:rsidRPr="000E3DAF" w:rsidRDefault="000E3DAF" w:rsidP="000E3DA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0E3DAF">
              <w:rPr>
                <w:b w:val="0"/>
                <w:bCs/>
                <w:sz w:val="16"/>
                <w:szCs w:val="18"/>
                <w:u w:val="none"/>
              </w:rPr>
              <w:t>• Understanding and using new topic vocabulary</w:t>
            </w:r>
          </w:p>
          <w:p w14:paraId="5BC52F93" w14:textId="184DB016" w:rsidR="007F7E79" w:rsidRPr="002F40B2" w:rsidRDefault="000E3DAF" w:rsidP="000E3DAF">
            <w:pPr>
              <w:ind w:left="0"/>
              <w:rPr>
                <w:sz w:val="16"/>
                <w:szCs w:val="18"/>
              </w:rPr>
            </w:pPr>
            <w:r w:rsidRPr="000E3DAF">
              <w:rPr>
                <w:b w:val="0"/>
                <w:bCs/>
                <w:sz w:val="16"/>
                <w:szCs w:val="18"/>
                <w:u w:val="none"/>
              </w:rPr>
              <w:t>• Lower than expected levels of expressive vocabulary – ‘they can’t find the words’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D663419" w14:textId="77777777" w:rsidR="00F658DD" w:rsidRPr="00F658DD" w:rsidRDefault="00F658DD" w:rsidP="00F658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658DD">
              <w:rPr>
                <w:b w:val="0"/>
                <w:bCs/>
                <w:sz w:val="16"/>
                <w:szCs w:val="18"/>
                <w:u w:val="none"/>
              </w:rPr>
              <w:t xml:space="preserve">• Give instructions as a </w:t>
            </w:r>
            <w:proofErr w:type="gramStart"/>
            <w:r w:rsidRPr="00F658DD">
              <w:rPr>
                <w:b w:val="0"/>
                <w:bCs/>
                <w:sz w:val="16"/>
                <w:szCs w:val="18"/>
                <w:u w:val="none"/>
              </w:rPr>
              <w:t>step by step</w:t>
            </w:r>
            <w:proofErr w:type="gramEnd"/>
            <w:r w:rsidRPr="00F658DD">
              <w:rPr>
                <w:b w:val="0"/>
                <w:bCs/>
                <w:sz w:val="16"/>
                <w:szCs w:val="18"/>
                <w:u w:val="none"/>
              </w:rPr>
              <w:t xml:space="preserve"> basis</w:t>
            </w:r>
          </w:p>
          <w:p w14:paraId="44E9719B" w14:textId="77777777" w:rsidR="00F658DD" w:rsidRPr="00F658DD" w:rsidRDefault="00F658DD" w:rsidP="00F658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658DD">
              <w:rPr>
                <w:b w:val="0"/>
                <w:bCs/>
                <w:sz w:val="16"/>
                <w:szCs w:val="18"/>
                <w:u w:val="none"/>
              </w:rPr>
              <w:t xml:space="preserve">• Refer to knowledge organisers stuck into their books at the beginning of each new topic and send </w:t>
            </w:r>
            <w:proofErr w:type="gramStart"/>
            <w:r w:rsidRPr="00F658DD">
              <w:rPr>
                <w:b w:val="0"/>
                <w:bCs/>
                <w:sz w:val="16"/>
                <w:szCs w:val="18"/>
                <w:u w:val="none"/>
              </w:rPr>
              <w:t>these home</w:t>
            </w:r>
            <w:proofErr w:type="gramEnd"/>
            <w:r w:rsidRPr="00F658DD">
              <w:rPr>
                <w:b w:val="0"/>
                <w:bCs/>
                <w:sz w:val="16"/>
                <w:szCs w:val="18"/>
                <w:u w:val="none"/>
              </w:rPr>
              <w:t>, before the unit, as they will contain new vocabulary</w:t>
            </w:r>
          </w:p>
          <w:p w14:paraId="4AB82EEF" w14:textId="77777777" w:rsidR="00F658DD" w:rsidRPr="00F658DD" w:rsidRDefault="00F658DD" w:rsidP="00F658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658DD">
              <w:rPr>
                <w:b w:val="0"/>
                <w:bCs/>
                <w:sz w:val="16"/>
                <w:szCs w:val="18"/>
                <w:u w:val="none"/>
              </w:rPr>
              <w:t>• Pre-teaching of new vocabulary prior to lesson.</w:t>
            </w:r>
          </w:p>
          <w:p w14:paraId="16ED68AF" w14:textId="77777777" w:rsidR="00F658DD" w:rsidRPr="00F658DD" w:rsidRDefault="00F658DD" w:rsidP="00F658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658DD">
              <w:rPr>
                <w:b w:val="0"/>
                <w:bCs/>
                <w:sz w:val="16"/>
                <w:szCs w:val="18"/>
                <w:u w:val="none"/>
              </w:rPr>
              <w:t>• Limit vocabulary to that which is necessary to ensure progress.</w:t>
            </w:r>
          </w:p>
          <w:p w14:paraId="2CD5BD98" w14:textId="77777777" w:rsidR="00F658DD" w:rsidRPr="00F658DD" w:rsidRDefault="00F658DD" w:rsidP="00F658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658DD">
              <w:rPr>
                <w:b w:val="0"/>
                <w:bCs/>
                <w:sz w:val="16"/>
                <w:szCs w:val="18"/>
                <w:u w:val="none"/>
              </w:rPr>
              <w:t>• Have vocabulary learned and used displayed on the working wall.</w:t>
            </w:r>
          </w:p>
          <w:p w14:paraId="1ED736A7" w14:textId="77777777" w:rsidR="00F658DD" w:rsidRPr="00F658DD" w:rsidRDefault="00F658DD" w:rsidP="00F658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658DD">
              <w:rPr>
                <w:b w:val="0"/>
                <w:bCs/>
                <w:sz w:val="16"/>
                <w:szCs w:val="18"/>
                <w:u w:val="none"/>
              </w:rPr>
              <w:t>• Social stories</w:t>
            </w:r>
          </w:p>
          <w:p w14:paraId="4158749E" w14:textId="77777777" w:rsidR="00F658DD" w:rsidRPr="00F658DD" w:rsidRDefault="00F658DD" w:rsidP="00F658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658DD">
              <w:rPr>
                <w:b w:val="0"/>
                <w:bCs/>
                <w:sz w:val="16"/>
                <w:szCs w:val="18"/>
                <w:u w:val="none"/>
              </w:rPr>
              <w:t>• Children are allowed time to discuss the answers to questions with peers</w:t>
            </w:r>
          </w:p>
          <w:p w14:paraId="697CBAF6" w14:textId="797EA3F7" w:rsidR="007F7E79" w:rsidRPr="00E061C0" w:rsidRDefault="00F658DD" w:rsidP="00F658DD">
            <w:pPr>
              <w:spacing w:after="37" w:line="233" w:lineRule="auto"/>
              <w:ind w:left="0"/>
              <w:rPr>
                <w:sz w:val="16"/>
                <w:szCs w:val="18"/>
              </w:rPr>
            </w:pPr>
            <w:r w:rsidRPr="00F658DD">
              <w:rPr>
                <w:b w:val="0"/>
                <w:bCs/>
                <w:sz w:val="16"/>
                <w:szCs w:val="18"/>
                <w:u w:val="none"/>
              </w:rPr>
              <w:t>• Children with communication impairments are given time to think about questions before being required to respond</w:t>
            </w:r>
          </w:p>
        </w:tc>
      </w:tr>
      <w:tr w:rsidR="007F7E79" w14:paraId="796C93E1" w14:textId="77777777" w:rsidTr="002F40B2">
        <w:trPr>
          <w:trHeight w:val="29"/>
        </w:trPr>
        <w:tc>
          <w:tcPr>
            <w:tcW w:w="7826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F3D1D83" w14:textId="70CE0206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Physical and/or Sensory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7769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6A1D4C6" w14:textId="77777777" w:rsidR="007F7E79" w:rsidRDefault="00FD3810">
            <w:pPr>
              <w:ind w:left="0" w:right="120"/>
              <w:jc w:val="center"/>
            </w:pPr>
            <w:r>
              <w:rPr>
                <w:sz w:val="20"/>
                <w:u w:val="none" w:color="000000"/>
              </w:rPr>
              <w:t xml:space="preserve">Social, Emotional and Mental Health </w:t>
            </w:r>
          </w:p>
        </w:tc>
      </w:tr>
      <w:tr w:rsidR="007F7E79" w14:paraId="5623C4F4" w14:textId="77777777" w:rsidTr="002F40B2">
        <w:trPr>
          <w:trHeight w:val="397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722AC7" w14:textId="77777777" w:rsidR="007F7E79" w:rsidRDefault="00FD3810">
            <w:pPr>
              <w:ind w:left="0" w:right="104"/>
              <w:jc w:val="center"/>
            </w:pPr>
            <w:r>
              <w:rPr>
                <w:sz w:val="20"/>
                <w:u w:val="none" w:color="000000"/>
              </w:rPr>
              <w:t>Learning Challenge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E000DE" w14:textId="56F2DEF3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8DFFB2" w14:textId="77777777" w:rsidR="007F7E79" w:rsidRDefault="00FD3810">
            <w:pPr>
              <w:ind w:left="0" w:right="114"/>
              <w:jc w:val="center"/>
            </w:pPr>
            <w:r>
              <w:rPr>
                <w:sz w:val="20"/>
                <w:u w:val="none" w:color="000000"/>
              </w:rPr>
              <w:t xml:space="preserve">Learning Challenge 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97083C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:rsidRPr="002F40B2" w14:paraId="6B38E25E" w14:textId="77777777" w:rsidTr="002F40B2">
        <w:trPr>
          <w:trHeight w:val="2188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5C06D06" w14:textId="77777777" w:rsidR="009551EE" w:rsidRDefault="009551EE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9551EE">
              <w:rPr>
                <w:b w:val="0"/>
                <w:bCs/>
                <w:sz w:val="16"/>
                <w:szCs w:val="16"/>
                <w:u w:val="none"/>
              </w:rPr>
              <w:t xml:space="preserve">• Videos with overstimulating or challenging themes </w:t>
            </w:r>
          </w:p>
          <w:p w14:paraId="5CCDF805" w14:textId="77777777" w:rsidR="009551EE" w:rsidRDefault="009551EE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9551EE">
              <w:rPr>
                <w:b w:val="0"/>
                <w:bCs/>
                <w:sz w:val="16"/>
                <w:szCs w:val="16"/>
                <w:u w:val="none"/>
              </w:rPr>
              <w:t xml:space="preserve">• Poor motor control (when using equipment for historical investigations </w:t>
            </w:r>
            <w:proofErr w:type="gramStart"/>
            <w:r w:rsidRPr="009551EE">
              <w:rPr>
                <w:b w:val="0"/>
                <w:bCs/>
                <w:sz w:val="16"/>
                <w:szCs w:val="16"/>
                <w:u w:val="none"/>
              </w:rPr>
              <w:t>e.g.</w:t>
            </w:r>
            <w:proofErr w:type="gramEnd"/>
            <w:r w:rsidRPr="009551EE">
              <w:rPr>
                <w:b w:val="0"/>
                <w:bCs/>
                <w:sz w:val="16"/>
                <w:szCs w:val="16"/>
                <w:u w:val="none"/>
              </w:rPr>
              <w:t xml:space="preserve"> archaeological digs) • Hearing impairment </w:t>
            </w:r>
          </w:p>
          <w:p w14:paraId="6A5CE309" w14:textId="77777777" w:rsidR="009551EE" w:rsidRDefault="009551EE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9551EE">
              <w:rPr>
                <w:b w:val="0"/>
                <w:bCs/>
                <w:sz w:val="16"/>
                <w:szCs w:val="16"/>
                <w:u w:val="none"/>
              </w:rPr>
              <w:t xml:space="preserve">• Visual impairment </w:t>
            </w:r>
          </w:p>
          <w:p w14:paraId="02DCF179" w14:textId="77777777" w:rsidR="009551EE" w:rsidRDefault="009551EE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9551EE">
              <w:rPr>
                <w:b w:val="0"/>
                <w:bCs/>
                <w:sz w:val="16"/>
                <w:szCs w:val="16"/>
                <w:u w:val="none"/>
              </w:rPr>
              <w:t xml:space="preserve">• Overly sensitive to sound/ noise </w:t>
            </w:r>
          </w:p>
          <w:p w14:paraId="22985001" w14:textId="087EC875" w:rsidR="007F7E79" w:rsidRPr="002F40B2" w:rsidRDefault="009551EE" w:rsidP="002F40B2">
            <w:pPr>
              <w:ind w:left="0"/>
              <w:rPr>
                <w:sz w:val="16"/>
                <w:szCs w:val="16"/>
              </w:rPr>
            </w:pPr>
            <w:r w:rsidRPr="009551EE">
              <w:rPr>
                <w:b w:val="0"/>
                <w:bCs/>
                <w:sz w:val="16"/>
                <w:szCs w:val="16"/>
                <w:u w:val="none"/>
              </w:rPr>
              <w:t>• Overly sensitive to touch/textures of items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06B959C" w14:textId="77777777" w:rsidR="009551EE" w:rsidRDefault="009551EE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9551EE">
              <w:rPr>
                <w:b w:val="0"/>
                <w:bCs/>
                <w:sz w:val="16"/>
                <w:szCs w:val="16"/>
                <w:u w:val="none"/>
              </w:rPr>
              <w:t>• Provide sources and themes which are matched to the needs of the child. i.e. enlarged sources/visuals/</w:t>
            </w:r>
            <w:proofErr w:type="gramStart"/>
            <w:r w:rsidRPr="009551EE">
              <w:rPr>
                <w:b w:val="0"/>
                <w:bCs/>
                <w:sz w:val="16"/>
                <w:szCs w:val="16"/>
                <w:u w:val="none"/>
              </w:rPr>
              <w:t>I.T</w:t>
            </w:r>
            <w:proofErr w:type="gramEnd"/>
            <w:r w:rsidRPr="009551EE">
              <w:rPr>
                <w:b w:val="0"/>
                <w:bCs/>
                <w:sz w:val="16"/>
                <w:szCs w:val="16"/>
                <w:u w:val="none"/>
              </w:rPr>
              <w:t xml:space="preserve"> </w:t>
            </w:r>
          </w:p>
          <w:p w14:paraId="37556032" w14:textId="77777777" w:rsidR="009551EE" w:rsidRDefault="009551EE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9551EE">
              <w:rPr>
                <w:b w:val="0"/>
                <w:bCs/>
                <w:sz w:val="16"/>
                <w:szCs w:val="16"/>
                <w:u w:val="none"/>
              </w:rPr>
              <w:t xml:space="preserve">• Support with group work to avoid conflict/sensory overload </w:t>
            </w:r>
          </w:p>
          <w:p w14:paraId="0F527C95" w14:textId="77777777" w:rsidR="009551EE" w:rsidRDefault="009551EE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9551EE">
              <w:rPr>
                <w:b w:val="0"/>
                <w:bCs/>
                <w:sz w:val="16"/>
                <w:szCs w:val="16"/>
                <w:u w:val="none"/>
              </w:rPr>
              <w:t xml:space="preserve">• Support to avoid conflict/sensory overload – consider ear defenders, a quiet space to work in/ an effective way for a child to communicate any distress </w:t>
            </w:r>
          </w:p>
          <w:p w14:paraId="1D8FB7F4" w14:textId="77777777" w:rsidR="009551EE" w:rsidRDefault="009551EE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9551EE">
              <w:rPr>
                <w:b w:val="0"/>
                <w:bCs/>
                <w:sz w:val="16"/>
                <w:szCs w:val="16"/>
                <w:u w:val="none"/>
              </w:rPr>
              <w:t xml:space="preserve">• Use of subtitles where necessary </w:t>
            </w:r>
          </w:p>
          <w:p w14:paraId="2704A8A1" w14:textId="6A822343" w:rsidR="002F40B2" w:rsidRPr="009551EE" w:rsidRDefault="009551EE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9551EE">
              <w:rPr>
                <w:b w:val="0"/>
                <w:bCs/>
                <w:sz w:val="16"/>
                <w:szCs w:val="16"/>
                <w:u w:val="none"/>
              </w:rPr>
              <w:t>• Opportunities to learn about history through physical contact where possible and relevant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3D23BC9" w14:textId="77777777" w:rsidR="004C7291" w:rsidRDefault="004C7291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4C7291">
              <w:rPr>
                <w:b w:val="0"/>
                <w:bCs/>
                <w:sz w:val="16"/>
                <w:szCs w:val="16"/>
                <w:u w:val="none"/>
              </w:rPr>
              <w:t xml:space="preserve">• Understanding own thoughts and contrasting with those of others </w:t>
            </w:r>
          </w:p>
          <w:p w14:paraId="08FC296C" w14:textId="77777777" w:rsidR="004C7291" w:rsidRDefault="004C7291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4C7291">
              <w:rPr>
                <w:b w:val="0"/>
                <w:bCs/>
                <w:sz w:val="16"/>
                <w:szCs w:val="16"/>
                <w:u w:val="none"/>
              </w:rPr>
              <w:t xml:space="preserve">• Working effectively as part of a group </w:t>
            </w:r>
          </w:p>
          <w:p w14:paraId="14F1E628" w14:textId="634C80F5" w:rsidR="00C12544" w:rsidRPr="00C12544" w:rsidRDefault="004C7291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4C7291">
              <w:rPr>
                <w:b w:val="0"/>
                <w:bCs/>
                <w:sz w:val="16"/>
                <w:szCs w:val="16"/>
                <w:u w:val="none"/>
              </w:rPr>
              <w:t>• Anxiety towards new or sensitive themes.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F417CDF" w14:textId="77777777" w:rsidR="00F207E8" w:rsidRDefault="00F207E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207E8">
              <w:rPr>
                <w:b w:val="0"/>
                <w:bCs/>
                <w:sz w:val="16"/>
                <w:szCs w:val="16"/>
                <w:u w:val="none"/>
              </w:rPr>
              <w:t xml:space="preserve">• Working in a small group with a trusted adult for emotional support and to avoid conflict </w:t>
            </w:r>
          </w:p>
          <w:p w14:paraId="25D8AA02" w14:textId="77777777" w:rsidR="00F207E8" w:rsidRDefault="00F207E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207E8">
              <w:rPr>
                <w:b w:val="0"/>
                <w:bCs/>
                <w:sz w:val="16"/>
                <w:szCs w:val="16"/>
                <w:u w:val="none"/>
              </w:rPr>
              <w:t xml:space="preserve">• Some children could work individually </w:t>
            </w:r>
          </w:p>
          <w:p w14:paraId="620518B0" w14:textId="77777777" w:rsidR="00F207E8" w:rsidRDefault="00F207E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207E8">
              <w:rPr>
                <w:b w:val="0"/>
                <w:bCs/>
                <w:sz w:val="16"/>
                <w:szCs w:val="16"/>
                <w:u w:val="none"/>
              </w:rPr>
              <w:t xml:space="preserve">• Pre teaching and discussing the responses to unit – when necessary </w:t>
            </w:r>
          </w:p>
          <w:p w14:paraId="7B5E498F" w14:textId="03FED384" w:rsidR="00233120" w:rsidRPr="005A103C" w:rsidRDefault="00F207E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207E8">
              <w:rPr>
                <w:b w:val="0"/>
                <w:bCs/>
                <w:sz w:val="16"/>
                <w:szCs w:val="16"/>
                <w:u w:val="none"/>
              </w:rPr>
              <w:t xml:space="preserve">• Clear rules and expectations, consistent boundaries, </w:t>
            </w:r>
            <w:proofErr w:type="gramStart"/>
            <w:r w:rsidRPr="00F207E8">
              <w:rPr>
                <w:b w:val="0"/>
                <w:bCs/>
                <w:sz w:val="16"/>
                <w:szCs w:val="16"/>
                <w:u w:val="none"/>
              </w:rPr>
              <w:t>rewards</w:t>
            </w:r>
            <w:proofErr w:type="gramEnd"/>
            <w:r w:rsidRPr="00F207E8">
              <w:rPr>
                <w:b w:val="0"/>
                <w:bCs/>
                <w:sz w:val="16"/>
                <w:szCs w:val="16"/>
                <w:u w:val="none"/>
              </w:rPr>
              <w:t xml:space="preserve"> and sanctions Pre teach challenging concepts/ themes/ vocab in advance to prepare children fully.</w:t>
            </w:r>
          </w:p>
        </w:tc>
      </w:tr>
    </w:tbl>
    <w:p w14:paraId="4F703F5C" w14:textId="335912A4" w:rsidR="007F7E79" w:rsidRPr="002F40B2" w:rsidRDefault="00233120" w:rsidP="002F40B2">
      <w:pPr>
        <w:ind w:left="0"/>
        <w:rPr>
          <w:sz w:val="16"/>
          <w:szCs w:val="16"/>
        </w:rPr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59264" behindDoc="0" locked="0" layoutInCell="1" allowOverlap="1" wp14:anchorId="392D1B8B" wp14:editId="04DAE12E">
            <wp:simplePos x="0" y="0"/>
            <wp:positionH relativeFrom="column">
              <wp:posOffset>47803</wp:posOffset>
            </wp:positionH>
            <wp:positionV relativeFrom="paragraph">
              <wp:posOffset>-362585</wp:posOffset>
            </wp:positionV>
            <wp:extent cx="3444240" cy="548640"/>
            <wp:effectExtent l="0" t="0" r="3810" b="0"/>
            <wp:wrapNone/>
            <wp:docPr id="3071900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3810">
        <w:br w:type="page"/>
      </w:r>
    </w:p>
    <w:p w14:paraId="203B8E95" w14:textId="79D67525" w:rsidR="007F7E79" w:rsidRDefault="00FD3810">
      <w:pPr>
        <w:spacing w:after="115"/>
        <w:ind w:left="0"/>
        <w:jc w:val="right"/>
      </w:pPr>
      <w:r>
        <w:rPr>
          <w:noProof/>
          <w:sz w:val="20"/>
          <w:u w:val="none" w:color="000000"/>
        </w:rPr>
        <w:lastRenderedPageBreak/>
        <w:drawing>
          <wp:anchor distT="0" distB="0" distL="114300" distR="114300" simplePos="0" relativeHeight="251661312" behindDoc="0" locked="0" layoutInCell="1" allowOverlap="1" wp14:anchorId="4008ABD9" wp14:editId="3FF37640">
            <wp:simplePos x="0" y="0"/>
            <wp:positionH relativeFrom="column">
              <wp:posOffset>6155690</wp:posOffset>
            </wp:positionH>
            <wp:positionV relativeFrom="paragraph">
              <wp:posOffset>19050</wp:posOffset>
            </wp:positionV>
            <wp:extent cx="3702233" cy="3629025"/>
            <wp:effectExtent l="0" t="0" r="0" b="0"/>
            <wp:wrapNone/>
            <wp:docPr id="921269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33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p w14:paraId="27D9B2A9" w14:textId="5B8CFD28" w:rsidR="007F7E79" w:rsidRDefault="00FD3810">
      <w:pPr>
        <w:spacing w:after="155"/>
        <w:ind w:left="0"/>
      </w:pPr>
      <w:r>
        <w:rPr>
          <w:sz w:val="20"/>
          <w:u w:val="none" w:color="000000"/>
        </w:rPr>
        <w:t xml:space="preserve"> </w:t>
      </w:r>
    </w:p>
    <w:p w14:paraId="65A7D0A3" w14:textId="38BC7757" w:rsidR="007F7E79" w:rsidRDefault="00FD3810">
      <w:pPr>
        <w:ind w:left="1746"/>
        <w:jc w:val="center"/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63360" behindDoc="0" locked="0" layoutInCell="1" allowOverlap="1" wp14:anchorId="73575AE7" wp14:editId="70092B4D">
            <wp:simplePos x="0" y="0"/>
            <wp:positionH relativeFrom="column">
              <wp:posOffset>6155741</wp:posOffset>
            </wp:positionH>
            <wp:positionV relativeFrom="paragraph">
              <wp:posOffset>3655695</wp:posOffset>
            </wp:positionV>
            <wp:extent cx="3962313" cy="2622702"/>
            <wp:effectExtent l="0" t="0" r="635" b="6350"/>
            <wp:wrapNone/>
            <wp:docPr id="1103584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3"/>
                    <a:stretch/>
                  </pic:blipFill>
                  <pic:spPr bwMode="auto">
                    <a:xfrm>
                      <a:off x="0" y="0"/>
                      <a:ext cx="3962400" cy="262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B2">
        <w:rPr>
          <w:b w:val="0"/>
          <w:bCs/>
          <w:noProof/>
          <w:u w:val="none"/>
        </w:rPr>
        <w:drawing>
          <wp:anchor distT="0" distB="0" distL="114300" distR="114300" simplePos="0" relativeHeight="251660288" behindDoc="0" locked="0" layoutInCell="1" allowOverlap="1" wp14:anchorId="06D3BE02" wp14:editId="3CA3ECAD">
            <wp:simplePos x="0" y="0"/>
            <wp:positionH relativeFrom="column">
              <wp:posOffset>-180975</wp:posOffset>
            </wp:positionH>
            <wp:positionV relativeFrom="paragraph">
              <wp:posOffset>100330</wp:posOffset>
            </wp:positionV>
            <wp:extent cx="6848475" cy="5017135"/>
            <wp:effectExtent l="0" t="0" r="9525" b="0"/>
            <wp:wrapNone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sectPr w:rsidR="007F7E79">
      <w:pgSz w:w="16840" w:h="11905" w:orient="landscape"/>
      <w:pgMar w:top="720" w:right="2405" w:bottom="7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E48"/>
    <w:multiLevelType w:val="hybridMultilevel"/>
    <w:tmpl w:val="97CE4496"/>
    <w:lvl w:ilvl="0" w:tplc="B72230C6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8CD5E">
      <w:start w:val="1"/>
      <w:numFmt w:val="bullet"/>
      <w:lvlText w:val="o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CB72">
      <w:start w:val="1"/>
      <w:numFmt w:val="bullet"/>
      <w:lvlText w:val="▪"/>
      <w:lvlJc w:val="left"/>
      <w:pPr>
        <w:ind w:left="2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C2E12">
      <w:start w:val="1"/>
      <w:numFmt w:val="bullet"/>
      <w:lvlText w:val="•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EA6DE">
      <w:start w:val="1"/>
      <w:numFmt w:val="bullet"/>
      <w:lvlText w:val="o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86B64">
      <w:start w:val="1"/>
      <w:numFmt w:val="bullet"/>
      <w:lvlText w:val="▪"/>
      <w:lvlJc w:val="left"/>
      <w:pPr>
        <w:ind w:left="4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4A0C4">
      <w:start w:val="1"/>
      <w:numFmt w:val="bullet"/>
      <w:lvlText w:val="•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863C2">
      <w:start w:val="1"/>
      <w:numFmt w:val="bullet"/>
      <w:lvlText w:val="o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B5AE">
      <w:start w:val="1"/>
      <w:numFmt w:val="bullet"/>
      <w:lvlText w:val="▪"/>
      <w:lvlJc w:val="left"/>
      <w:pPr>
        <w:ind w:left="6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52F8E"/>
    <w:multiLevelType w:val="hybridMultilevel"/>
    <w:tmpl w:val="11240810"/>
    <w:lvl w:ilvl="0" w:tplc="991EAD8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FEC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8A234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C732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E698C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22158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4982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C8BA2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4A5C4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44B0F"/>
    <w:multiLevelType w:val="hybridMultilevel"/>
    <w:tmpl w:val="8DAA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0AC2"/>
    <w:multiLevelType w:val="hybridMultilevel"/>
    <w:tmpl w:val="CCEAE706"/>
    <w:lvl w:ilvl="0" w:tplc="7E68C1FE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C90A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E3656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84A948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2B178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261092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EA7C0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C36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C8DD2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601848"/>
    <w:multiLevelType w:val="hybridMultilevel"/>
    <w:tmpl w:val="93D26D94"/>
    <w:lvl w:ilvl="0" w:tplc="46CA1C7C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C810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6C0B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6D30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6BF1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2ADE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4110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6B49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C757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EB78AE"/>
    <w:multiLevelType w:val="hybridMultilevel"/>
    <w:tmpl w:val="04C8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82669"/>
    <w:multiLevelType w:val="hybridMultilevel"/>
    <w:tmpl w:val="732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B2C75"/>
    <w:multiLevelType w:val="hybridMultilevel"/>
    <w:tmpl w:val="87E49E84"/>
    <w:lvl w:ilvl="0" w:tplc="9BDCDFD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36E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E3EB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6CD9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11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A83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E4C2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C8DD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CB16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FF3BF0"/>
    <w:multiLevelType w:val="hybridMultilevel"/>
    <w:tmpl w:val="5E020D96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149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C90E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0D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00C7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EC6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E2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CE3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4715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435600"/>
    <w:multiLevelType w:val="hybridMultilevel"/>
    <w:tmpl w:val="202A6E16"/>
    <w:lvl w:ilvl="0" w:tplc="C9C65276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376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5D7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E4FC2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4B6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842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834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E612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0C07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607C6F"/>
    <w:multiLevelType w:val="hybridMultilevel"/>
    <w:tmpl w:val="7E16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7284"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94A75"/>
    <w:multiLevelType w:val="hybridMultilevel"/>
    <w:tmpl w:val="828CD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E5A6C"/>
    <w:multiLevelType w:val="hybridMultilevel"/>
    <w:tmpl w:val="4DB80C0A"/>
    <w:lvl w:ilvl="0" w:tplc="2A86A6E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241A4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0801A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EACA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02D9A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6F2D2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0B30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AE5A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8BC4A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972823"/>
    <w:multiLevelType w:val="hybridMultilevel"/>
    <w:tmpl w:val="09B2590C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708DF"/>
    <w:multiLevelType w:val="hybridMultilevel"/>
    <w:tmpl w:val="F5C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E79B3"/>
    <w:multiLevelType w:val="hybridMultilevel"/>
    <w:tmpl w:val="2D0E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979">
    <w:abstractNumId w:val="0"/>
  </w:num>
  <w:num w:numId="2" w16cid:durableId="2010326816">
    <w:abstractNumId w:val="3"/>
  </w:num>
  <w:num w:numId="3" w16cid:durableId="534922908">
    <w:abstractNumId w:val="1"/>
  </w:num>
  <w:num w:numId="4" w16cid:durableId="1233546802">
    <w:abstractNumId w:val="12"/>
  </w:num>
  <w:num w:numId="5" w16cid:durableId="2026787717">
    <w:abstractNumId w:val="9"/>
  </w:num>
  <w:num w:numId="6" w16cid:durableId="1674455595">
    <w:abstractNumId w:val="8"/>
  </w:num>
  <w:num w:numId="7" w16cid:durableId="624584784">
    <w:abstractNumId w:val="4"/>
  </w:num>
  <w:num w:numId="8" w16cid:durableId="2084375572">
    <w:abstractNumId w:val="7"/>
  </w:num>
  <w:num w:numId="9" w16cid:durableId="1171799730">
    <w:abstractNumId w:val="13"/>
  </w:num>
  <w:num w:numId="10" w16cid:durableId="1606235074">
    <w:abstractNumId w:val="10"/>
  </w:num>
  <w:num w:numId="11" w16cid:durableId="1573924652">
    <w:abstractNumId w:val="15"/>
  </w:num>
  <w:num w:numId="12" w16cid:durableId="1666200588">
    <w:abstractNumId w:val="14"/>
  </w:num>
  <w:num w:numId="13" w16cid:durableId="1974360036">
    <w:abstractNumId w:val="2"/>
  </w:num>
  <w:num w:numId="14" w16cid:durableId="2004552054">
    <w:abstractNumId w:val="5"/>
  </w:num>
  <w:num w:numId="15" w16cid:durableId="937062044">
    <w:abstractNumId w:val="6"/>
  </w:num>
  <w:num w:numId="16" w16cid:durableId="5870847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79"/>
    <w:rsid w:val="000E3DAF"/>
    <w:rsid w:val="00177D59"/>
    <w:rsid w:val="00233120"/>
    <w:rsid w:val="002D600B"/>
    <w:rsid w:val="002D67A0"/>
    <w:rsid w:val="002E1B1F"/>
    <w:rsid w:val="002F40B2"/>
    <w:rsid w:val="002F4933"/>
    <w:rsid w:val="00312EF1"/>
    <w:rsid w:val="00365C50"/>
    <w:rsid w:val="003B0404"/>
    <w:rsid w:val="004C7291"/>
    <w:rsid w:val="005A103C"/>
    <w:rsid w:val="005B0640"/>
    <w:rsid w:val="006E20E3"/>
    <w:rsid w:val="007F7E79"/>
    <w:rsid w:val="008049E9"/>
    <w:rsid w:val="00835B6B"/>
    <w:rsid w:val="00882B3F"/>
    <w:rsid w:val="008C29A8"/>
    <w:rsid w:val="00922B1A"/>
    <w:rsid w:val="009551EE"/>
    <w:rsid w:val="00967E94"/>
    <w:rsid w:val="00A609FF"/>
    <w:rsid w:val="00B23FF8"/>
    <w:rsid w:val="00B33FA5"/>
    <w:rsid w:val="00C12544"/>
    <w:rsid w:val="00C556B4"/>
    <w:rsid w:val="00CB4C1E"/>
    <w:rsid w:val="00CC673E"/>
    <w:rsid w:val="00D00C7A"/>
    <w:rsid w:val="00D04D8C"/>
    <w:rsid w:val="00D33F93"/>
    <w:rsid w:val="00DD0288"/>
    <w:rsid w:val="00E061C0"/>
    <w:rsid w:val="00E26DFB"/>
    <w:rsid w:val="00F207E8"/>
    <w:rsid w:val="00F331B9"/>
    <w:rsid w:val="00F658DD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0FB7"/>
  <w15:docId w15:val="{0A8573DA-83AF-4A4C-9479-4D6620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326"/>
    </w:pPr>
    <w:rPr>
      <w:rFonts w:ascii="Century Gothic" w:eastAsia="Century Gothic" w:hAnsi="Century Gothic" w:cs="Century Gothic"/>
      <w:b/>
      <w:color w:val="0070C0"/>
      <w:sz w:val="28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Props1.xml><?xml version="1.0" encoding="utf-8"?>
<ds:datastoreItem xmlns:ds="http://schemas.openxmlformats.org/officeDocument/2006/customXml" ds:itemID="{D7C27A69-F888-4857-AB56-5063AC3C0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81779-7EF6-41DF-9D9F-F2B55DD2D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D3625-3554-4481-A61E-A7F4D51BF49F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8bc44ad1-2ca1-4151-8610-1d42439433b0"/>
    <ds:schemaRef ds:uri="http://schemas.microsoft.com/office/2006/documentManagement/types"/>
    <ds:schemaRef ds:uri="aa2faa68-403d-4087-a78e-2639e168f601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Lyon, Joanne</cp:lastModifiedBy>
  <cp:revision>10</cp:revision>
  <dcterms:created xsi:type="dcterms:W3CDTF">2023-11-22T09:57:00Z</dcterms:created>
  <dcterms:modified xsi:type="dcterms:W3CDTF">2023-12-05T21:13:00Z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