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0B5DC05F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r w:rsidR="006C3DE6">
              <w:rPr>
                <w:color w:val="000000" w:themeColor="text1"/>
              </w:rPr>
              <w:t>RE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281EFB8" w14:textId="77777777" w:rsidR="00FD65BB" w:rsidRPr="00FD65BB" w:rsidRDefault="00FD65BB" w:rsidP="00FD65BB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D65BB">
              <w:rPr>
                <w:b w:val="0"/>
                <w:bCs/>
                <w:sz w:val="16"/>
                <w:szCs w:val="18"/>
                <w:u w:val="none"/>
              </w:rPr>
              <w:t>• Accessing reading resources</w:t>
            </w:r>
          </w:p>
          <w:p w14:paraId="5DD64F7E" w14:textId="77777777" w:rsidR="00FD65BB" w:rsidRPr="00FD65BB" w:rsidRDefault="00FD65BB" w:rsidP="00FD65BB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D65BB">
              <w:rPr>
                <w:b w:val="0"/>
                <w:bCs/>
                <w:sz w:val="16"/>
                <w:szCs w:val="18"/>
                <w:u w:val="none"/>
              </w:rPr>
              <w:t>• Unable to produce or poor level of written work</w:t>
            </w:r>
          </w:p>
          <w:p w14:paraId="01B472F6" w14:textId="77777777" w:rsidR="00FD65BB" w:rsidRPr="00FD65BB" w:rsidRDefault="00FD65BB" w:rsidP="00FD65BB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D65BB">
              <w:rPr>
                <w:b w:val="0"/>
                <w:bCs/>
                <w:sz w:val="16"/>
                <w:szCs w:val="18"/>
                <w:u w:val="none"/>
              </w:rPr>
              <w:t>• Poor memory and recall skills</w:t>
            </w:r>
          </w:p>
          <w:p w14:paraId="02AB0736" w14:textId="77777777" w:rsidR="00FD65BB" w:rsidRPr="00FD65BB" w:rsidRDefault="00FD65BB" w:rsidP="00FD65BB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D65BB">
              <w:rPr>
                <w:b w:val="0"/>
                <w:bCs/>
                <w:sz w:val="16"/>
                <w:szCs w:val="18"/>
                <w:u w:val="none"/>
              </w:rPr>
              <w:t>• Poor sequencing skills</w:t>
            </w:r>
          </w:p>
          <w:p w14:paraId="76404CCD" w14:textId="77777777" w:rsidR="00FD65BB" w:rsidRPr="00FD65BB" w:rsidRDefault="00FD65BB" w:rsidP="00FD65BB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D65BB">
              <w:rPr>
                <w:b w:val="0"/>
                <w:bCs/>
                <w:sz w:val="16"/>
                <w:szCs w:val="18"/>
                <w:u w:val="none"/>
              </w:rPr>
              <w:t>• Unable to link prior learning</w:t>
            </w:r>
          </w:p>
          <w:p w14:paraId="1BCF4F6E" w14:textId="77777777" w:rsidR="00FD65BB" w:rsidRPr="00FD65BB" w:rsidRDefault="00FD65BB" w:rsidP="00FD65BB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D65BB">
              <w:rPr>
                <w:b w:val="0"/>
                <w:bCs/>
                <w:sz w:val="16"/>
                <w:szCs w:val="18"/>
                <w:u w:val="none"/>
              </w:rPr>
              <w:t>• Struggle to compare different religions and beliefs</w:t>
            </w:r>
          </w:p>
          <w:p w14:paraId="655BF106" w14:textId="7B26DDA3" w:rsidR="007F7E79" w:rsidRPr="002F40B2" w:rsidRDefault="00FD65BB" w:rsidP="00FD65BB">
            <w:pPr>
              <w:ind w:left="0" w:right="28"/>
              <w:rPr>
                <w:sz w:val="16"/>
                <w:szCs w:val="18"/>
              </w:rPr>
            </w:pPr>
            <w:r w:rsidRPr="00FD65BB">
              <w:rPr>
                <w:b w:val="0"/>
                <w:bCs/>
                <w:sz w:val="16"/>
                <w:szCs w:val="18"/>
                <w:u w:val="none"/>
              </w:rPr>
              <w:t>• Understanding importance of key religious symbols/artefacts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59F7C0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Confident to speak out in a safe learning environment</w:t>
            </w:r>
          </w:p>
          <w:p w14:paraId="6F823FFD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Use of word banks including pictures (widget online)</w:t>
            </w:r>
          </w:p>
          <w:p w14:paraId="72DDB26F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Kagan style tables to support with discussions</w:t>
            </w:r>
          </w:p>
          <w:p w14:paraId="3E135153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Small group/1:1 support where necessary – modelling discussions and answers</w:t>
            </w:r>
          </w:p>
          <w:p w14:paraId="0623A084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Knowledge organisers to help children identify key areas of learning to refer to throughout unit of work</w:t>
            </w:r>
          </w:p>
          <w:p w14:paraId="1FD1A6BF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Social stories/video to explore new religions and faiths</w:t>
            </w:r>
          </w:p>
          <w:p w14:paraId="48F6A91B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Not all work needs to be recorded/written in books – post it note children’s answers/drama to be used.</w:t>
            </w:r>
          </w:p>
          <w:p w14:paraId="3614DDF3" w14:textId="39C241BB" w:rsidR="007F7E79" w:rsidRPr="002F40B2" w:rsidRDefault="00786B67" w:rsidP="00786B67">
            <w:pPr>
              <w:ind w:left="0"/>
              <w:rPr>
                <w:sz w:val="16"/>
                <w:szCs w:val="18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Sentence stems to guide written responses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44F685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Understanding new topic including vocabulary</w:t>
            </w:r>
          </w:p>
          <w:p w14:paraId="5AB241A7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Understanding tasks that include empathy and understanding differences of others</w:t>
            </w:r>
          </w:p>
          <w:p w14:paraId="038D8EE5" w14:textId="77777777" w:rsidR="00786B67" w:rsidRPr="00786B67" w:rsidRDefault="00786B67" w:rsidP="00786B67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Lower than expected levels of expressive vocabulary – ‘they can’t find the words’</w:t>
            </w:r>
          </w:p>
          <w:p w14:paraId="5BC52F93" w14:textId="68AF97E5" w:rsidR="007F7E79" w:rsidRPr="002F40B2" w:rsidRDefault="00786B67" w:rsidP="00786B67">
            <w:pPr>
              <w:ind w:left="0"/>
              <w:rPr>
                <w:sz w:val="16"/>
                <w:szCs w:val="18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Following instructions and sequences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392794" w14:textId="77777777" w:rsidR="00786B67" w:rsidRPr="00786B67" w:rsidRDefault="00786B67" w:rsidP="00786B67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Pre-teaching of new vocabulary prior to lesson.</w:t>
            </w:r>
          </w:p>
          <w:p w14:paraId="3BB0262B" w14:textId="77777777" w:rsidR="00786B67" w:rsidRPr="00786B67" w:rsidRDefault="00786B67" w:rsidP="00786B67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Send vocabulary word mats home before starting the genre.</w:t>
            </w:r>
          </w:p>
          <w:p w14:paraId="6FB50B72" w14:textId="77777777" w:rsidR="00786B67" w:rsidRPr="00786B67" w:rsidRDefault="00786B67" w:rsidP="00786B67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Limit vocabulary to that which is necessary to ensure progress.</w:t>
            </w:r>
          </w:p>
          <w:p w14:paraId="0F850DBA" w14:textId="77777777" w:rsidR="00786B67" w:rsidRPr="00786B67" w:rsidRDefault="00786B67" w:rsidP="00786B67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Social stories</w:t>
            </w:r>
          </w:p>
          <w:p w14:paraId="7E6C4F0A" w14:textId="77777777" w:rsidR="00786B67" w:rsidRPr="00786B67" w:rsidRDefault="00786B67" w:rsidP="00786B67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Adult support</w:t>
            </w:r>
          </w:p>
          <w:p w14:paraId="1C2134DC" w14:textId="77777777" w:rsidR="00786B67" w:rsidRPr="00786B67" w:rsidRDefault="00786B67" w:rsidP="00786B67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Group discussions to gain ideas</w:t>
            </w:r>
          </w:p>
          <w:p w14:paraId="40F5AA13" w14:textId="77777777" w:rsidR="00786B67" w:rsidRPr="00786B67" w:rsidRDefault="00786B67" w:rsidP="00786B67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Sequencing activities</w:t>
            </w:r>
          </w:p>
          <w:p w14:paraId="697CBAF6" w14:textId="2B8A5FB0" w:rsidR="007F7E79" w:rsidRPr="00E061C0" w:rsidRDefault="00786B67" w:rsidP="00786B67">
            <w:pPr>
              <w:spacing w:after="37" w:line="233" w:lineRule="auto"/>
              <w:ind w:left="0"/>
              <w:rPr>
                <w:sz w:val="16"/>
                <w:szCs w:val="18"/>
              </w:rPr>
            </w:pPr>
            <w:r w:rsidRPr="00786B67">
              <w:rPr>
                <w:b w:val="0"/>
                <w:bCs/>
                <w:sz w:val="16"/>
                <w:szCs w:val="18"/>
                <w:u w:val="none"/>
              </w:rPr>
              <w:t>• Use of puppets to explore new belief/religion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2B914F8" w14:textId="77777777" w:rsidR="00626CD6" w:rsidRDefault="00626CD6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26CD6">
              <w:rPr>
                <w:b w:val="0"/>
                <w:bCs/>
                <w:sz w:val="16"/>
                <w:szCs w:val="16"/>
                <w:u w:val="none"/>
              </w:rPr>
              <w:t xml:space="preserve">• Group work. </w:t>
            </w:r>
          </w:p>
          <w:p w14:paraId="10D61477" w14:textId="77777777" w:rsidR="00626CD6" w:rsidRDefault="00626CD6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26CD6">
              <w:rPr>
                <w:b w:val="0"/>
                <w:bCs/>
                <w:sz w:val="16"/>
                <w:szCs w:val="16"/>
                <w:u w:val="none"/>
              </w:rPr>
              <w:t xml:space="preserve">• Videos or photos with over stimulating or challenging themes. </w:t>
            </w:r>
          </w:p>
          <w:p w14:paraId="31D284B0" w14:textId="77777777" w:rsidR="00626CD6" w:rsidRDefault="00626CD6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26CD6">
              <w:rPr>
                <w:b w:val="0"/>
                <w:bCs/>
                <w:sz w:val="16"/>
                <w:szCs w:val="16"/>
                <w:u w:val="none"/>
              </w:rPr>
              <w:t xml:space="preserve">• Sensory overload with artefacts </w:t>
            </w:r>
          </w:p>
          <w:p w14:paraId="22985001" w14:textId="7FDBE44E" w:rsidR="00937EA3" w:rsidRPr="002F40B2" w:rsidRDefault="00626CD6" w:rsidP="002F40B2">
            <w:pPr>
              <w:ind w:left="0"/>
              <w:rPr>
                <w:sz w:val="16"/>
                <w:szCs w:val="16"/>
              </w:rPr>
            </w:pPr>
            <w:r w:rsidRPr="00626CD6">
              <w:rPr>
                <w:b w:val="0"/>
                <w:bCs/>
                <w:sz w:val="16"/>
                <w:szCs w:val="16"/>
                <w:u w:val="none"/>
              </w:rPr>
              <w:t>• Overload with themed religious festival days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16C7A29" w14:textId="77777777" w:rsidR="00626CD6" w:rsidRDefault="00626CD6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626CD6">
              <w:rPr>
                <w:b w:val="0"/>
                <w:bCs/>
                <w:sz w:val="16"/>
                <w:szCs w:val="16"/>
                <w:u w:val="none"/>
              </w:rPr>
              <w:t>• Provide sources and themes which are matched to the needs of the child. i.e. enlarged sources/visuals/</w:t>
            </w:r>
            <w:proofErr w:type="gramStart"/>
            <w:r w:rsidRPr="00626CD6">
              <w:rPr>
                <w:b w:val="0"/>
                <w:bCs/>
                <w:sz w:val="16"/>
                <w:szCs w:val="16"/>
                <w:u w:val="none"/>
              </w:rPr>
              <w:t>I.T</w:t>
            </w:r>
            <w:proofErr w:type="gramEnd"/>
            <w:r w:rsidRPr="00626CD6">
              <w:rPr>
                <w:b w:val="0"/>
                <w:bCs/>
                <w:sz w:val="16"/>
                <w:szCs w:val="16"/>
                <w:u w:val="none"/>
              </w:rPr>
              <w:t xml:space="preserve"> </w:t>
            </w:r>
          </w:p>
          <w:p w14:paraId="613CBD36" w14:textId="77777777" w:rsidR="00626CD6" w:rsidRDefault="00626CD6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626CD6">
              <w:rPr>
                <w:b w:val="0"/>
                <w:bCs/>
                <w:sz w:val="16"/>
                <w:szCs w:val="16"/>
                <w:u w:val="none"/>
              </w:rPr>
              <w:t xml:space="preserve">• Support to avoid conflict/sensory overload – consider ear defenders, a quiet space to work in/ an effective way for a child to communicate any distress </w:t>
            </w:r>
          </w:p>
          <w:p w14:paraId="2704A8A1" w14:textId="19976CFC" w:rsidR="002F40B2" w:rsidRPr="009551EE" w:rsidRDefault="00626CD6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626CD6">
              <w:rPr>
                <w:b w:val="0"/>
                <w:bCs/>
                <w:sz w:val="16"/>
                <w:szCs w:val="16"/>
                <w:u w:val="none"/>
              </w:rPr>
              <w:t>• Provide advance warning of a challenging theme/activity/image or vid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E23E54E" w14:textId="77777777" w:rsidR="006B51AE" w:rsidRDefault="006B51AE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• Anxiety towards new or unknown themes. </w:t>
            </w:r>
          </w:p>
          <w:p w14:paraId="4C9CC050" w14:textId="77777777" w:rsidR="006B51AE" w:rsidRDefault="006B51AE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• Difficulties understanding social/religious beliefs concepts. </w:t>
            </w:r>
          </w:p>
          <w:p w14:paraId="14F1E628" w14:textId="5220BA6D" w:rsidR="00C12544" w:rsidRPr="00C12544" w:rsidRDefault="006B51AE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>• Difficulties understanding own beliefs/ thoughts and contrasting with those of others</w:t>
            </w:r>
            <w:r w:rsidR="004C7291" w:rsidRPr="004C7291">
              <w:rPr>
                <w:b w:val="0"/>
                <w:bCs/>
                <w:sz w:val="16"/>
                <w:szCs w:val="16"/>
                <w:u w:val="none"/>
              </w:rPr>
              <w:t>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4AFAD50" w14:textId="77777777" w:rsidR="006B51AE" w:rsidRDefault="006B51AE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</w:t>
            </w:r>
          </w:p>
          <w:p w14:paraId="1F79F4F9" w14:textId="77777777" w:rsidR="006B51AE" w:rsidRDefault="006B51AE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• trusted adult for emotional support. </w:t>
            </w:r>
          </w:p>
          <w:p w14:paraId="371691F3" w14:textId="77777777" w:rsidR="006B51AE" w:rsidRDefault="006B51AE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• Some children could work individually </w:t>
            </w:r>
          </w:p>
          <w:p w14:paraId="6571F675" w14:textId="77777777" w:rsidR="006B51AE" w:rsidRDefault="006B51AE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• Pre teaching and discussing the responses to the learning </w:t>
            </w:r>
          </w:p>
          <w:p w14:paraId="7B5E498F" w14:textId="77E9F53C" w:rsidR="00233120" w:rsidRPr="005A103C" w:rsidRDefault="006B51AE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• Clear rules and expectations, consistent boundaries, </w:t>
            </w:r>
            <w:proofErr w:type="gramStart"/>
            <w:r w:rsidRPr="006B51AE">
              <w:rPr>
                <w:b w:val="0"/>
                <w:bCs/>
                <w:sz w:val="16"/>
                <w:szCs w:val="16"/>
                <w:u w:val="none"/>
              </w:rPr>
              <w:t>rewards</w:t>
            </w:r>
            <w:proofErr w:type="gramEnd"/>
            <w:r w:rsidRPr="006B51AE">
              <w:rPr>
                <w:b w:val="0"/>
                <w:bCs/>
                <w:sz w:val="16"/>
                <w:szCs w:val="16"/>
                <w:u w:val="none"/>
              </w:rPr>
              <w:t xml:space="preserve"> and sanctions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59264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2CBD0556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3"/>
  </w:num>
  <w:num w:numId="3" w16cid:durableId="534922908">
    <w:abstractNumId w:val="1"/>
  </w:num>
  <w:num w:numId="4" w16cid:durableId="1233546802">
    <w:abstractNumId w:val="11"/>
  </w:num>
  <w:num w:numId="5" w16cid:durableId="2026787717">
    <w:abstractNumId w:val="9"/>
  </w:num>
  <w:num w:numId="6" w16cid:durableId="1674455595">
    <w:abstractNumId w:val="8"/>
  </w:num>
  <w:num w:numId="7" w16cid:durableId="624584784">
    <w:abstractNumId w:val="4"/>
  </w:num>
  <w:num w:numId="8" w16cid:durableId="2084375572">
    <w:abstractNumId w:val="7"/>
  </w:num>
  <w:num w:numId="9" w16cid:durableId="1171799730">
    <w:abstractNumId w:val="12"/>
  </w:num>
  <w:num w:numId="10" w16cid:durableId="1606235074">
    <w:abstractNumId w:val="10"/>
  </w:num>
  <w:num w:numId="11" w16cid:durableId="1573924652">
    <w:abstractNumId w:val="14"/>
  </w:num>
  <w:num w:numId="12" w16cid:durableId="1666200588">
    <w:abstractNumId w:val="13"/>
  </w:num>
  <w:num w:numId="13" w16cid:durableId="1974360036">
    <w:abstractNumId w:val="2"/>
  </w:num>
  <w:num w:numId="14" w16cid:durableId="2004552054">
    <w:abstractNumId w:val="5"/>
  </w:num>
  <w:num w:numId="15" w16cid:durableId="937062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E3DAF"/>
    <w:rsid w:val="001071DF"/>
    <w:rsid w:val="00177D59"/>
    <w:rsid w:val="001D0236"/>
    <w:rsid w:val="00233120"/>
    <w:rsid w:val="002D600B"/>
    <w:rsid w:val="002D67A0"/>
    <w:rsid w:val="002E1B1F"/>
    <w:rsid w:val="002F40B2"/>
    <w:rsid w:val="002F4933"/>
    <w:rsid w:val="00365C50"/>
    <w:rsid w:val="003B0404"/>
    <w:rsid w:val="004B1B77"/>
    <w:rsid w:val="004C7291"/>
    <w:rsid w:val="005A103C"/>
    <w:rsid w:val="005B0640"/>
    <w:rsid w:val="00626CD6"/>
    <w:rsid w:val="006B51AE"/>
    <w:rsid w:val="006C3DE6"/>
    <w:rsid w:val="006E20E3"/>
    <w:rsid w:val="00770E5F"/>
    <w:rsid w:val="00786B67"/>
    <w:rsid w:val="007F7E79"/>
    <w:rsid w:val="008049E9"/>
    <w:rsid w:val="00835B6B"/>
    <w:rsid w:val="00882B3F"/>
    <w:rsid w:val="008C29A8"/>
    <w:rsid w:val="00922B1A"/>
    <w:rsid w:val="00937EA3"/>
    <w:rsid w:val="00941213"/>
    <w:rsid w:val="009551EE"/>
    <w:rsid w:val="00967E94"/>
    <w:rsid w:val="00991962"/>
    <w:rsid w:val="00A609FF"/>
    <w:rsid w:val="00B057CF"/>
    <w:rsid w:val="00B23FF8"/>
    <w:rsid w:val="00C12544"/>
    <w:rsid w:val="00C461DD"/>
    <w:rsid w:val="00C556B4"/>
    <w:rsid w:val="00CB4C1E"/>
    <w:rsid w:val="00CC673E"/>
    <w:rsid w:val="00D00C7A"/>
    <w:rsid w:val="00D04D8C"/>
    <w:rsid w:val="00D33F93"/>
    <w:rsid w:val="00DD0288"/>
    <w:rsid w:val="00E061C0"/>
    <w:rsid w:val="00E26DFB"/>
    <w:rsid w:val="00F207E8"/>
    <w:rsid w:val="00F331B9"/>
    <w:rsid w:val="00F658DD"/>
    <w:rsid w:val="00F873C3"/>
    <w:rsid w:val="00FD3810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90222-2FDF-4507-A52B-561F56A298D8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2.xml><?xml version="1.0" encoding="utf-8"?>
<ds:datastoreItem xmlns:ds="http://schemas.openxmlformats.org/officeDocument/2006/customXml" ds:itemID="{A4C9215E-2548-4242-B5EC-7A044BC88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0E84D-3C83-45E7-BDFF-7EF9CECFD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Amy Burnitt</cp:lastModifiedBy>
  <cp:revision>8</cp:revision>
  <dcterms:created xsi:type="dcterms:W3CDTF">2023-11-22T11:10:00Z</dcterms:created>
  <dcterms:modified xsi:type="dcterms:W3CDTF">2023-11-30T13:26:00Z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