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5D779" w14:textId="243E7039" w:rsidR="009C4ED4" w:rsidRDefault="00017D3E">
      <w:pPr>
        <w:spacing w:after="0"/>
      </w:pPr>
      <w:r>
        <w:rPr>
          <w:noProof/>
        </w:rPr>
        <w:drawing>
          <wp:anchor distT="0" distB="0" distL="114300" distR="114300" simplePos="0" relativeHeight="251658240" behindDoc="0" locked="0" layoutInCell="1" allowOverlap="1" wp14:anchorId="1985CB09" wp14:editId="594A20DA">
            <wp:simplePos x="0" y="0"/>
            <wp:positionH relativeFrom="column">
              <wp:posOffset>47625</wp:posOffset>
            </wp:positionH>
            <wp:positionV relativeFrom="paragraph">
              <wp:posOffset>-123825</wp:posOffset>
            </wp:positionV>
            <wp:extent cx="3755390" cy="5060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5390" cy="506095"/>
                    </a:xfrm>
                    <a:prstGeom prst="rect">
                      <a:avLst/>
                    </a:prstGeom>
                    <a:noFill/>
                  </pic:spPr>
                </pic:pic>
              </a:graphicData>
            </a:graphic>
          </wp:anchor>
        </w:drawing>
      </w:r>
      <w:r>
        <w:t xml:space="preserve"> </w:t>
      </w:r>
    </w:p>
    <w:p w14:paraId="1BA802DE" w14:textId="0AB38693" w:rsidR="009C4ED4" w:rsidRDefault="00017D3E">
      <w:pPr>
        <w:spacing w:after="141"/>
        <w:ind w:left="2619"/>
      </w:pPr>
      <w:r>
        <w:t xml:space="preserve"> </w:t>
      </w:r>
    </w:p>
    <w:p w14:paraId="1782C42F" w14:textId="19E440FB" w:rsidR="009C4ED4" w:rsidRDefault="00017D3E">
      <w:pPr>
        <w:spacing w:after="0"/>
        <w:ind w:right="5467"/>
        <w:jc w:val="right"/>
      </w:pPr>
      <w:r>
        <w:rPr>
          <w:b/>
          <w:sz w:val="20"/>
        </w:rPr>
        <w:t xml:space="preserve">WRITING TO DISCUSS PROGRESSION </w:t>
      </w:r>
    </w:p>
    <w:tbl>
      <w:tblPr>
        <w:tblStyle w:val="TableGrid"/>
        <w:tblW w:w="15389" w:type="dxa"/>
        <w:tblInd w:w="6" w:type="dxa"/>
        <w:tblCellMar>
          <w:top w:w="32" w:type="dxa"/>
          <w:left w:w="107" w:type="dxa"/>
          <w:right w:w="54" w:type="dxa"/>
        </w:tblCellMar>
        <w:tblLook w:val="04A0" w:firstRow="1" w:lastRow="0" w:firstColumn="1" w:lastColumn="0" w:noHBand="0" w:noVBand="1"/>
      </w:tblPr>
      <w:tblGrid>
        <w:gridCol w:w="1921"/>
        <w:gridCol w:w="1612"/>
        <w:gridCol w:w="1701"/>
        <w:gridCol w:w="1843"/>
        <w:gridCol w:w="1701"/>
        <w:gridCol w:w="1843"/>
        <w:gridCol w:w="2551"/>
        <w:gridCol w:w="2217"/>
      </w:tblGrid>
      <w:tr w:rsidR="009C4ED4" w14:paraId="5590871E" w14:textId="77777777" w:rsidTr="00017D3E">
        <w:trPr>
          <w:trHeight w:val="253"/>
        </w:trPr>
        <w:tc>
          <w:tcPr>
            <w:tcW w:w="19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EAD0822" w14:textId="77777777" w:rsidR="009C4ED4" w:rsidRDefault="00017D3E">
            <w:pPr>
              <w:ind w:right="11"/>
              <w:jc w:val="center"/>
            </w:pPr>
            <w:r>
              <w:rPr>
                <w:sz w:val="20"/>
              </w:rPr>
              <w:t xml:space="preserve"> </w:t>
            </w:r>
          </w:p>
        </w:tc>
        <w:tc>
          <w:tcPr>
            <w:tcW w:w="161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F1DB7A7" w14:textId="77777777" w:rsidR="009C4ED4" w:rsidRDefault="00017D3E">
            <w:pPr>
              <w:ind w:right="58"/>
              <w:jc w:val="center"/>
            </w:pPr>
            <w:r>
              <w:rPr>
                <w:sz w:val="20"/>
              </w:rPr>
              <w:t xml:space="preserve">RECEPTION  </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21B3717" w14:textId="77777777" w:rsidR="009C4ED4" w:rsidRDefault="00017D3E">
            <w:pPr>
              <w:ind w:right="56"/>
              <w:jc w:val="center"/>
            </w:pPr>
            <w:r>
              <w:rPr>
                <w:sz w:val="20"/>
              </w:rPr>
              <w:t xml:space="preserve">YEAR 1 </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91D5ABF" w14:textId="77777777" w:rsidR="009C4ED4" w:rsidRDefault="00017D3E">
            <w:pPr>
              <w:ind w:right="59"/>
              <w:jc w:val="center"/>
            </w:pPr>
            <w:r>
              <w:rPr>
                <w:sz w:val="20"/>
              </w:rPr>
              <w:t xml:space="preserve">YEAR 2 </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62F5914" w14:textId="77777777" w:rsidR="009C4ED4" w:rsidRDefault="00017D3E">
            <w:pPr>
              <w:ind w:right="56"/>
              <w:jc w:val="center"/>
            </w:pPr>
            <w:r>
              <w:rPr>
                <w:sz w:val="20"/>
              </w:rPr>
              <w:t xml:space="preserve">YEAR 3 </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7952AC" w14:textId="77777777" w:rsidR="009C4ED4" w:rsidRDefault="00017D3E">
            <w:pPr>
              <w:ind w:right="54"/>
              <w:jc w:val="center"/>
            </w:pPr>
            <w:r>
              <w:rPr>
                <w:sz w:val="20"/>
              </w:rPr>
              <w:t xml:space="preserve">YEAR 4 </w:t>
            </w:r>
          </w:p>
        </w:tc>
        <w:tc>
          <w:tcPr>
            <w:tcW w:w="25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6655471" w14:textId="77777777" w:rsidR="009C4ED4" w:rsidRDefault="00017D3E">
            <w:pPr>
              <w:ind w:right="57"/>
              <w:jc w:val="center"/>
            </w:pPr>
            <w:r>
              <w:rPr>
                <w:sz w:val="20"/>
              </w:rPr>
              <w:t xml:space="preserve">YEAR 5 </w:t>
            </w:r>
          </w:p>
        </w:tc>
        <w:tc>
          <w:tcPr>
            <w:tcW w:w="22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8656997" w14:textId="77777777" w:rsidR="009C4ED4" w:rsidRDefault="00017D3E">
            <w:pPr>
              <w:ind w:right="55"/>
              <w:jc w:val="center"/>
            </w:pPr>
            <w:r>
              <w:rPr>
                <w:sz w:val="20"/>
              </w:rPr>
              <w:t xml:space="preserve">YEAR 6 </w:t>
            </w:r>
          </w:p>
        </w:tc>
      </w:tr>
      <w:tr w:rsidR="009C4ED4" w14:paraId="0922CE04" w14:textId="77777777" w:rsidTr="00017D3E">
        <w:trPr>
          <w:trHeight w:val="595"/>
        </w:trPr>
        <w:tc>
          <w:tcPr>
            <w:tcW w:w="19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49C6BC2" w14:textId="77777777" w:rsidR="009C4ED4" w:rsidRDefault="00017D3E">
            <w:pPr>
              <w:ind w:right="58"/>
              <w:jc w:val="center"/>
            </w:pPr>
            <w:r>
              <w:rPr>
                <w:sz w:val="20"/>
              </w:rPr>
              <w:t xml:space="preserve">PERSUADE  </w:t>
            </w:r>
          </w:p>
        </w:tc>
        <w:tc>
          <w:tcPr>
            <w:tcW w:w="1612" w:type="dxa"/>
            <w:tcBorders>
              <w:top w:val="single" w:sz="4" w:space="0" w:color="000000"/>
              <w:left w:val="single" w:sz="4" w:space="0" w:color="000000"/>
              <w:bottom w:val="single" w:sz="4" w:space="0" w:color="000000"/>
              <w:right w:val="single" w:sz="4" w:space="0" w:color="000000"/>
            </w:tcBorders>
            <w:shd w:val="clear" w:color="auto" w:fill="D0CECE"/>
          </w:tcPr>
          <w:p w14:paraId="1FDEAD7F" w14:textId="77777777" w:rsidR="009C4ED4" w:rsidRDefault="00017D3E">
            <w:pPr>
              <w:ind w:left="1"/>
            </w:pP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cPr>
          <w:p w14:paraId="3CB2A792" w14:textId="77777777" w:rsidR="009C4ED4" w:rsidRDefault="00017D3E">
            <w:pPr>
              <w:ind w:left="2"/>
            </w:pP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cPr>
          <w:p w14:paraId="2CD35BFD" w14:textId="77777777" w:rsidR="009C4ED4" w:rsidRDefault="00017D3E">
            <w:pPr>
              <w:ind w:left="1"/>
            </w:pPr>
            <w:r>
              <w:rPr>
                <w:sz w:val="16"/>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37CCB7B" w14:textId="77777777" w:rsidR="009C4ED4" w:rsidRDefault="00017D3E">
            <w:pPr>
              <w:ind w:left="1"/>
            </w:pPr>
            <w:r>
              <w:rPr>
                <w:sz w:val="16"/>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25970DF8" w14:textId="77777777" w:rsidR="009C4ED4" w:rsidRDefault="00017D3E">
            <w:pPr>
              <w:ind w:left="1"/>
            </w:pPr>
            <w:r>
              <w:rPr>
                <w:sz w:val="16"/>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EFFA63B" w14:textId="77777777" w:rsidR="009C4ED4" w:rsidRDefault="00017D3E">
            <w:pPr>
              <w:spacing w:after="2" w:line="238" w:lineRule="auto"/>
              <w:jc w:val="both"/>
            </w:pPr>
            <w:r>
              <w:rPr>
                <w:sz w:val="16"/>
              </w:rPr>
              <w:t xml:space="preserve">Balanced argument / debate write up </w:t>
            </w:r>
          </w:p>
          <w:p w14:paraId="2098F5AF" w14:textId="77777777" w:rsidR="009C4ED4" w:rsidRDefault="00017D3E">
            <w:r>
              <w:rPr>
                <w:sz w:val="16"/>
              </w:rPr>
              <w:t xml:space="preserve"> </w:t>
            </w:r>
          </w:p>
        </w:tc>
        <w:tc>
          <w:tcPr>
            <w:tcW w:w="2217" w:type="dxa"/>
            <w:tcBorders>
              <w:top w:val="single" w:sz="4" w:space="0" w:color="000000"/>
              <w:left w:val="single" w:sz="4" w:space="0" w:color="000000"/>
              <w:bottom w:val="single" w:sz="4" w:space="0" w:color="000000"/>
              <w:right w:val="single" w:sz="4" w:space="0" w:color="000000"/>
            </w:tcBorders>
          </w:tcPr>
          <w:p w14:paraId="271602A8" w14:textId="77777777" w:rsidR="009C4ED4" w:rsidRDefault="00017D3E">
            <w:pPr>
              <w:spacing w:after="2" w:line="238" w:lineRule="auto"/>
              <w:ind w:left="1"/>
              <w:jc w:val="both"/>
            </w:pPr>
            <w:r>
              <w:rPr>
                <w:sz w:val="16"/>
              </w:rPr>
              <w:t xml:space="preserve">Balanced argument / debate write up </w:t>
            </w:r>
          </w:p>
          <w:p w14:paraId="1270B6D5" w14:textId="77777777" w:rsidR="009C4ED4" w:rsidRDefault="00017D3E">
            <w:pPr>
              <w:ind w:left="1"/>
            </w:pPr>
            <w:r>
              <w:rPr>
                <w:sz w:val="16"/>
              </w:rPr>
              <w:t xml:space="preserve"> </w:t>
            </w:r>
          </w:p>
        </w:tc>
      </w:tr>
      <w:tr w:rsidR="009C4ED4" w14:paraId="166E84BA" w14:textId="77777777" w:rsidTr="00017D3E">
        <w:trPr>
          <w:trHeight w:val="1036"/>
        </w:trPr>
        <w:tc>
          <w:tcPr>
            <w:tcW w:w="19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746319E" w14:textId="77777777" w:rsidR="009C4ED4" w:rsidRDefault="00017D3E">
            <w:pPr>
              <w:ind w:right="60"/>
              <w:jc w:val="center"/>
            </w:pPr>
            <w:r>
              <w:rPr>
                <w:sz w:val="20"/>
              </w:rPr>
              <w:t xml:space="preserve">TEXT FEATURES </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7AEA3CC8" w14:textId="77777777" w:rsidR="009C4ED4" w:rsidRDefault="00017D3E">
            <w:pPr>
              <w:ind w:left="1"/>
            </w:pPr>
            <w:r>
              <w:rPr>
                <w:sz w:val="1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072AC251" w14:textId="77777777" w:rsidR="009C4ED4" w:rsidRDefault="00017D3E">
            <w:pPr>
              <w:ind w:left="2"/>
            </w:pPr>
            <w:r>
              <w:rPr>
                <w:sz w:val="1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0E6D4212" w14:textId="77777777" w:rsidR="009C4ED4" w:rsidRDefault="00017D3E">
            <w:pPr>
              <w:ind w:left="1"/>
            </w:pPr>
            <w:r>
              <w:rPr>
                <w:sz w:val="1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108C5933" w14:textId="77777777" w:rsidR="009C4ED4" w:rsidRDefault="00017D3E">
            <w:pPr>
              <w:ind w:left="1"/>
            </w:pPr>
            <w:r>
              <w:rPr>
                <w:sz w:val="1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7346B6E4" w14:textId="77777777" w:rsidR="009C4ED4" w:rsidRDefault="00017D3E">
            <w:pPr>
              <w:ind w:left="1"/>
            </w:pPr>
            <w:r>
              <w:rPr>
                <w:sz w:val="1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AE33FF6" w14:textId="77777777" w:rsidR="009C4ED4" w:rsidRDefault="00017D3E">
            <w:pPr>
              <w:spacing w:after="2" w:line="241" w:lineRule="auto"/>
            </w:pPr>
            <w:r>
              <w:rPr>
                <w:sz w:val="14"/>
              </w:rPr>
              <w:t xml:space="preserve">Appropriate use of cohesive devices </w:t>
            </w:r>
          </w:p>
          <w:p w14:paraId="7B19B960" w14:textId="77777777" w:rsidR="009C4ED4" w:rsidRDefault="00017D3E">
            <w:pPr>
              <w:spacing w:line="241" w:lineRule="auto"/>
            </w:pPr>
            <w:r>
              <w:rPr>
                <w:sz w:val="14"/>
              </w:rPr>
              <w:t xml:space="preserve">Paragraphs to structure arguments </w:t>
            </w:r>
          </w:p>
          <w:p w14:paraId="24E97F34" w14:textId="77777777" w:rsidR="009C4ED4" w:rsidRDefault="00017D3E">
            <w:r>
              <w:rPr>
                <w:sz w:val="14"/>
              </w:rPr>
              <w:t xml:space="preserve">Maintain a formal / impersonal tone </w:t>
            </w:r>
          </w:p>
        </w:tc>
        <w:tc>
          <w:tcPr>
            <w:tcW w:w="2217" w:type="dxa"/>
            <w:tcBorders>
              <w:top w:val="single" w:sz="4" w:space="0" w:color="000000"/>
              <w:left w:val="single" w:sz="4" w:space="0" w:color="000000"/>
              <w:bottom w:val="single" w:sz="4" w:space="0" w:color="000000"/>
              <w:right w:val="single" w:sz="4" w:space="0" w:color="000000"/>
            </w:tcBorders>
          </w:tcPr>
          <w:p w14:paraId="2CC1B3F3" w14:textId="77777777" w:rsidR="009C4ED4" w:rsidRDefault="00017D3E">
            <w:pPr>
              <w:ind w:left="1"/>
            </w:pPr>
            <w:r>
              <w:rPr>
                <w:sz w:val="14"/>
              </w:rPr>
              <w:t xml:space="preserve">Use of subjunctive form </w:t>
            </w:r>
          </w:p>
          <w:p w14:paraId="1E2144C0" w14:textId="77777777" w:rsidR="009C4ED4" w:rsidRDefault="00017D3E">
            <w:pPr>
              <w:ind w:left="1"/>
            </w:pPr>
            <w:r>
              <w:rPr>
                <w:sz w:val="14"/>
              </w:rPr>
              <w:t xml:space="preserve">where needed  </w:t>
            </w:r>
          </w:p>
          <w:p w14:paraId="7D573A8F" w14:textId="77777777" w:rsidR="009C4ED4" w:rsidRDefault="00017D3E">
            <w:pPr>
              <w:ind w:left="1"/>
            </w:pPr>
            <w:r>
              <w:rPr>
                <w:sz w:val="14"/>
              </w:rPr>
              <w:t xml:space="preserve"> </w:t>
            </w:r>
          </w:p>
        </w:tc>
      </w:tr>
      <w:tr w:rsidR="009C4ED4" w14:paraId="08067E7F" w14:textId="77777777" w:rsidTr="00017D3E">
        <w:trPr>
          <w:trHeight w:val="2574"/>
        </w:trPr>
        <w:tc>
          <w:tcPr>
            <w:tcW w:w="19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8E681F4" w14:textId="77777777" w:rsidR="009C4ED4" w:rsidRDefault="00017D3E">
            <w:pPr>
              <w:ind w:left="28" w:right="17" w:hanging="21"/>
              <w:jc w:val="center"/>
            </w:pPr>
            <w:r>
              <w:rPr>
                <w:sz w:val="20"/>
              </w:rPr>
              <w:t xml:space="preserve">GRAMMAR AND SENTENCE TEACHING </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2E1431D4" w14:textId="77777777" w:rsidR="009C4ED4" w:rsidRDefault="00017D3E">
            <w:pPr>
              <w:ind w:left="1"/>
            </w:pPr>
            <w:r>
              <w:rPr>
                <w:sz w:val="1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57C850BB" w14:textId="77777777" w:rsidR="009C4ED4" w:rsidRDefault="00017D3E">
            <w:pPr>
              <w:ind w:left="2"/>
            </w:pPr>
            <w:r>
              <w:rPr>
                <w:sz w:val="1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3ACDF10C" w14:textId="77777777" w:rsidR="009C4ED4" w:rsidRDefault="00017D3E">
            <w:pPr>
              <w:ind w:left="1"/>
            </w:pPr>
            <w:r>
              <w:rPr>
                <w:sz w:val="1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09A52E68" w14:textId="77777777" w:rsidR="009C4ED4" w:rsidRDefault="00017D3E">
            <w:pPr>
              <w:ind w:left="1"/>
            </w:pPr>
            <w:r>
              <w:rPr>
                <w:sz w:val="1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20F2057A" w14:textId="77777777" w:rsidR="009C4ED4" w:rsidRDefault="00017D3E">
            <w:pPr>
              <w:ind w:left="1"/>
            </w:pPr>
            <w:r>
              <w:rPr>
                <w:sz w:val="1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FC8EDE9" w14:textId="77777777" w:rsidR="009C4ED4" w:rsidRDefault="00017D3E">
            <w:pPr>
              <w:spacing w:line="241" w:lineRule="auto"/>
              <w:ind w:right="12"/>
            </w:pPr>
            <w:r>
              <w:rPr>
                <w:sz w:val="14"/>
              </w:rPr>
              <w:t xml:space="preserve">Modal verbs to convey degrees of possibility. Adverbials to provide cohesion across the text Relative clauses to provide supporting detail </w:t>
            </w:r>
          </w:p>
          <w:p w14:paraId="5A5C069E" w14:textId="77777777" w:rsidR="009C4ED4" w:rsidRDefault="00017D3E">
            <w:pPr>
              <w:spacing w:line="241" w:lineRule="auto"/>
            </w:pPr>
            <w:r>
              <w:rPr>
                <w:sz w:val="14"/>
              </w:rPr>
              <w:t xml:space="preserve">Expanded noun phrases to describe in detail </w:t>
            </w:r>
          </w:p>
          <w:p w14:paraId="1776C8B9" w14:textId="77777777" w:rsidR="009C4ED4" w:rsidRDefault="00017D3E">
            <w:pPr>
              <w:spacing w:line="242" w:lineRule="auto"/>
              <w:ind w:right="55"/>
            </w:pPr>
            <w:r>
              <w:rPr>
                <w:sz w:val="14"/>
              </w:rPr>
              <w:t xml:space="preserve">Appropriate use of a wide range of sentence structures to retain interest or for effect. </w:t>
            </w:r>
          </w:p>
          <w:p w14:paraId="42FF1535" w14:textId="77777777" w:rsidR="009C4ED4" w:rsidRDefault="00017D3E">
            <w:pPr>
              <w:spacing w:line="241" w:lineRule="auto"/>
              <w:ind w:right="25"/>
            </w:pPr>
            <w:r>
              <w:rPr>
                <w:sz w:val="14"/>
              </w:rPr>
              <w:t xml:space="preserve">*Begin to use passive voice for impersonal tone. </w:t>
            </w:r>
          </w:p>
          <w:p w14:paraId="4EDD6E57" w14:textId="77777777" w:rsidR="009C4ED4" w:rsidRDefault="00017D3E">
            <w:r>
              <w:rPr>
                <w:sz w:val="14"/>
              </w:rPr>
              <w:t xml:space="preserve"> </w:t>
            </w:r>
          </w:p>
        </w:tc>
        <w:tc>
          <w:tcPr>
            <w:tcW w:w="2217" w:type="dxa"/>
            <w:tcBorders>
              <w:top w:val="single" w:sz="4" w:space="0" w:color="000000"/>
              <w:left w:val="single" w:sz="4" w:space="0" w:color="000000"/>
              <w:bottom w:val="single" w:sz="4" w:space="0" w:color="000000"/>
              <w:right w:val="single" w:sz="4" w:space="0" w:color="000000"/>
            </w:tcBorders>
          </w:tcPr>
          <w:p w14:paraId="1FDEE283" w14:textId="77777777" w:rsidR="009C4ED4" w:rsidRDefault="00017D3E">
            <w:pPr>
              <w:ind w:left="1"/>
            </w:pPr>
            <w:r>
              <w:rPr>
                <w:sz w:val="14"/>
              </w:rPr>
              <w:t xml:space="preserve">Parenthesis  </w:t>
            </w:r>
          </w:p>
          <w:p w14:paraId="44A48C70" w14:textId="77777777" w:rsidR="009C4ED4" w:rsidRDefault="00017D3E">
            <w:pPr>
              <w:spacing w:line="242" w:lineRule="auto"/>
              <w:ind w:left="1" w:right="33"/>
            </w:pPr>
            <w:r>
              <w:rPr>
                <w:sz w:val="14"/>
              </w:rPr>
              <w:t xml:space="preserve">Separating main clause with a subordinating clause. Commas to demarcate clauses and support the reader </w:t>
            </w:r>
          </w:p>
          <w:p w14:paraId="77AC7E26" w14:textId="77777777" w:rsidR="009C4ED4" w:rsidRDefault="00017D3E">
            <w:pPr>
              <w:spacing w:line="241" w:lineRule="auto"/>
              <w:ind w:left="1"/>
            </w:pPr>
            <w:r>
              <w:rPr>
                <w:sz w:val="14"/>
              </w:rPr>
              <w:t xml:space="preserve">Use of the subjunctive form. Use of passive voice to maintain an impersonal tone. </w:t>
            </w:r>
          </w:p>
          <w:p w14:paraId="2F70735D" w14:textId="77777777" w:rsidR="009C4ED4" w:rsidRDefault="00017D3E">
            <w:pPr>
              <w:ind w:left="1"/>
            </w:pPr>
            <w:r>
              <w:rPr>
                <w:sz w:val="14"/>
              </w:rPr>
              <w:t xml:space="preserve"> </w:t>
            </w:r>
          </w:p>
        </w:tc>
      </w:tr>
      <w:tr w:rsidR="009C4ED4" w14:paraId="4281F2F0" w14:textId="77777777" w:rsidTr="00017D3E">
        <w:trPr>
          <w:trHeight w:val="1205"/>
        </w:trPr>
        <w:tc>
          <w:tcPr>
            <w:tcW w:w="19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C2F7B17" w14:textId="77777777" w:rsidR="009C4ED4" w:rsidRDefault="00017D3E">
            <w:pPr>
              <w:jc w:val="center"/>
            </w:pPr>
            <w:r>
              <w:rPr>
                <w:sz w:val="20"/>
              </w:rPr>
              <w:t xml:space="preserve">ADVERBIALS AND CONJUNCTIONS </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449220F5" w14:textId="77777777" w:rsidR="009C4ED4" w:rsidRDefault="00017D3E">
            <w:pPr>
              <w:ind w:left="1"/>
            </w:pPr>
            <w:r>
              <w:rPr>
                <w:sz w:val="1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35073DBB" w14:textId="77777777" w:rsidR="009C4ED4" w:rsidRDefault="00017D3E">
            <w:pPr>
              <w:ind w:left="2"/>
            </w:pPr>
            <w:r>
              <w:rPr>
                <w:sz w:val="1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71D809E5" w14:textId="77777777" w:rsidR="009C4ED4" w:rsidRDefault="00017D3E">
            <w:pPr>
              <w:ind w:left="1"/>
            </w:pPr>
            <w:r>
              <w:rPr>
                <w:sz w:val="1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080083AA" w14:textId="77777777" w:rsidR="009C4ED4" w:rsidRDefault="00017D3E">
            <w:pPr>
              <w:ind w:left="1"/>
            </w:pPr>
            <w:r>
              <w:rPr>
                <w:sz w:val="1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16C7D2C6" w14:textId="77777777" w:rsidR="009C4ED4" w:rsidRDefault="00017D3E">
            <w:pPr>
              <w:ind w:left="1"/>
            </w:pPr>
            <w:r>
              <w:rPr>
                <w:sz w:val="1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AEDAA62" w14:textId="77777777" w:rsidR="009C4ED4" w:rsidRDefault="00017D3E">
            <w:pPr>
              <w:spacing w:line="241" w:lineRule="auto"/>
              <w:ind w:right="301"/>
              <w:jc w:val="both"/>
            </w:pPr>
            <w:r>
              <w:rPr>
                <w:sz w:val="14"/>
              </w:rPr>
              <w:t xml:space="preserve">On the one hand, On the other hand, Furthermore, However, Consequently, </w:t>
            </w:r>
          </w:p>
          <w:p w14:paraId="5AAE2AC5" w14:textId="77777777" w:rsidR="009C4ED4" w:rsidRDefault="00017D3E">
            <w:pPr>
              <w:spacing w:line="244" w:lineRule="auto"/>
            </w:pPr>
            <w:r>
              <w:rPr>
                <w:sz w:val="14"/>
              </w:rPr>
              <w:t xml:space="preserve">Despite, As a result, Due to, For example,  </w:t>
            </w:r>
          </w:p>
          <w:p w14:paraId="66ABB81B" w14:textId="77777777" w:rsidR="009C4ED4" w:rsidRDefault="00017D3E">
            <w:pPr>
              <w:jc w:val="both"/>
            </w:pPr>
            <w:r>
              <w:rPr>
                <w:sz w:val="14"/>
              </w:rPr>
              <w:t xml:space="preserve">If, because, since, although, unless, even if, yet </w:t>
            </w:r>
          </w:p>
        </w:tc>
        <w:tc>
          <w:tcPr>
            <w:tcW w:w="2217" w:type="dxa"/>
            <w:tcBorders>
              <w:top w:val="single" w:sz="4" w:space="0" w:color="000000"/>
              <w:left w:val="single" w:sz="4" w:space="0" w:color="000000"/>
              <w:bottom w:val="single" w:sz="4" w:space="0" w:color="000000"/>
              <w:right w:val="single" w:sz="4" w:space="0" w:color="000000"/>
            </w:tcBorders>
          </w:tcPr>
          <w:p w14:paraId="64C2DD44" w14:textId="77777777" w:rsidR="009C4ED4" w:rsidRDefault="00017D3E">
            <w:pPr>
              <w:ind w:left="1"/>
            </w:pPr>
            <w:r>
              <w:rPr>
                <w:sz w:val="14"/>
              </w:rPr>
              <w:t xml:space="preserve">Therefore, Nevertheless </w:t>
            </w:r>
          </w:p>
          <w:p w14:paraId="22AF6467" w14:textId="77777777" w:rsidR="009C4ED4" w:rsidRDefault="00017D3E">
            <w:pPr>
              <w:ind w:left="1"/>
            </w:pPr>
            <w:r>
              <w:rPr>
                <w:sz w:val="14"/>
              </w:rPr>
              <w:t xml:space="preserve"> </w:t>
            </w:r>
          </w:p>
          <w:p w14:paraId="3DAB9012" w14:textId="77777777" w:rsidR="009C4ED4" w:rsidRDefault="00017D3E">
            <w:pPr>
              <w:ind w:left="1"/>
            </w:pPr>
            <w:r>
              <w:rPr>
                <w:sz w:val="14"/>
              </w:rPr>
              <w:t xml:space="preserve"> </w:t>
            </w:r>
          </w:p>
          <w:p w14:paraId="79C2D568" w14:textId="77777777" w:rsidR="009C4ED4" w:rsidRDefault="00017D3E">
            <w:pPr>
              <w:ind w:left="1"/>
            </w:pPr>
            <w:r>
              <w:rPr>
                <w:sz w:val="14"/>
              </w:rPr>
              <w:t xml:space="preserve">rather, whereas, in order to, whenever, whether,  </w:t>
            </w:r>
          </w:p>
        </w:tc>
      </w:tr>
      <w:tr w:rsidR="009C4ED4" w14:paraId="43069AB3" w14:textId="77777777" w:rsidTr="00017D3E">
        <w:trPr>
          <w:trHeight w:val="2061"/>
        </w:trPr>
        <w:tc>
          <w:tcPr>
            <w:tcW w:w="192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E51BA48" w14:textId="77777777" w:rsidR="009C4ED4" w:rsidRDefault="00017D3E">
            <w:pPr>
              <w:ind w:right="56"/>
              <w:jc w:val="center"/>
            </w:pPr>
            <w:r>
              <w:rPr>
                <w:sz w:val="20"/>
              </w:rPr>
              <w:t xml:space="preserve">PUNCTUATION  </w:t>
            </w:r>
          </w:p>
        </w:tc>
        <w:tc>
          <w:tcPr>
            <w:tcW w:w="1612" w:type="dxa"/>
            <w:tcBorders>
              <w:top w:val="single" w:sz="4" w:space="0" w:color="000000"/>
              <w:left w:val="single" w:sz="4" w:space="0" w:color="000000"/>
              <w:bottom w:val="single" w:sz="4" w:space="0" w:color="000000"/>
              <w:right w:val="single" w:sz="4" w:space="0" w:color="000000"/>
            </w:tcBorders>
            <w:shd w:val="clear" w:color="auto" w:fill="D9D9D9"/>
          </w:tcPr>
          <w:p w14:paraId="70640E81" w14:textId="77777777" w:rsidR="009C4ED4" w:rsidRDefault="00017D3E">
            <w:pPr>
              <w:ind w:left="1"/>
            </w:pPr>
            <w:r>
              <w:rPr>
                <w:sz w:val="1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98D6D77" w14:textId="77777777" w:rsidR="009C4ED4" w:rsidRDefault="00017D3E">
            <w:pPr>
              <w:ind w:left="2"/>
            </w:pPr>
            <w:r>
              <w:rPr>
                <w:sz w:val="1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51AD38C9" w14:textId="77777777" w:rsidR="009C4ED4" w:rsidRDefault="00017D3E">
            <w:pPr>
              <w:ind w:left="1"/>
            </w:pPr>
            <w:r>
              <w:rPr>
                <w:sz w:val="1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7D684697" w14:textId="77777777" w:rsidR="009C4ED4" w:rsidRDefault="00017D3E">
            <w:pPr>
              <w:ind w:left="1"/>
            </w:pPr>
            <w:r>
              <w:rPr>
                <w:sz w:val="1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24690B50" w14:textId="77777777" w:rsidR="009C4ED4" w:rsidRDefault="00017D3E">
            <w:pPr>
              <w:ind w:left="1"/>
            </w:pPr>
            <w:r>
              <w:rPr>
                <w:sz w:val="1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CE3CAA9" w14:textId="77777777" w:rsidR="009C4ED4" w:rsidRDefault="00017D3E">
            <w:pPr>
              <w:spacing w:line="242" w:lineRule="auto"/>
              <w:ind w:right="43"/>
            </w:pPr>
            <w:r>
              <w:rPr>
                <w:sz w:val="14"/>
              </w:rPr>
              <w:t xml:space="preserve">Secure use of commas to mark clauses, including opening subordinating clauses </w:t>
            </w:r>
          </w:p>
          <w:p w14:paraId="79E2A3FC" w14:textId="77777777" w:rsidR="009C4ED4" w:rsidRDefault="00017D3E">
            <w:pPr>
              <w:spacing w:after="2" w:line="242" w:lineRule="auto"/>
            </w:pPr>
            <w:r>
              <w:rPr>
                <w:sz w:val="14"/>
              </w:rPr>
              <w:t xml:space="preserve">Commas to mark relative clauses. </w:t>
            </w:r>
          </w:p>
          <w:p w14:paraId="06B9FEA6" w14:textId="77777777" w:rsidR="009C4ED4" w:rsidRDefault="00017D3E">
            <w:pPr>
              <w:spacing w:line="241" w:lineRule="auto"/>
            </w:pPr>
            <w:r>
              <w:rPr>
                <w:sz w:val="14"/>
              </w:rPr>
              <w:t xml:space="preserve">Brackets or dashes for parenthesis, including for emphasis </w:t>
            </w:r>
          </w:p>
          <w:p w14:paraId="286AE2C6" w14:textId="77777777" w:rsidR="009C4ED4" w:rsidRDefault="00017D3E">
            <w:pPr>
              <w:spacing w:line="244" w:lineRule="auto"/>
            </w:pPr>
            <w:r>
              <w:rPr>
                <w:sz w:val="14"/>
              </w:rPr>
              <w:t xml:space="preserve">*Colons and semi colons to separate clauses  </w:t>
            </w:r>
          </w:p>
          <w:p w14:paraId="278A8FD0" w14:textId="77777777" w:rsidR="009C4ED4" w:rsidRDefault="00017D3E">
            <w:r>
              <w:rPr>
                <w:sz w:val="14"/>
              </w:rPr>
              <w:t xml:space="preserve"> </w:t>
            </w:r>
          </w:p>
        </w:tc>
        <w:tc>
          <w:tcPr>
            <w:tcW w:w="2217" w:type="dxa"/>
            <w:tcBorders>
              <w:top w:val="single" w:sz="4" w:space="0" w:color="000000"/>
              <w:left w:val="single" w:sz="4" w:space="0" w:color="000000"/>
              <w:bottom w:val="single" w:sz="4" w:space="0" w:color="000000"/>
              <w:right w:val="single" w:sz="4" w:space="0" w:color="000000"/>
            </w:tcBorders>
          </w:tcPr>
          <w:p w14:paraId="09BBD5CA" w14:textId="77777777" w:rsidR="009C4ED4" w:rsidRDefault="00017D3E">
            <w:pPr>
              <w:spacing w:line="244" w:lineRule="auto"/>
              <w:ind w:left="1" w:right="50"/>
            </w:pPr>
            <w:r>
              <w:rPr>
                <w:sz w:val="14"/>
              </w:rPr>
              <w:t xml:space="preserve">Range and careful selection of parenthesis  </w:t>
            </w:r>
          </w:p>
          <w:p w14:paraId="060554D8" w14:textId="77777777" w:rsidR="009C4ED4" w:rsidRDefault="00017D3E">
            <w:pPr>
              <w:ind w:left="1"/>
            </w:pPr>
            <w:r>
              <w:rPr>
                <w:sz w:val="14"/>
              </w:rPr>
              <w:t xml:space="preserve"> </w:t>
            </w:r>
          </w:p>
          <w:p w14:paraId="15948743" w14:textId="77777777" w:rsidR="009C4ED4" w:rsidRDefault="00017D3E">
            <w:pPr>
              <w:ind w:left="1"/>
            </w:pPr>
            <w:r>
              <w:rPr>
                <w:sz w:val="14"/>
              </w:rPr>
              <w:t xml:space="preserve">Colons and semi colons to </w:t>
            </w:r>
          </w:p>
          <w:p w14:paraId="7E15CFEE" w14:textId="77777777" w:rsidR="009C4ED4" w:rsidRDefault="00017D3E">
            <w:pPr>
              <w:ind w:left="1"/>
            </w:pPr>
            <w:r>
              <w:rPr>
                <w:sz w:val="14"/>
              </w:rPr>
              <w:t xml:space="preserve">punctuate complex sentences  </w:t>
            </w:r>
          </w:p>
          <w:p w14:paraId="25D6DF50" w14:textId="77777777" w:rsidR="009C4ED4" w:rsidRDefault="00017D3E">
            <w:pPr>
              <w:ind w:left="1"/>
            </w:pPr>
            <w:r>
              <w:rPr>
                <w:sz w:val="14"/>
              </w:rPr>
              <w:t xml:space="preserve"> </w:t>
            </w:r>
          </w:p>
          <w:p w14:paraId="3F41D1A9" w14:textId="77777777" w:rsidR="009C4ED4" w:rsidRDefault="00017D3E">
            <w:pPr>
              <w:ind w:left="1"/>
            </w:pPr>
            <w:r>
              <w:rPr>
                <w:sz w:val="14"/>
              </w:rPr>
              <w:t xml:space="preserve">Semi-colons to mark related </w:t>
            </w:r>
          </w:p>
          <w:p w14:paraId="5B1512D0" w14:textId="77777777" w:rsidR="009C4ED4" w:rsidRDefault="00017D3E">
            <w:pPr>
              <w:ind w:left="1"/>
            </w:pPr>
            <w:r>
              <w:rPr>
                <w:sz w:val="14"/>
              </w:rPr>
              <w:t xml:space="preserve">clauses (some; others) </w:t>
            </w:r>
          </w:p>
          <w:p w14:paraId="527FAE45" w14:textId="77777777" w:rsidR="009C4ED4" w:rsidRDefault="00017D3E">
            <w:pPr>
              <w:ind w:left="1"/>
            </w:pPr>
            <w:r>
              <w:rPr>
                <w:sz w:val="14"/>
              </w:rPr>
              <w:t xml:space="preserve"> </w:t>
            </w:r>
          </w:p>
          <w:p w14:paraId="074D7ED0" w14:textId="77777777" w:rsidR="009C4ED4" w:rsidRDefault="00017D3E">
            <w:pPr>
              <w:ind w:left="1"/>
            </w:pPr>
            <w:r>
              <w:rPr>
                <w:sz w:val="14"/>
              </w:rPr>
              <w:t xml:space="preserve"> </w:t>
            </w:r>
          </w:p>
        </w:tc>
      </w:tr>
    </w:tbl>
    <w:p w14:paraId="6F699426" w14:textId="5A062CCB" w:rsidR="009C4ED4" w:rsidRDefault="00017D3E">
      <w:pPr>
        <w:spacing w:after="214"/>
      </w:pPr>
      <w:r>
        <w:rPr>
          <w:sz w:val="14"/>
        </w:rPr>
        <w:t>*  indicates where you can expose the children to this objective in Models of excellence’s or your modelling, but you don’t need to explicitly teach it, or expect the children to use it independently.</w:t>
      </w:r>
      <w:r>
        <w:rPr>
          <w:sz w:val="16"/>
        </w:rPr>
        <w:t xml:space="preserve"> </w:t>
      </w:r>
    </w:p>
    <w:p w14:paraId="40656ED0" w14:textId="77777777" w:rsidR="009C4ED4" w:rsidRDefault="00017D3E">
      <w:pPr>
        <w:spacing w:after="0"/>
      </w:pPr>
      <w:r>
        <w:t xml:space="preserve"> </w:t>
      </w:r>
    </w:p>
    <w:sectPr w:rsidR="009C4ED4" w:rsidSect="00017D3E">
      <w:pgSz w:w="16838" w:h="11906" w:orient="landscape"/>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ED4"/>
    <w:rsid w:val="00017D3E"/>
    <w:rsid w:val="00240FBA"/>
    <w:rsid w:val="009C4ED4"/>
    <w:rsid w:val="00CC63A9"/>
    <w:rsid w:val="00DE0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011B"/>
  <w15:docId w15:val="{2E4B81DD-C038-4581-8016-D217C0D5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B64E403675B74B990C9C90CDD43E28" ma:contentTypeVersion="10" ma:contentTypeDescription="Create a new document." ma:contentTypeScope="" ma:versionID="06b294718f6035ad1820c380940d9cce">
  <xsd:schema xmlns:xsd="http://www.w3.org/2001/XMLSchema" xmlns:xs="http://www.w3.org/2001/XMLSchema" xmlns:p="http://schemas.microsoft.com/office/2006/metadata/properties" xmlns:ns2="c7c38ade-1818-404f-9f87-b06a6a77a5ff" targetNamespace="http://schemas.microsoft.com/office/2006/metadata/properties" ma:root="true" ma:fieldsID="be235cb3a6f8a8449ecc41c3f77c2636" ns2:_="">
    <xsd:import namespace="c7c38ade-1818-404f-9f87-b06a6a77a5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38ade-1818-404f-9f87-b06a6a77a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38ade-1818-404f-9f87-b06a6a77a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2B0293-DD32-4995-8554-837BFBDC7EF5}"/>
</file>

<file path=customXml/itemProps2.xml><?xml version="1.0" encoding="utf-8"?>
<ds:datastoreItem xmlns:ds="http://schemas.openxmlformats.org/officeDocument/2006/customXml" ds:itemID="{34877B22-13C6-46F6-92EA-D1C66F79355F}">
  <ds:schemaRefs>
    <ds:schemaRef ds:uri="http://schemas.microsoft.com/sharepoint/v3/contenttype/forms"/>
  </ds:schemaRefs>
</ds:datastoreItem>
</file>

<file path=customXml/itemProps3.xml><?xml version="1.0" encoding="utf-8"?>
<ds:datastoreItem xmlns:ds="http://schemas.openxmlformats.org/officeDocument/2006/customXml" ds:itemID="{938D604E-55A2-4C46-AF02-9A1E799A4D94}">
  <ds:schemaRefs>
    <ds:schemaRef ds:uri="http://www.w3.org/XML/1998/namespace"/>
    <ds:schemaRef ds:uri="aa2faa68-403d-4087-a78e-2639e168f601"/>
    <ds:schemaRef ds:uri="http://schemas.microsoft.com/office/2006/documentManagement/types"/>
    <ds:schemaRef ds:uri="http://purl.org/dc/elements/1.1/"/>
    <ds:schemaRef ds:uri="8bc44ad1-2ca1-4151-8610-1d42439433b0"/>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Company>Enquire Learning Trust</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Thornburn, K</dc:creator>
  <cp:keywords/>
  <cp:lastModifiedBy>Thorpe, Kirsty</cp:lastModifiedBy>
  <cp:revision>4</cp:revision>
  <dcterms:created xsi:type="dcterms:W3CDTF">2023-03-14T11:30:00Z</dcterms:created>
  <dcterms:modified xsi:type="dcterms:W3CDTF">2024-10-09T09:19:00Z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0x010100B2B64E403675B74B990C9C90CDD43E28</vt:lpwstr>
  </property>
  <property fmtid="{D5CDD505-2E9C-101B-9397-08002B2CF9AE}" pid="3" name="MediaServiceImageTags">
    <vt:lpwstr/>
  </property>
</Properties>
</file>