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5B3FB278" w:rsidR="00134173" w:rsidRPr="002B43AE" w:rsidRDefault="00134173" w:rsidP="00134173">
      <w:pPr>
        <w:rPr>
          <w:color w:val="003399"/>
          <w:szCs w:val="24"/>
        </w:rPr>
      </w:pPr>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34AA578F" w14:textId="77777777" w:rsidR="003D46AD" w:rsidRDefault="003D46AD" w:rsidP="003D46AD">
      <w:pPr>
        <w:jc w:val="center"/>
        <w:rPr>
          <w:rFonts w:ascii="Century Gothic" w:hAnsi="Century Gothic" w:cs="Arial"/>
          <w:b/>
          <w:sz w:val="72"/>
          <w:szCs w:val="72"/>
        </w:rPr>
      </w:pPr>
    </w:p>
    <w:p w14:paraId="1005C95F" w14:textId="17AE4496" w:rsidR="003D46AD" w:rsidRDefault="00D65149" w:rsidP="003D46AD">
      <w:pPr>
        <w:jc w:val="center"/>
        <w:rPr>
          <w:rFonts w:ascii="Century Gothic" w:hAnsi="Century Gothic" w:cs="Arial"/>
          <w:b/>
          <w:sz w:val="72"/>
          <w:szCs w:val="72"/>
        </w:rPr>
      </w:pPr>
      <w:r w:rsidRPr="00DA2503">
        <w:rPr>
          <w:noProof/>
        </w:rPr>
        <w:drawing>
          <wp:inline distT="0" distB="0" distL="0" distR="0" wp14:anchorId="1389E33F" wp14:editId="2BDF9692">
            <wp:extent cx="3164566" cy="1345224"/>
            <wp:effectExtent l="0" t="0" r="0" b="7620"/>
            <wp:docPr id="526384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8454" name="Picture 1" descr="A black and green text&#10;&#10;Description automatically generated"/>
                    <pic:cNvPicPr/>
                  </pic:nvPicPr>
                  <pic:blipFill>
                    <a:blip r:embed="rId12"/>
                    <a:stretch>
                      <a:fillRect/>
                    </a:stretch>
                  </pic:blipFill>
                  <pic:spPr>
                    <a:xfrm>
                      <a:off x="0" y="0"/>
                      <a:ext cx="3174152" cy="1349299"/>
                    </a:xfrm>
                    <a:prstGeom prst="rect">
                      <a:avLst/>
                    </a:prstGeom>
                  </pic:spPr>
                </pic:pic>
              </a:graphicData>
            </a:graphic>
          </wp:inline>
        </w:drawing>
      </w:r>
    </w:p>
    <w:p w14:paraId="4573936D" w14:textId="77777777" w:rsidR="003D46AD" w:rsidRDefault="003D46AD" w:rsidP="003D46AD">
      <w:pPr>
        <w:jc w:val="center"/>
        <w:rPr>
          <w:rFonts w:ascii="Century Gothic" w:hAnsi="Century Gothic" w:cs="Arial"/>
          <w:b/>
          <w:sz w:val="72"/>
          <w:szCs w:val="72"/>
        </w:rPr>
      </w:pPr>
    </w:p>
    <w:p w14:paraId="42DF0DBF" w14:textId="77777777" w:rsidR="003D46AD" w:rsidRDefault="003D46AD" w:rsidP="003D46AD">
      <w:pPr>
        <w:jc w:val="center"/>
        <w:rPr>
          <w:rFonts w:ascii="Century Gothic" w:hAnsi="Century Gothic" w:cs="Arial"/>
          <w:b/>
          <w:sz w:val="72"/>
          <w:szCs w:val="72"/>
        </w:rPr>
      </w:pPr>
    </w:p>
    <w:p w14:paraId="40BD56CC" w14:textId="4517F356" w:rsidR="003D46AD" w:rsidRDefault="003D46AD" w:rsidP="003D46AD">
      <w:pPr>
        <w:jc w:val="center"/>
        <w:rPr>
          <w:rFonts w:ascii="Century Gothic" w:hAnsi="Century Gothic" w:cs="Arial"/>
          <w:b/>
          <w:sz w:val="72"/>
          <w:szCs w:val="72"/>
        </w:rPr>
      </w:pPr>
      <w:r>
        <w:rPr>
          <w:rFonts w:ascii="Century Gothic" w:hAnsi="Century Gothic" w:cs="Arial"/>
          <w:b/>
          <w:sz w:val="72"/>
          <w:szCs w:val="72"/>
        </w:rPr>
        <w:t>Examinations</w:t>
      </w:r>
    </w:p>
    <w:p w14:paraId="3AB7B7EC" w14:textId="77777777" w:rsidR="003D46AD" w:rsidRDefault="003D46AD" w:rsidP="003D46AD">
      <w:pPr>
        <w:jc w:val="center"/>
        <w:rPr>
          <w:rFonts w:ascii="Century Gothic" w:hAnsi="Century Gothic" w:cs="Arial"/>
          <w:b/>
          <w:sz w:val="72"/>
          <w:szCs w:val="72"/>
        </w:rPr>
      </w:pPr>
    </w:p>
    <w:p w14:paraId="3517B8CB" w14:textId="576EED49" w:rsidR="003D46AD" w:rsidRDefault="003D46AD" w:rsidP="003D46AD">
      <w:pPr>
        <w:jc w:val="center"/>
        <w:rPr>
          <w:rFonts w:ascii="Century Gothic" w:hAnsi="Century Gothic" w:cs="Arial"/>
          <w:b/>
          <w:sz w:val="72"/>
          <w:szCs w:val="72"/>
        </w:rPr>
      </w:pPr>
    </w:p>
    <w:p w14:paraId="5531F3F7" w14:textId="77777777" w:rsidR="003D46AD" w:rsidRDefault="003D46AD" w:rsidP="003D46AD">
      <w:pPr>
        <w:jc w:val="center"/>
        <w:rPr>
          <w:rFonts w:ascii="Century Gothic" w:hAnsi="Century Gothic" w:cs="Arial"/>
          <w:b/>
          <w:sz w:val="72"/>
          <w:szCs w:val="72"/>
        </w:rPr>
      </w:pPr>
    </w:p>
    <w:p w14:paraId="6A191857" w14:textId="3E2EA6E9" w:rsidR="003D46AD" w:rsidRPr="006E46C7" w:rsidRDefault="003D46AD" w:rsidP="003D46AD">
      <w:pPr>
        <w:jc w:val="center"/>
        <w:rPr>
          <w:rFonts w:ascii="Century Gothic" w:hAnsi="Century Gothic" w:cs="Arial"/>
          <w:b/>
          <w:sz w:val="72"/>
          <w:szCs w:val="72"/>
        </w:rPr>
      </w:pPr>
      <w:r>
        <w:rPr>
          <w:rFonts w:ascii="Century Gothic" w:hAnsi="Century Gothic" w:cs="Arial"/>
          <w:b/>
          <w:sz w:val="72"/>
          <w:szCs w:val="72"/>
        </w:rPr>
        <w:t xml:space="preserve">Access Arrangements Policy </w:t>
      </w:r>
    </w:p>
    <w:p w14:paraId="5FC79E37" w14:textId="77777777" w:rsidR="003D46AD" w:rsidRDefault="003D46AD" w:rsidP="003D46AD">
      <w:pPr>
        <w:jc w:val="center"/>
        <w:rPr>
          <w:rFonts w:ascii="Century Gothic" w:hAnsi="Century Gothic" w:cs="Arial"/>
          <w:b/>
        </w:rPr>
      </w:pPr>
    </w:p>
    <w:p w14:paraId="080D914E" w14:textId="77777777" w:rsidR="003D46AD" w:rsidRDefault="003D46AD" w:rsidP="003D46AD">
      <w:pPr>
        <w:jc w:val="center"/>
        <w:rPr>
          <w:rFonts w:ascii="Century Gothic" w:hAnsi="Century Gothic" w:cs="Arial"/>
          <w:b/>
        </w:rPr>
      </w:pPr>
    </w:p>
    <w:p w14:paraId="0B8C1157" w14:textId="77777777" w:rsidR="003D46AD" w:rsidRPr="00A87C45" w:rsidRDefault="003D46AD" w:rsidP="003D46AD">
      <w:pPr>
        <w:jc w:val="center"/>
        <w:rPr>
          <w:rFonts w:ascii="Century Gothic" w:hAnsi="Century Gothic" w:cs="Arial"/>
          <w:b/>
        </w:rPr>
      </w:pPr>
    </w:p>
    <w:p w14:paraId="1781EC55" w14:textId="77777777" w:rsidR="003D46AD" w:rsidRPr="00A87C45" w:rsidRDefault="003D46AD" w:rsidP="003D46AD">
      <w:pPr>
        <w:jc w:val="center"/>
        <w:rPr>
          <w:rFonts w:ascii="Century Gothic" w:hAnsi="Century Gothic" w:cs="Arial"/>
          <w:b/>
        </w:rPr>
      </w:pPr>
    </w:p>
    <w:p w14:paraId="6E54356B" w14:textId="77777777" w:rsidR="003D46AD" w:rsidRPr="00A87C45" w:rsidRDefault="003D46AD" w:rsidP="003D46AD">
      <w:pPr>
        <w:rPr>
          <w:rFonts w:ascii="Century Gothic" w:hAnsi="Century Gothic"/>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1842"/>
        <w:gridCol w:w="2410"/>
      </w:tblGrid>
      <w:tr w:rsidR="003D46AD" w:rsidRPr="00A87C45" w14:paraId="4E57C922" w14:textId="77777777" w:rsidTr="00CE7E3D">
        <w:tc>
          <w:tcPr>
            <w:tcW w:w="2410" w:type="dxa"/>
            <w:tcBorders>
              <w:top w:val="single" w:sz="4" w:space="0" w:color="auto"/>
              <w:left w:val="single" w:sz="4" w:space="0" w:color="auto"/>
              <w:bottom w:val="single" w:sz="4" w:space="0" w:color="auto"/>
              <w:right w:val="single" w:sz="4" w:space="0" w:color="auto"/>
            </w:tcBorders>
            <w:vAlign w:val="center"/>
          </w:tcPr>
          <w:p w14:paraId="2F924115" w14:textId="7D112C85" w:rsidR="003D46AD" w:rsidRPr="00A87C45" w:rsidRDefault="00CE7E3D" w:rsidP="00DB493C">
            <w:pPr>
              <w:spacing w:before="240" w:after="240"/>
              <w:rPr>
                <w:rFonts w:ascii="Century Gothic" w:eastAsia="Calibri" w:hAnsi="Century Gothic" w:cs="Arial"/>
                <w:b/>
              </w:rPr>
            </w:pPr>
            <w:r>
              <w:rPr>
                <w:rFonts w:ascii="Century Gothic" w:eastAsia="Calibri" w:hAnsi="Century Gothic" w:cs="Arial"/>
                <w:b/>
              </w:rPr>
              <w:t xml:space="preserve">SLT </w:t>
            </w:r>
            <w:r w:rsidR="003D46AD" w:rsidRPr="00A87C45">
              <w:rPr>
                <w:rFonts w:ascii="Century Gothic" w:eastAsia="Calibri" w:hAnsi="Century Gothic" w:cs="Arial"/>
                <w:b/>
              </w:rPr>
              <w:t>Policy Reviewer</w:t>
            </w:r>
          </w:p>
        </w:tc>
        <w:tc>
          <w:tcPr>
            <w:tcW w:w="2552" w:type="dxa"/>
            <w:tcBorders>
              <w:top w:val="single" w:sz="4" w:space="0" w:color="auto"/>
              <w:left w:val="single" w:sz="4" w:space="0" w:color="auto"/>
              <w:bottom w:val="single" w:sz="4" w:space="0" w:color="auto"/>
              <w:right w:val="single" w:sz="4" w:space="0" w:color="auto"/>
            </w:tcBorders>
            <w:vAlign w:val="center"/>
          </w:tcPr>
          <w:p w14:paraId="4A79FE18" w14:textId="77777777" w:rsidR="003D46AD" w:rsidRDefault="00904D4F" w:rsidP="00DB493C">
            <w:pPr>
              <w:spacing w:before="240" w:after="240"/>
              <w:rPr>
                <w:rFonts w:ascii="Century Gothic" w:eastAsia="Calibri" w:hAnsi="Century Gothic" w:cs="Arial"/>
              </w:rPr>
            </w:pPr>
            <w:r>
              <w:rPr>
                <w:rFonts w:ascii="Century Gothic" w:eastAsia="Calibri" w:hAnsi="Century Gothic" w:cs="Arial"/>
              </w:rPr>
              <w:t>Caroline Bedford</w:t>
            </w:r>
          </w:p>
          <w:p w14:paraId="18D79C2C" w14:textId="0BF54E6B" w:rsidR="00904D4F" w:rsidRPr="00A87C45" w:rsidRDefault="00D6262F" w:rsidP="00DB493C">
            <w:pPr>
              <w:spacing w:before="240" w:after="240"/>
              <w:rPr>
                <w:rFonts w:ascii="Century Gothic" w:eastAsia="Calibri" w:hAnsi="Century Gothic" w:cs="Arial"/>
              </w:rPr>
            </w:pPr>
            <w:r>
              <w:rPr>
                <w:noProof/>
              </w:rPr>
              <w:drawing>
                <wp:inline distT="0" distB="0" distL="0" distR="0" wp14:anchorId="5CCE1DF6" wp14:editId="765066C2">
                  <wp:extent cx="464457" cy="259781"/>
                  <wp:effectExtent l="0" t="0" r="0" b="6985"/>
                  <wp:docPr id="1208546903"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46903" name="Picture 1" descr="A signature on a white background&#10;&#10;Description automatically generated"/>
                          <pic:cNvPicPr/>
                        </pic:nvPicPr>
                        <pic:blipFill rotWithShape="1">
                          <a:blip r:embed="rId13"/>
                          <a:srcRect l="15152" r="13333" b="29032"/>
                          <a:stretch/>
                        </pic:blipFill>
                        <pic:spPr bwMode="auto">
                          <a:xfrm>
                            <a:off x="0" y="0"/>
                            <a:ext cx="475667" cy="266051"/>
                          </a:xfrm>
                          <a:prstGeom prst="rect">
                            <a:avLst/>
                          </a:prstGeom>
                          <a:ln>
                            <a:noFill/>
                          </a:ln>
                          <a:extLst>
                            <a:ext uri="{53640926-AAD7-44D8-BBD7-CCE9431645EC}">
                              <a14:shadowObscured xmlns:a14="http://schemas.microsoft.com/office/drawing/2010/main"/>
                            </a:ext>
                          </a:extLst>
                        </pic:spPr>
                      </pic:pic>
                    </a:graphicData>
                  </a:graphic>
                </wp:inline>
              </w:drawing>
            </w:r>
          </w:p>
        </w:tc>
        <w:tc>
          <w:tcPr>
            <w:tcW w:w="1842" w:type="dxa"/>
            <w:tcBorders>
              <w:top w:val="single" w:sz="4" w:space="0" w:color="auto"/>
              <w:left w:val="single" w:sz="4" w:space="0" w:color="auto"/>
              <w:bottom w:val="single" w:sz="4" w:space="0" w:color="auto"/>
              <w:right w:val="single" w:sz="4" w:space="0" w:color="auto"/>
            </w:tcBorders>
            <w:vAlign w:val="center"/>
          </w:tcPr>
          <w:p w14:paraId="228EF9C9" w14:textId="77777777" w:rsidR="003D46AD" w:rsidRPr="00A87C45" w:rsidRDefault="003D46AD" w:rsidP="00DB493C">
            <w:pPr>
              <w:spacing w:before="240" w:after="240"/>
              <w:rPr>
                <w:rFonts w:ascii="Century Gothic" w:eastAsia="Calibri" w:hAnsi="Century Gothic" w:cs="Arial"/>
                <w:b/>
              </w:rPr>
            </w:pPr>
            <w:r w:rsidRPr="00A87C45">
              <w:rPr>
                <w:rFonts w:ascii="Century Gothic" w:eastAsia="Calibri" w:hAnsi="Century Gothic" w:cs="Arial"/>
                <w:b/>
              </w:rPr>
              <w:t>Date of Review</w:t>
            </w:r>
          </w:p>
        </w:tc>
        <w:tc>
          <w:tcPr>
            <w:tcW w:w="2410" w:type="dxa"/>
            <w:tcBorders>
              <w:top w:val="single" w:sz="4" w:space="0" w:color="auto"/>
              <w:left w:val="single" w:sz="4" w:space="0" w:color="auto"/>
              <w:bottom w:val="single" w:sz="4" w:space="0" w:color="auto"/>
              <w:right w:val="single" w:sz="4" w:space="0" w:color="auto"/>
            </w:tcBorders>
            <w:vAlign w:val="center"/>
          </w:tcPr>
          <w:p w14:paraId="62115787" w14:textId="263B69DA" w:rsidR="003D46AD" w:rsidRPr="00A87C45" w:rsidRDefault="003D46AD" w:rsidP="00DB493C">
            <w:pPr>
              <w:spacing w:before="240" w:after="240"/>
              <w:rPr>
                <w:rFonts w:ascii="Century Gothic" w:eastAsia="Calibri" w:hAnsi="Century Gothic" w:cs="Arial"/>
              </w:rPr>
            </w:pPr>
            <w:r>
              <w:rPr>
                <w:rFonts w:ascii="Century Gothic" w:eastAsia="Calibri" w:hAnsi="Century Gothic" w:cs="Arial"/>
              </w:rPr>
              <w:t xml:space="preserve">September </w:t>
            </w:r>
            <w:r w:rsidR="00916BD9">
              <w:rPr>
                <w:rFonts w:ascii="Century Gothic" w:eastAsia="Calibri" w:hAnsi="Century Gothic" w:cs="Arial"/>
              </w:rPr>
              <w:t xml:space="preserve">annually </w:t>
            </w:r>
          </w:p>
        </w:tc>
      </w:tr>
    </w:tbl>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E182687" w14:textId="1F8ACFED" w:rsidR="002B43AE" w:rsidRDefault="002B43AE" w:rsidP="00134173">
      <w:pPr>
        <w:rPr>
          <w:color w:val="003399"/>
          <w:szCs w:val="24"/>
        </w:rPr>
      </w:pPr>
    </w:p>
    <w:p w14:paraId="407F679B" w14:textId="77777777" w:rsidR="00272683" w:rsidRPr="00272683" w:rsidRDefault="00272683" w:rsidP="00272683">
      <w:pPr>
        <w:spacing w:before="240" w:after="240" w:line="276" w:lineRule="auto"/>
        <w:outlineLvl w:val="0"/>
        <w:rPr>
          <w:rFonts w:ascii="Tahoma" w:eastAsia="Times New Roman" w:hAnsi="Tahoma" w:cs="Times New Roman"/>
          <w:b/>
          <w:color w:val="003399"/>
          <w:sz w:val="24"/>
          <w:szCs w:val="24"/>
        </w:rPr>
      </w:pPr>
      <w:bookmarkStart w:id="0" w:name="_Toc209369482"/>
      <w:r w:rsidRPr="00272683">
        <w:rPr>
          <w:rFonts w:ascii="Tahoma" w:eastAsia="Times New Roman" w:hAnsi="Tahoma" w:cs="Times New Roman"/>
          <w:b/>
          <w:color w:val="003399"/>
          <w:sz w:val="24"/>
          <w:szCs w:val="24"/>
        </w:rPr>
        <w:t>Key staff involved in the policy</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272683" w:rsidRPr="00272683" w14:paraId="15107A45" w14:textId="77777777" w:rsidTr="00841364">
        <w:tc>
          <w:tcPr>
            <w:tcW w:w="3534" w:type="dxa"/>
            <w:shd w:val="clear" w:color="auto" w:fill="F2F2F2" w:themeFill="background1" w:themeFillShade="F2"/>
          </w:tcPr>
          <w:p w14:paraId="72B67C13" w14:textId="77777777" w:rsidR="00272683" w:rsidRPr="00272683" w:rsidRDefault="00272683" w:rsidP="00272683">
            <w:pPr>
              <w:rPr>
                <w:rFonts w:ascii="Tahoma" w:hAnsi="Tahoma" w:cs="Tahoma"/>
                <w:bCs/>
                <w:sz w:val="20"/>
                <w:szCs w:val="20"/>
              </w:rPr>
            </w:pPr>
            <w:bookmarkStart w:id="1" w:name="_Hlk20227038"/>
            <w:r w:rsidRPr="00272683">
              <w:rPr>
                <w:rFonts w:ascii="Tahoma" w:hAnsi="Tahoma" w:cs="Tahoma"/>
                <w:bCs/>
                <w:sz w:val="20"/>
                <w:szCs w:val="20"/>
              </w:rPr>
              <w:t>Role</w:t>
            </w:r>
          </w:p>
        </w:tc>
        <w:tc>
          <w:tcPr>
            <w:tcW w:w="6498" w:type="dxa"/>
            <w:shd w:val="clear" w:color="auto" w:fill="F2F2F2" w:themeFill="background1" w:themeFillShade="F2"/>
          </w:tcPr>
          <w:p w14:paraId="5DC2CBC7" w14:textId="77777777" w:rsidR="00272683" w:rsidRPr="00272683" w:rsidRDefault="00272683" w:rsidP="00272683">
            <w:pPr>
              <w:jc w:val="both"/>
              <w:rPr>
                <w:rFonts w:ascii="Tahoma" w:hAnsi="Tahoma" w:cs="Tahoma"/>
                <w:bCs/>
                <w:sz w:val="20"/>
                <w:szCs w:val="20"/>
              </w:rPr>
            </w:pPr>
            <w:r w:rsidRPr="00272683">
              <w:rPr>
                <w:rFonts w:ascii="Tahoma" w:hAnsi="Tahoma" w:cs="Tahoma"/>
                <w:bCs/>
                <w:sz w:val="20"/>
                <w:szCs w:val="20"/>
              </w:rPr>
              <w:t>Name(s)</w:t>
            </w:r>
          </w:p>
        </w:tc>
      </w:tr>
      <w:tr w:rsidR="00272683" w:rsidRPr="00272683" w14:paraId="126F2C3A" w14:textId="77777777" w:rsidTr="00841364">
        <w:tc>
          <w:tcPr>
            <w:tcW w:w="3534" w:type="dxa"/>
          </w:tcPr>
          <w:p w14:paraId="342F6EE7" w14:textId="77777777" w:rsidR="00272683" w:rsidRPr="00272683" w:rsidRDefault="00272683" w:rsidP="00272683">
            <w:pPr>
              <w:rPr>
                <w:rFonts w:ascii="Tahoma" w:hAnsi="Tahoma" w:cs="Tahoma"/>
                <w:sz w:val="20"/>
                <w:szCs w:val="20"/>
              </w:rPr>
            </w:pPr>
            <w:r w:rsidRPr="00272683">
              <w:rPr>
                <w:rFonts w:ascii="Tahoma" w:hAnsi="Tahoma" w:cs="Tahoma"/>
                <w:sz w:val="20"/>
                <w:szCs w:val="20"/>
              </w:rPr>
              <w:t>SENCo (or equivalent role)</w:t>
            </w:r>
          </w:p>
        </w:tc>
        <w:tc>
          <w:tcPr>
            <w:tcW w:w="6498" w:type="dxa"/>
          </w:tcPr>
          <w:p w14:paraId="1ABE527C" w14:textId="249B0D64" w:rsidR="00272683" w:rsidRPr="00272683" w:rsidRDefault="00272683" w:rsidP="00272683">
            <w:pPr>
              <w:jc w:val="both"/>
              <w:rPr>
                <w:rFonts w:ascii="Tahoma" w:hAnsi="Tahoma" w:cs="Tahoma"/>
                <w:b/>
              </w:rPr>
            </w:pPr>
            <w:r>
              <w:rPr>
                <w:rFonts w:ascii="Tahoma" w:hAnsi="Tahoma" w:cs="Tahoma"/>
                <w:b/>
              </w:rPr>
              <w:t>Emily Wheat</w:t>
            </w:r>
          </w:p>
        </w:tc>
      </w:tr>
      <w:tr w:rsidR="00272683" w:rsidRPr="00272683" w14:paraId="7082BDC3" w14:textId="77777777" w:rsidTr="00841364">
        <w:tc>
          <w:tcPr>
            <w:tcW w:w="3534" w:type="dxa"/>
          </w:tcPr>
          <w:p w14:paraId="4E0063FE" w14:textId="77777777" w:rsidR="00272683" w:rsidRPr="00272683" w:rsidRDefault="00272683" w:rsidP="00272683">
            <w:pPr>
              <w:rPr>
                <w:rFonts w:ascii="Tahoma" w:hAnsi="Tahoma" w:cs="Tahoma"/>
                <w:sz w:val="20"/>
                <w:szCs w:val="20"/>
              </w:rPr>
            </w:pPr>
            <w:r w:rsidRPr="00272683">
              <w:rPr>
                <w:rFonts w:ascii="Tahoma" w:hAnsi="Tahoma" w:cs="Tahoma"/>
                <w:sz w:val="20"/>
                <w:szCs w:val="20"/>
              </w:rPr>
              <w:t>Senior leader(s)</w:t>
            </w:r>
          </w:p>
        </w:tc>
        <w:tc>
          <w:tcPr>
            <w:tcW w:w="6498" w:type="dxa"/>
          </w:tcPr>
          <w:p w14:paraId="0008E696" w14:textId="53CB88B9" w:rsidR="00272683" w:rsidRPr="00272683" w:rsidRDefault="007C40C0" w:rsidP="00272683">
            <w:pPr>
              <w:jc w:val="both"/>
              <w:rPr>
                <w:rFonts w:ascii="Tahoma" w:hAnsi="Tahoma" w:cs="Tahoma"/>
                <w:b/>
              </w:rPr>
            </w:pPr>
            <w:r>
              <w:rPr>
                <w:rFonts w:ascii="Tahoma" w:hAnsi="Tahoma" w:cs="Tahoma"/>
                <w:b/>
              </w:rPr>
              <w:t>Frances Lewandowska</w:t>
            </w:r>
          </w:p>
        </w:tc>
      </w:tr>
      <w:tr w:rsidR="00272683" w:rsidRPr="00272683" w14:paraId="0A351485" w14:textId="77777777" w:rsidTr="00841364">
        <w:tc>
          <w:tcPr>
            <w:tcW w:w="3534" w:type="dxa"/>
          </w:tcPr>
          <w:p w14:paraId="62B6E7A9" w14:textId="77777777" w:rsidR="00272683" w:rsidRPr="00272683" w:rsidRDefault="00272683" w:rsidP="00272683">
            <w:pPr>
              <w:rPr>
                <w:rFonts w:ascii="Tahoma" w:hAnsi="Tahoma" w:cs="Tahoma"/>
                <w:sz w:val="20"/>
                <w:szCs w:val="20"/>
              </w:rPr>
            </w:pPr>
            <w:r w:rsidRPr="00272683">
              <w:rPr>
                <w:rFonts w:ascii="Tahoma" w:hAnsi="Tahoma" w:cs="Tahoma"/>
                <w:sz w:val="20"/>
                <w:szCs w:val="20"/>
              </w:rPr>
              <w:t>Head of centre</w:t>
            </w:r>
          </w:p>
        </w:tc>
        <w:tc>
          <w:tcPr>
            <w:tcW w:w="6498" w:type="dxa"/>
          </w:tcPr>
          <w:p w14:paraId="1DE235C2" w14:textId="6240BB17" w:rsidR="00272683" w:rsidRPr="00272683" w:rsidRDefault="007C40C0" w:rsidP="00272683">
            <w:pPr>
              <w:jc w:val="both"/>
              <w:rPr>
                <w:rFonts w:ascii="Tahoma" w:hAnsi="Tahoma" w:cs="Tahoma"/>
                <w:b/>
              </w:rPr>
            </w:pPr>
            <w:r>
              <w:rPr>
                <w:rFonts w:ascii="Tahoma" w:hAnsi="Tahoma" w:cs="Tahoma"/>
                <w:b/>
              </w:rPr>
              <w:t>Carol</w:t>
            </w:r>
            <w:r w:rsidR="002202FC">
              <w:rPr>
                <w:rFonts w:ascii="Tahoma" w:hAnsi="Tahoma" w:cs="Tahoma"/>
                <w:b/>
              </w:rPr>
              <w:t>ine Bedford</w:t>
            </w:r>
          </w:p>
        </w:tc>
      </w:tr>
      <w:tr w:rsidR="00272683" w:rsidRPr="00272683" w14:paraId="76B5B310" w14:textId="77777777" w:rsidTr="00841364">
        <w:tc>
          <w:tcPr>
            <w:tcW w:w="3534" w:type="dxa"/>
          </w:tcPr>
          <w:p w14:paraId="3160D8E8" w14:textId="77777777" w:rsidR="00272683" w:rsidRPr="00272683" w:rsidRDefault="00272683" w:rsidP="00272683">
            <w:pPr>
              <w:rPr>
                <w:rFonts w:ascii="Tahoma" w:hAnsi="Tahoma" w:cs="Tahoma"/>
                <w:sz w:val="20"/>
                <w:szCs w:val="20"/>
              </w:rPr>
            </w:pPr>
            <w:r w:rsidRPr="00272683">
              <w:rPr>
                <w:rFonts w:ascii="Tahoma" w:hAnsi="Tahoma" w:cs="Tahoma"/>
                <w:sz w:val="20"/>
                <w:szCs w:val="20"/>
              </w:rPr>
              <w:t>Exams officer</w:t>
            </w:r>
          </w:p>
        </w:tc>
        <w:tc>
          <w:tcPr>
            <w:tcW w:w="6498" w:type="dxa"/>
          </w:tcPr>
          <w:p w14:paraId="6B6E04A9" w14:textId="6A28E5EF" w:rsidR="00272683" w:rsidRPr="00272683" w:rsidRDefault="002202FC" w:rsidP="00272683">
            <w:pPr>
              <w:jc w:val="both"/>
              <w:rPr>
                <w:rFonts w:ascii="Tahoma" w:hAnsi="Tahoma" w:cs="Tahoma"/>
                <w:b/>
              </w:rPr>
            </w:pPr>
            <w:r>
              <w:rPr>
                <w:rFonts w:ascii="Tahoma" w:hAnsi="Tahoma" w:cs="Tahoma"/>
                <w:b/>
              </w:rPr>
              <w:t>Lisa Richardson</w:t>
            </w:r>
          </w:p>
        </w:tc>
      </w:tr>
      <w:tr w:rsidR="00272683" w:rsidRPr="00272683" w14:paraId="41601BCB" w14:textId="77777777" w:rsidTr="00841364">
        <w:tc>
          <w:tcPr>
            <w:tcW w:w="3534" w:type="dxa"/>
          </w:tcPr>
          <w:p w14:paraId="33A36DC4" w14:textId="77777777" w:rsidR="00272683" w:rsidRPr="00272683" w:rsidRDefault="00272683" w:rsidP="00272683">
            <w:pPr>
              <w:rPr>
                <w:rFonts w:ascii="Tahoma" w:hAnsi="Tahoma" w:cs="Tahoma"/>
                <w:sz w:val="20"/>
                <w:szCs w:val="20"/>
              </w:rPr>
            </w:pPr>
            <w:r w:rsidRPr="00272683">
              <w:rPr>
                <w:rFonts w:ascii="Tahoma" w:hAnsi="Tahoma" w:cs="Tahoma"/>
                <w:sz w:val="20"/>
                <w:szCs w:val="20"/>
              </w:rPr>
              <w:t>Assessor(s)</w:t>
            </w:r>
          </w:p>
        </w:tc>
        <w:tc>
          <w:tcPr>
            <w:tcW w:w="6498" w:type="dxa"/>
          </w:tcPr>
          <w:p w14:paraId="1FB6C2E9" w14:textId="076C6FC7" w:rsidR="00272683" w:rsidRPr="00272683" w:rsidRDefault="002202FC" w:rsidP="00272683">
            <w:pPr>
              <w:jc w:val="both"/>
              <w:rPr>
                <w:rFonts w:ascii="Tahoma" w:hAnsi="Tahoma" w:cs="Tahoma"/>
                <w:b/>
              </w:rPr>
            </w:pPr>
            <w:r>
              <w:rPr>
                <w:rFonts w:ascii="Tahoma" w:hAnsi="Tahoma" w:cs="Tahoma"/>
                <w:b/>
              </w:rPr>
              <w:t>Elizabeth Cox</w:t>
            </w:r>
          </w:p>
        </w:tc>
      </w:tr>
      <w:tr w:rsidR="00272683" w:rsidRPr="00272683" w14:paraId="270E4625" w14:textId="77777777" w:rsidTr="00841364">
        <w:tc>
          <w:tcPr>
            <w:tcW w:w="3534" w:type="dxa"/>
          </w:tcPr>
          <w:p w14:paraId="1F170899" w14:textId="77777777" w:rsidR="00272683" w:rsidRPr="00272683" w:rsidRDefault="00272683" w:rsidP="00272683">
            <w:pPr>
              <w:rPr>
                <w:rFonts w:ascii="Tahoma" w:hAnsi="Tahoma" w:cs="Tahoma"/>
                <w:sz w:val="20"/>
                <w:szCs w:val="20"/>
              </w:rPr>
            </w:pPr>
            <w:r w:rsidRPr="00272683">
              <w:rPr>
                <w:rFonts w:ascii="Tahoma" w:hAnsi="Tahoma" w:cs="Tahoma"/>
                <w:sz w:val="20"/>
                <w:szCs w:val="20"/>
              </w:rPr>
              <w:t xml:space="preserve">Access arrangement facilitator(s) </w:t>
            </w:r>
          </w:p>
        </w:tc>
        <w:tc>
          <w:tcPr>
            <w:tcW w:w="6498" w:type="dxa"/>
          </w:tcPr>
          <w:p w14:paraId="51B1A4DB" w14:textId="3242500F" w:rsidR="00272683" w:rsidRPr="00272683" w:rsidRDefault="002202FC" w:rsidP="00272683">
            <w:pPr>
              <w:jc w:val="both"/>
              <w:rPr>
                <w:rFonts w:ascii="Tahoma" w:hAnsi="Tahoma" w:cs="Tahoma"/>
                <w:b/>
              </w:rPr>
            </w:pPr>
            <w:r>
              <w:rPr>
                <w:rFonts w:ascii="Tahoma" w:hAnsi="Tahoma" w:cs="Tahoma"/>
                <w:b/>
              </w:rPr>
              <w:t>Elizabeth Cox</w:t>
            </w:r>
          </w:p>
        </w:tc>
      </w:tr>
      <w:bookmarkEnd w:id="1"/>
    </w:tbl>
    <w:p w14:paraId="2B578A7F" w14:textId="5868E3FB" w:rsidR="002B43AE" w:rsidRDefault="002B43AE" w:rsidP="00134173">
      <w:pPr>
        <w:rPr>
          <w:color w:val="003399"/>
          <w:szCs w:val="24"/>
        </w:rPr>
      </w:pPr>
    </w:p>
    <w:p w14:paraId="18C23DE3" w14:textId="77777777" w:rsidR="00272683" w:rsidRDefault="00272683" w:rsidP="00134173">
      <w:pPr>
        <w:rPr>
          <w:color w:val="003399"/>
          <w:szCs w:val="24"/>
        </w:rPr>
      </w:pPr>
    </w:p>
    <w:p w14:paraId="5BB46AEF" w14:textId="77777777" w:rsidR="00272683" w:rsidRDefault="00272683" w:rsidP="00134173">
      <w:pPr>
        <w:rPr>
          <w:color w:val="003399"/>
          <w:szCs w:val="24"/>
        </w:rPr>
      </w:pPr>
    </w:p>
    <w:p w14:paraId="1AE3820B" w14:textId="77777777" w:rsidR="00272683" w:rsidRDefault="00272683" w:rsidP="00134173">
      <w:pPr>
        <w:rPr>
          <w:color w:val="003399"/>
          <w:szCs w:val="24"/>
        </w:rPr>
      </w:pPr>
    </w:p>
    <w:p w14:paraId="77844719" w14:textId="77777777" w:rsidR="00272683" w:rsidRDefault="00272683" w:rsidP="00134173">
      <w:pPr>
        <w:rPr>
          <w:color w:val="003399"/>
          <w:szCs w:val="24"/>
        </w:rPr>
      </w:pPr>
    </w:p>
    <w:p w14:paraId="6F450A53" w14:textId="77777777" w:rsidR="00272683" w:rsidRDefault="00272683" w:rsidP="00134173">
      <w:pPr>
        <w:rPr>
          <w:color w:val="003399"/>
          <w:szCs w:val="24"/>
        </w:rPr>
      </w:pPr>
    </w:p>
    <w:p w14:paraId="65B76466" w14:textId="77777777" w:rsidR="00272683" w:rsidRDefault="00272683" w:rsidP="00134173">
      <w:pPr>
        <w:rPr>
          <w:color w:val="003399"/>
          <w:szCs w:val="24"/>
        </w:rPr>
      </w:pPr>
    </w:p>
    <w:p w14:paraId="576D6A19" w14:textId="77777777" w:rsidR="00272683" w:rsidRDefault="00272683" w:rsidP="00134173">
      <w:pPr>
        <w:rPr>
          <w:color w:val="003399"/>
          <w:szCs w:val="24"/>
        </w:rPr>
      </w:pPr>
    </w:p>
    <w:p w14:paraId="1212246E" w14:textId="77777777" w:rsidR="00272683" w:rsidRDefault="00272683" w:rsidP="00134173">
      <w:pPr>
        <w:rPr>
          <w:color w:val="003399"/>
          <w:szCs w:val="24"/>
        </w:rPr>
      </w:pPr>
    </w:p>
    <w:p w14:paraId="69FB1125" w14:textId="77777777" w:rsidR="00272683" w:rsidRDefault="00272683" w:rsidP="00134173">
      <w:pPr>
        <w:rPr>
          <w:color w:val="003399"/>
          <w:szCs w:val="24"/>
        </w:rPr>
      </w:pPr>
    </w:p>
    <w:p w14:paraId="066B7812" w14:textId="77777777" w:rsidR="00272683" w:rsidRDefault="00272683" w:rsidP="00134173">
      <w:pPr>
        <w:rPr>
          <w:color w:val="003399"/>
          <w:szCs w:val="24"/>
        </w:rPr>
      </w:pPr>
    </w:p>
    <w:p w14:paraId="22DA575C" w14:textId="77777777" w:rsidR="00272683" w:rsidRDefault="00272683" w:rsidP="00134173">
      <w:pPr>
        <w:rPr>
          <w:color w:val="003399"/>
          <w:szCs w:val="24"/>
        </w:rPr>
      </w:pPr>
    </w:p>
    <w:p w14:paraId="0D8A68AF" w14:textId="77777777" w:rsidR="00272683" w:rsidRDefault="00272683" w:rsidP="00134173">
      <w:pPr>
        <w:rPr>
          <w:color w:val="003399"/>
          <w:szCs w:val="24"/>
        </w:rPr>
      </w:pPr>
    </w:p>
    <w:p w14:paraId="0DF40135" w14:textId="77777777" w:rsidR="00272683" w:rsidRDefault="00272683" w:rsidP="00134173">
      <w:pPr>
        <w:rPr>
          <w:color w:val="003399"/>
          <w:szCs w:val="24"/>
        </w:rPr>
      </w:pPr>
    </w:p>
    <w:p w14:paraId="23E5AD7A" w14:textId="77777777" w:rsidR="00272683" w:rsidRDefault="00272683" w:rsidP="00134173">
      <w:pPr>
        <w:rPr>
          <w:color w:val="003399"/>
          <w:szCs w:val="24"/>
        </w:rPr>
      </w:pPr>
    </w:p>
    <w:p w14:paraId="00C8FD17" w14:textId="77777777" w:rsidR="00272683" w:rsidRDefault="00272683" w:rsidP="00134173">
      <w:pPr>
        <w:rPr>
          <w:color w:val="003399"/>
          <w:szCs w:val="24"/>
        </w:rPr>
      </w:pPr>
    </w:p>
    <w:p w14:paraId="149D90FB" w14:textId="77777777" w:rsidR="00272683" w:rsidRDefault="00272683" w:rsidP="00134173">
      <w:pPr>
        <w:rPr>
          <w:color w:val="003399"/>
          <w:szCs w:val="24"/>
        </w:rPr>
      </w:pPr>
    </w:p>
    <w:p w14:paraId="2966112A" w14:textId="77777777" w:rsidR="00272683" w:rsidRDefault="00272683" w:rsidP="00134173">
      <w:pPr>
        <w:rPr>
          <w:color w:val="003399"/>
          <w:szCs w:val="24"/>
        </w:rPr>
      </w:pPr>
    </w:p>
    <w:p w14:paraId="50CFA193" w14:textId="77777777" w:rsidR="00272683" w:rsidRDefault="00272683" w:rsidP="00134173">
      <w:pPr>
        <w:rPr>
          <w:color w:val="003399"/>
          <w:szCs w:val="24"/>
        </w:rPr>
      </w:pPr>
    </w:p>
    <w:p w14:paraId="1C731922" w14:textId="77777777" w:rsidR="00272683" w:rsidRDefault="00272683" w:rsidP="00134173">
      <w:pPr>
        <w:rPr>
          <w:color w:val="003399"/>
          <w:szCs w:val="24"/>
        </w:rPr>
      </w:pPr>
    </w:p>
    <w:p w14:paraId="2F5C0FD5" w14:textId="77777777" w:rsidR="00272683" w:rsidRDefault="00272683" w:rsidP="00134173">
      <w:pPr>
        <w:rPr>
          <w:color w:val="003399"/>
          <w:szCs w:val="24"/>
        </w:rPr>
      </w:pPr>
    </w:p>
    <w:p w14:paraId="73E7950E" w14:textId="77777777" w:rsidR="00272683" w:rsidRDefault="00272683" w:rsidP="00134173">
      <w:pPr>
        <w:rPr>
          <w:color w:val="003399"/>
          <w:szCs w:val="24"/>
        </w:rPr>
      </w:pPr>
    </w:p>
    <w:p w14:paraId="39AE4C6C" w14:textId="77777777" w:rsidR="00272683" w:rsidRDefault="00272683" w:rsidP="00134173">
      <w:pPr>
        <w:rPr>
          <w:color w:val="003399"/>
          <w:szCs w:val="24"/>
        </w:rPr>
      </w:pPr>
    </w:p>
    <w:p w14:paraId="32EAD5C9" w14:textId="77777777" w:rsidR="00272683" w:rsidRDefault="00272683" w:rsidP="00134173">
      <w:pPr>
        <w:rPr>
          <w:color w:val="003399"/>
          <w:szCs w:val="24"/>
        </w:rPr>
      </w:pPr>
    </w:p>
    <w:p w14:paraId="4B6EB8CA" w14:textId="77777777" w:rsidR="00272683" w:rsidRDefault="00272683" w:rsidP="00134173">
      <w:pPr>
        <w:rPr>
          <w:color w:val="003399"/>
          <w:szCs w:val="24"/>
        </w:rPr>
      </w:pPr>
    </w:p>
    <w:p w14:paraId="36604659" w14:textId="77777777" w:rsidR="00272683" w:rsidRDefault="00272683" w:rsidP="00134173">
      <w:pPr>
        <w:rPr>
          <w:color w:val="003399"/>
          <w:szCs w:val="24"/>
        </w:rPr>
      </w:pPr>
    </w:p>
    <w:p w14:paraId="71C2B546" w14:textId="77777777" w:rsidR="00272683" w:rsidRDefault="00272683" w:rsidP="00134173">
      <w:pPr>
        <w:rPr>
          <w:color w:val="003399"/>
          <w:szCs w:val="24"/>
        </w:rPr>
      </w:pPr>
    </w:p>
    <w:p w14:paraId="1C33705D" w14:textId="77777777" w:rsidR="00272683" w:rsidRDefault="00272683" w:rsidP="00134173">
      <w:pPr>
        <w:rPr>
          <w:color w:val="003399"/>
          <w:szCs w:val="24"/>
        </w:rPr>
      </w:pPr>
    </w:p>
    <w:bookmarkStart w:id="2" w:name="_Toc22304694" w:displacedByCustomXml="next"/>
    <w:bookmarkStart w:id="3" w:name="_Toc22487023" w:displacedByCustomXml="next"/>
    <w:bookmarkStart w:id="4" w:name="_Toc22487142" w:displacedByCustomXml="next"/>
    <w:bookmarkStart w:id="5" w:name="_Toc490256598" w:displacedByCustomXml="next"/>
    <w:sdt>
      <w:sdtPr>
        <w:rPr>
          <w:rFonts w:ascii="Century Gothic" w:eastAsiaTheme="minorEastAsia" w:hAnsi="Century Gothic" w:cstheme="minorBidi"/>
          <w:b w:val="0"/>
          <w:bCs w:val="0"/>
          <w:color w:val="auto"/>
          <w:sz w:val="24"/>
          <w:szCs w:val="24"/>
          <w:lang w:val="en-GB" w:eastAsia="en-GB"/>
        </w:rPr>
        <w:id w:val="-1093779735"/>
        <w:docPartObj>
          <w:docPartGallery w:val="Table of Contents"/>
          <w:docPartUnique/>
        </w:docPartObj>
      </w:sdtPr>
      <w:sdtEndPr>
        <w:rPr>
          <w:noProof/>
        </w:rPr>
      </w:sdtEndPr>
      <w:sdtContent>
        <w:p w14:paraId="0E3C32F8" w14:textId="52569A3A" w:rsidR="006819FD" w:rsidRPr="00C6289E" w:rsidRDefault="006819FD">
          <w:pPr>
            <w:pStyle w:val="TOCHeading"/>
            <w:rPr>
              <w:rFonts w:ascii="Century Gothic" w:hAnsi="Century Gothic"/>
              <w:color w:val="000000" w:themeColor="text1"/>
              <w:sz w:val="24"/>
              <w:szCs w:val="24"/>
            </w:rPr>
          </w:pPr>
          <w:r w:rsidRPr="00C6289E">
            <w:rPr>
              <w:rFonts w:ascii="Century Gothic" w:hAnsi="Century Gothic"/>
              <w:color w:val="000000" w:themeColor="text1"/>
              <w:sz w:val="24"/>
              <w:szCs w:val="24"/>
            </w:rPr>
            <w:t>Contents</w:t>
          </w:r>
        </w:p>
        <w:p w14:paraId="5F906E92" w14:textId="213FB56D" w:rsidR="00BD76D4" w:rsidRPr="001F086A" w:rsidRDefault="006819FD">
          <w:pPr>
            <w:pStyle w:val="TOC1"/>
            <w:tabs>
              <w:tab w:val="right" w:leader="dot" w:pos="10042"/>
            </w:tabs>
            <w:rPr>
              <w:rFonts w:ascii="Century Gothic" w:hAnsi="Century Gothic"/>
              <w:noProof/>
              <w:sz w:val="24"/>
              <w:szCs w:val="24"/>
            </w:rPr>
          </w:pPr>
          <w:r w:rsidRPr="001F086A">
            <w:rPr>
              <w:rFonts w:ascii="Century Gothic" w:hAnsi="Century Gothic"/>
              <w:sz w:val="24"/>
              <w:szCs w:val="24"/>
            </w:rPr>
            <w:fldChar w:fldCharType="begin"/>
          </w:r>
          <w:r w:rsidRPr="001F086A">
            <w:rPr>
              <w:rFonts w:ascii="Century Gothic" w:hAnsi="Century Gothic"/>
              <w:sz w:val="24"/>
              <w:szCs w:val="24"/>
            </w:rPr>
            <w:instrText xml:space="preserve"> TOC \o "1-3" \h \z \u </w:instrText>
          </w:r>
          <w:r w:rsidRPr="001F086A">
            <w:rPr>
              <w:rFonts w:ascii="Century Gothic" w:hAnsi="Century Gothic"/>
              <w:sz w:val="24"/>
              <w:szCs w:val="24"/>
            </w:rPr>
            <w:fldChar w:fldCharType="separate"/>
          </w:r>
        </w:p>
        <w:p w14:paraId="42EEB047" w14:textId="15DD93DE" w:rsidR="00BD76D4" w:rsidRPr="001F086A" w:rsidRDefault="00BD76D4">
          <w:pPr>
            <w:pStyle w:val="TOC1"/>
            <w:tabs>
              <w:tab w:val="right" w:leader="dot" w:pos="10042"/>
            </w:tabs>
            <w:rPr>
              <w:rFonts w:ascii="Century Gothic" w:hAnsi="Century Gothic"/>
              <w:noProof/>
              <w:sz w:val="24"/>
              <w:szCs w:val="24"/>
            </w:rPr>
          </w:pPr>
          <w:hyperlink w:anchor="_Toc51674454" w:history="1">
            <w:r w:rsidRPr="001F086A">
              <w:rPr>
                <w:rStyle w:val="Hyperlink"/>
                <w:rFonts w:ascii="Century Gothic" w:hAnsi="Century Gothic"/>
                <w:noProof/>
                <w:sz w:val="24"/>
                <w:szCs w:val="24"/>
              </w:rPr>
              <w:t>What are access arrangements and reasonable adjustments?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_Toc51674454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4</w:t>
            </w:r>
            <w:r w:rsidRPr="001F086A">
              <w:rPr>
                <w:rFonts w:ascii="Century Gothic" w:hAnsi="Century Gothic"/>
                <w:noProof/>
                <w:webHidden/>
                <w:sz w:val="24"/>
                <w:szCs w:val="24"/>
              </w:rPr>
              <w:fldChar w:fldCharType="end"/>
            </w:r>
          </w:hyperlink>
        </w:p>
        <w:p w14:paraId="59ED7A72" w14:textId="2C6D44B6" w:rsidR="00BD76D4" w:rsidRPr="001F086A" w:rsidRDefault="00BD76D4">
          <w:pPr>
            <w:pStyle w:val="TOC2"/>
            <w:tabs>
              <w:tab w:val="right" w:leader="dot" w:pos="10042"/>
            </w:tabs>
            <w:rPr>
              <w:rFonts w:ascii="Century Gothic" w:hAnsi="Century Gothic"/>
              <w:noProof/>
              <w:sz w:val="24"/>
              <w:szCs w:val="24"/>
            </w:rPr>
          </w:pPr>
          <w:hyperlink w:anchor="_Toc51674455" w:history="1">
            <w:r w:rsidRPr="001F086A">
              <w:rPr>
                <w:rStyle w:val="Hyperlink"/>
                <w:rFonts w:ascii="Century Gothic" w:hAnsi="Century Gothic"/>
                <w:noProof/>
                <w:sz w:val="24"/>
                <w:szCs w:val="24"/>
              </w:rPr>
              <w:t>Access arrangements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_Toc51674455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4</w:t>
            </w:r>
            <w:r w:rsidRPr="001F086A">
              <w:rPr>
                <w:rFonts w:ascii="Century Gothic" w:hAnsi="Century Gothic"/>
                <w:noProof/>
                <w:webHidden/>
                <w:sz w:val="24"/>
                <w:szCs w:val="24"/>
              </w:rPr>
              <w:fldChar w:fldCharType="end"/>
            </w:r>
          </w:hyperlink>
        </w:p>
        <w:p w14:paraId="067F3B6A" w14:textId="31F6625F" w:rsidR="00BD76D4" w:rsidRPr="001F086A" w:rsidRDefault="00BD76D4">
          <w:pPr>
            <w:pStyle w:val="TOC2"/>
            <w:tabs>
              <w:tab w:val="right" w:leader="dot" w:pos="10042"/>
            </w:tabs>
            <w:rPr>
              <w:rFonts w:ascii="Century Gothic" w:hAnsi="Century Gothic"/>
              <w:noProof/>
              <w:sz w:val="24"/>
              <w:szCs w:val="24"/>
            </w:rPr>
          </w:pPr>
          <w:hyperlink w:anchor="_Toc51674456" w:history="1">
            <w:r w:rsidRPr="001F086A">
              <w:rPr>
                <w:rStyle w:val="Hyperlink"/>
                <w:rFonts w:ascii="Century Gothic" w:hAnsi="Century Gothic"/>
                <w:noProof/>
                <w:sz w:val="24"/>
                <w:szCs w:val="24"/>
              </w:rPr>
              <w:t>Reasonable adjustments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_Toc51674456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4</w:t>
            </w:r>
            <w:r w:rsidRPr="001F086A">
              <w:rPr>
                <w:rFonts w:ascii="Century Gothic" w:hAnsi="Century Gothic"/>
                <w:noProof/>
                <w:webHidden/>
                <w:sz w:val="24"/>
                <w:szCs w:val="24"/>
              </w:rPr>
              <w:fldChar w:fldCharType="end"/>
            </w:r>
          </w:hyperlink>
        </w:p>
        <w:p w14:paraId="5A16F65F" w14:textId="3897B7A5" w:rsidR="00BD76D4" w:rsidRPr="001F086A" w:rsidRDefault="00BD76D4">
          <w:pPr>
            <w:pStyle w:val="TOC1"/>
            <w:tabs>
              <w:tab w:val="right" w:leader="dot" w:pos="10042"/>
            </w:tabs>
            <w:rPr>
              <w:rFonts w:ascii="Century Gothic" w:hAnsi="Century Gothic"/>
              <w:noProof/>
              <w:sz w:val="24"/>
              <w:szCs w:val="24"/>
            </w:rPr>
          </w:pPr>
          <w:hyperlink w:anchor="_Toc51674457" w:history="1">
            <w:r w:rsidRPr="001F086A">
              <w:rPr>
                <w:rStyle w:val="Hyperlink"/>
                <w:rFonts w:ascii="Century Gothic" w:hAnsi="Century Gothic"/>
                <w:noProof/>
                <w:sz w:val="24"/>
                <w:szCs w:val="24"/>
              </w:rPr>
              <w:t>Purpose of the policy</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_Toc51674457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4</w:t>
            </w:r>
            <w:r w:rsidRPr="001F086A">
              <w:rPr>
                <w:rFonts w:ascii="Century Gothic" w:hAnsi="Century Gothic"/>
                <w:noProof/>
                <w:webHidden/>
                <w:sz w:val="24"/>
                <w:szCs w:val="24"/>
              </w:rPr>
              <w:fldChar w:fldCharType="end"/>
            </w:r>
          </w:hyperlink>
        </w:p>
        <w:p w14:paraId="3DF68270" w14:textId="026D47E8" w:rsidR="00BD76D4" w:rsidRPr="001F086A" w:rsidRDefault="00BD76D4">
          <w:pPr>
            <w:pStyle w:val="TOC1"/>
            <w:tabs>
              <w:tab w:val="right" w:leader="dot" w:pos="10042"/>
            </w:tabs>
            <w:rPr>
              <w:rFonts w:ascii="Century Gothic" w:hAnsi="Century Gothic"/>
              <w:noProof/>
              <w:sz w:val="24"/>
              <w:szCs w:val="24"/>
            </w:rPr>
          </w:pPr>
          <w:hyperlink w:anchor="_Toc51674458" w:history="1">
            <w:r w:rsidRPr="001F086A">
              <w:rPr>
                <w:rStyle w:val="Hyperlink"/>
                <w:rFonts w:ascii="Century Gothic" w:hAnsi="Century Gothic"/>
                <w:noProof/>
                <w:sz w:val="24"/>
                <w:szCs w:val="24"/>
              </w:rPr>
              <w:t>General principles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_Toc51674458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5</w:t>
            </w:r>
            <w:r w:rsidRPr="001F086A">
              <w:rPr>
                <w:rFonts w:ascii="Century Gothic" w:hAnsi="Century Gothic"/>
                <w:noProof/>
                <w:webHidden/>
                <w:sz w:val="24"/>
                <w:szCs w:val="24"/>
              </w:rPr>
              <w:fldChar w:fldCharType="end"/>
            </w:r>
          </w:hyperlink>
        </w:p>
        <w:p w14:paraId="34F6DA0E" w14:textId="147AE777" w:rsidR="00BD76D4" w:rsidRPr="001F086A" w:rsidRDefault="00BD76D4">
          <w:pPr>
            <w:pStyle w:val="TOC1"/>
            <w:tabs>
              <w:tab w:val="right" w:leader="dot" w:pos="10042"/>
            </w:tabs>
            <w:rPr>
              <w:rFonts w:ascii="Century Gothic" w:hAnsi="Century Gothic"/>
              <w:noProof/>
              <w:sz w:val="24"/>
              <w:szCs w:val="24"/>
            </w:rPr>
          </w:pPr>
          <w:hyperlink w:anchor="_Toc51674459" w:history="1">
            <w:r w:rsidRPr="001F086A">
              <w:rPr>
                <w:rStyle w:val="Hyperlink"/>
                <w:rFonts w:ascii="Century Gothic" w:hAnsi="Century Gothic"/>
                <w:noProof/>
                <w:sz w:val="24"/>
                <w:szCs w:val="24"/>
              </w:rPr>
              <w:t>Equalities Policy (Exams)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_Toc51674459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6</w:t>
            </w:r>
            <w:r w:rsidRPr="001F086A">
              <w:rPr>
                <w:rFonts w:ascii="Century Gothic" w:hAnsi="Century Gothic"/>
                <w:noProof/>
                <w:webHidden/>
                <w:sz w:val="24"/>
                <w:szCs w:val="24"/>
              </w:rPr>
              <w:fldChar w:fldCharType="end"/>
            </w:r>
          </w:hyperlink>
        </w:p>
        <w:p w14:paraId="7D181CFB" w14:textId="29540317" w:rsidR="00BD76D4" w:rsidRPr="001F086A" w:rsidRDefault="00BD76D4">
          <w:pPr>
            <w:pStyle w:val="TOC1"/>
            <w:tabs>
              <w:tab w:val="right" w:leader="dot" w:pos="10042"/>
            </w:tabs>
            <w:rPr>
              <w:rFonts w:ascii="Century Gothic" w:hAnsi="Century Gothic"/>
              <w:noProof/>
              <w:sz w:val="24"/>
              <w:szCs w:val="24"/>
            </w:rPr>
          </w:pPr>
          <w:hyperlink w:anchor="_Toc51674460" w:history="1">
            <w:r w:rsidRPr="001F086A">
              <w:rPr>
                <w:rStyle w:val="Hyperlink"/>
                <w:rFonts w:ascii="Century Gothic" w:hAnsi="Century Gothic"/>
                <w:noProof/>
                <w:sz w:val="24"/>
                <w:szCs w:val="24"/>
              </w:rPr>
              <w:t>The assessment process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_Toc51674460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6</w:t>
            </w:r>
            <w:r w:rsidRPr="001F086A">
              <w:rPr>
                <w:rFonts w:ascii="Century Gothic" w:hAnsi="Century Gothic"/>
                <w:noProof/>
                <w:webHidden/>
                <w:sz w:val="24"/>
                <w:szCs w:val="24"/>
              </w:rPr>
              <w:fldChar w:fldCharType="end"/>
            </w:r>
          </w:hyperlink>
        </w:p>
        <w:p w14:paraId="211CB77B" w14:textId="394460D7" w:rsidR="00BD76D4" w:rsidRPr="001F086A" w:rsidRDefault="00BD76D4">
          <w:pPr>
            <w:pStyle w:val="TOC2"/>
            <w:tabs>
              <w:tab w:val="right" w:leader="dot" w:pos="10042"/>
            </w:tabs>
            <w:rPr>
              <w:rFonts w:ascii="Century Gothic" w:hAnsi="Century Gothic"/>
              <w:noProof/>
              <w:sz w:val="24"/>
              <w:szCs w:val="24"/>
            </w:rPr>
          </w:pPr>
          <w:hyperlink w:anchor="_Toc51674461" w:history="1">
            <w:r w:rsidRPr="001F086A">
              <w:rPr>
                <w:rStyle w:val="Hyperlink"/>
                <w:rFonts w:ascii="Century Gothic" w:hAnsi="Century Gothic"/>
                <w:noProof/>
                <w:sz w:val="24"/>
                <w:szCs w:val="24"/>
              </w:rPr>
              <w:t>The qualification(s) of the current assessor(s)</w:t>
            </w:r>
            <w:r w:rsidRPr="001F086A">
              <w:rPr>
                <w:rFonts w:ascii="Century Gothic" w:hAnsi="Century Gothic"/>
                <w:noProof/>
                <w:webHidden/>
                <w:sz w:val="24"/>
                <w:szCs w:val="24"/>
              </w:rPr>
              <w:tab/>
            </w:r>
          </w:hyperlink>
          <w:r w:rsidR="00673FC9">
            <w:t>6</w:t>
          </w:r>
        </w:p>
        <w:p w14:paraId="65B7AB8B" w14:textId="52A83E7B" w:rsidR="00BD76D4" w:rsidRPr="001F086A" w:rsidRDefault="00BD76D4">
          <w:pPr>
            <w:pStyle w:val="TOC2"/>
            <w:tabs>
              <w:tab w:val="right" w:leader="dot" w:pos="10042"/>
            </w:tabs>
            <w:rPr>
              <w:rFonts w:ascii="Century Gothic" w:hAnsi="Century Gothic"/>
              <w:noProof/>
              <w:sz w:val="24"/>
              <w:szCs w:val="24"/>
            </w:rPr>
          </w:pPr>
          <w:hyperlink w:anchor="_Toc51674462" w:history="1">
            <w:r w:rsidRPr="001F086A">
              <w:rPr>
                <w:rStyle w:val="Hyperlink"/>
                <w:rFonts w:ascii="Century Gothic" w:hAnsi="Century Gothic"/>
                <w:noProof/>
                <w:sz w:val="24"/>
                <w:szCs w:val="24"/>
              </w:rPr>
              <w:t>Appointment of assessors of candidates with learning difficulties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_Toc51674462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6</w:t>
            </w:r>
            <w:r w:rsidRPr="001F086A">
              <w:rPr>
                <w:rFonts w:ascii="Century Gothic" w:hAnsi="Century Gothic"/>
                <w:noProof/>
                <w:webHidden/>
                <w:sz w:val="24"/>
                <w:szCs w:val="24"/>
              </w:rPr>
              <w:fldChar w:fldCharType="end"/>
            </w:r>
          </w:hyperlink>
        </w:p>
        <w:p w14:paraId="523CE6BC" w14:textId="0F43D9D2" w:rsidR="00BD76D4" w:rsidRPr="001F086A" w:rsidRDefault="00BD76D4">
          <w:pPr>
            <w:pStyle w:val="TOC2"/>
            <w:tabs>
              <w:tab w:val="right" w:leader="dot" w:pos="10042"/>
            </w:tabs>
            <w:rPr>
              <w:rFonts w:ascii="Century Gothic" w:hAnsi="Century Gothic"/>
              <w:noProof/>
              <w:sz w:val="24"/>
              <w:szCs w:val="24"/>
            </w:rPr>
          </w:pPr>
          <w:hyperlink w:anchor="_Toc51674463" w:history="1">
            <w:r w:rsidRPr="001F086A">
              <w:rPr>
                <w:rStyle w:val="Hyperlink"/>
                <w:rFonts w:ascii="Century Gothic" w:hAnsi="Century Gothic"/>
                <w:noProof/>
                <w:sz w:val="24"/>
                <w:szCs w:val="24"/>
              </w:rPr>
              <w:t>Process for the assessment of a candidate’s learning difficulties by an assessor</w:t>
            </w:r>
            <w:r w:rsidRPr="001F086A">
              <w:rPr>
                <w:rFonts w:ascii="Century Gothic" w:hAnsi="Century Gothic"/>
                <w:noProof/>
                <w:webHidden/>
                <w:sz w:val="24"/>
                <w:szCs w:val="24"/>
              </w:rPr>
              <w:tab/>
            </w:r>
          </w:hyperlink>
          <w:r w:rsidR="00673FC9">
            <w:t>7</w:t>
          </w:r>
        </w:p>
        <w:p w14:paraId="056CA214" w14:textId="13FB97C5" w:rsidR="00BD76D4" w:rsidRPr="001F086A" w:rsidRDefault="00BD76D4">
          <w:pPr>
            <w:pStyle w:val="TOC2"/>
            <w:tabs>
              <w:tab w:val="right" w:leader="dot" w:pos="10042"/>
            </w:tabs>
            <w:rPr>
              <w:rFonts w:ascii="Century Gothic" w:hAnsi="Century Gothic"/>
              <w:noProof/>
              <w:sz w:val="24"/>
              <w:szCs w:val="24"/>
            </w:rPr>
          </w:pPr>
          <w:hyperlink w:anchor="_Toc51674464" w:history="1">
            <w:r w:rsidRPr="001F086A">
              <w:rPr>
                <w:rStyle w:val="Hyperlink"/>
                <w:rFonts w:ascii="Century Gothic" w:hAnsi="Century Gothic"/>
                <w:noProof/>
                <w:sz w:val="24"/>
                <w:szCs w:val="24"/>
              </w:rPr>
              <w:t>Painting a ‘holistic picture of need’, confirming normal way of working</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_Toc51674464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7</w:t>
            </w:r>
            <w:r w:rsidRPr="001F086A">
              <w:rPr>
                <w:rFonts w:ascii="Century Gothic" w:hAnsi="Century Gothic"/>
                <w:noProof/>
                <w:webHidden/>
                <w:sz w:val="24"/>
                <w:szCs w:val="24"/>
              </w:rPr>
              <w:fldChar w:fldCharType="end"/>
            </w:r>
          </w:hyperlink>
        </w:p>
        <w:p w14:paraId="33927C55" w14:textId="573E6BE4" w:rsidR="00BD76D4" w:rsidRPr="001F086A" w:rsidRDefault="00BD76D4">
          <w:pPr>
            <w:pStyle w:val="TOC1"/>
            <w:tabs>
              <w:tab w:val="right" w:leader="dot" w:pos="10042"/>
            </w:tabs>
            <w:rPr>
              <w:rFonts w:ascii="Century Gothic" w:hAnsi="Century Gothic"/>
              <w:noProof/>
              <w:sz w:val="24"/>
              <w:szCs w:val="24"/>
            </w:rPr>
          </w:pPr>
          <w:hyperlink w:anchor="_Toc51674465" w:history="1">
            <w:r w:rsidRPr="001F086A">
              <w:rPr>
                <w:rStyle w:val="Hyperlink"/>
                <w:rFonts w:ascii="Century Gothic" w:hAnsi="Century Gothic"/>
                <w:noProof/>
                <w:sz w:val="24"/>
                <w:szCs w:val="24"/>
              </w:rPr>
              <w:t>Processing access arrangements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_Toc51674465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9</w:t>
            </w:r>
            <w:r w:rsidRPr="001F086A">
              <w:rPr>
                <w:rFonts w:ascii="Century Gothic" w:hAnsi="Century Gothic"/>
                <w:noProof/>
                <w:webHidden/>
                <w:sz w:val="24"/>
                <w:szCs w:val="24"/>
              </w:rPr>
              <w:fldChar w:fldCharType="end"/>
            </w:r>
          </w:hyperlink>
        </w:p>
        <w:p w14:paraId="15B8A305" w14:textId="5F27708D" w:rsidR="00BD76D4" w:rsidRPr="001F086A" w:rsidRDefault="00BD76D4">
          <w:pPr>
            <w:pStyle w:val="TOC2"/>
            <w:tabs>
              <w:tab w:val="right" w:leader="dot" w:pos="10042"/>
            </w:tabs>
            <w:rPr>
              <w:rFonts w:ascii="Century Gothic" w:hAnsi="Century Gothic"/>
              <w:noProof/>
              <w:sz w:val="24"/>
              <w:szCs w:val="24"/>
            </w:rPr>
          </w:pPr>
          <w:hyperlink w:anchor="_Toc51674466" w:history="1">
            <w:r w:rsidRPr="001F086A">
              <w:rPr>
                <w:rStyle w:val="Hyperlink"/>
                <w:rFonts w:ascii="Century Gothic" w:hAnsi="Century Gothic"/>
                <w:noProof/>
                <w:sz w:val="24"/>
                <w:szCs w:val="24"/>
              </w:rPr>
              <w:t>Arrangements requiring awarding body approval</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_Toc51674466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9</w:t>
            </w:r>
            <w:r w:rsidRPr="001F086A">
              <w:rPr>
                <w:rFonts w:ascii="Century Gothic" w:hAnsi="Century Gothic"/>
                <w:noProof/>
                <w:webHidden/>
                <w:sz w:val="24"/>
                <w:szCs w:val="24"/>
              </w:rPr>
              <w:fldChar w:fldCharType="end"/>
            </w:r>
          </w:hyperlink>
        </w:p>
        <w:p w14:paraId="6752BDFF" w14:textId="67CE79C6" w:rsidR="00BD76D4" w:rsidRPr="001F086A" w:rsidRDefault="00BD76D4">
          <w:pPr>
            <w:pStyle w:val="TOC2"/>
            <w:tabs>
              <w:tab w:val="right" w:leader="dot" w:pos="10042"/>
            </w:tabs>
            <w:rPr>
              <w:rFonts w:ascii="Century Gothic" w:hAnsi="Century Gothic"/>
              <w:noProof/>
              <w:sz w:val="24"/>
              <w:szCs w:val="24"/>
            </w:rPr>
          </w:pPr>
          <w:hyperlink w:anchor="_Toc51674467" w:history="1">
            <w:r w:rsidRPr="001F086A">
              <w:rPr>
                <w:rStyle w:val="Hyperlink"/>
                <w:rFonts w:ascii="Century Gothic" w:hAnsi="Century Gothic"/>
                <w:noProof/>
                <w:sz w:val="24"/>
                <w:szCs w:val="24"/>
              </w:rPr>
              <w:t>Centre-delegated access arrangements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_Toc51674467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10</w:t>
            </w:r>
            <w:r w:rsidRPr="001F086A">
              <w:rPr>
                <w:rFonts w:ascii="Century Gothic" w:hAnsi="Century Gothic"/>
                <w:noProof/>
                <w:webHidden/>
                <w:sz w:val="24"/>
                <w:szCs w:val="24"/>
              </w:rPr>
              <w:fldChar w:fldCharType="end"/>
            </w:r>
          </w:hyperlink>
        </w:p>
        <w:p w14:paraId="6C4FCEE7" w14:textId="019B9FEE" w:rsidR="00BD76D4" w:rsidRPr="001F086A" w:rsidRDefault="00BD76D4">
          <w:pPr>
            <w:pStyle w:val="TOC1"/>
            <w:tabs>
              <w:tab w:val="right" w:leader="dot" w:pos="10042"/>
            </w:tabs>
            <w:rPr>
              <w:rFonts w:ascii="Century Gothic" w:hAnsi="Century Gothic"/>
              <w:noProof/>
              <w:sz w:val="24"/>
              <w:szCs w:val="24"/>
            </w:rPr>
          </w:pPr>
          <w:hyperlink w:anchor="_Toc51674468" w:history="1">
            <w:r w:rsidRPr="001F086A">
              <w:rPr>
                <w:rStyle w:val="Hyperlink"/>
                <w:rFonts w:ascii="Century Gothic" w:hAnsi="Century Gothic"/>
                <w:noProof/>
                <w:sz w:val="24"/>
                <w:szCs w:val="24"/>
              </w:rPr>
              <w:t>Centre-specific criteria for particular access arrangements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_Toc51674468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10</w:t>
            </w:r>
            <w:r w:rsidRPr="001F086A">
              <w:rPr>
                <w:rFonts w:ascii="Century Gothic" w:hAnsi="Century Gothic"/>
                <w:noProof/>
                <w:webHidden/>
                <w:sz w:val="24"/>
                <w:szCs w:val="24"/>
              </w:rPr>
              <w:fldChar w:fldCharType="end"/>
            </w:r>
          </w:hyperlink>
        </w:p>
        <w:p w14:paraId="4CC16A01" w14:textId="739ED7C9" w:rsidR="00BD76D4" w:rsidRPr="001F086A" w:rsidRDefault="00BD76D4">
          <w:pPr>
            <w:pStyle w:val="TOC2"/>
            <w:tabs>
              <w:tab w:val="right" w:leader="dot" w:pos="10042"/>
            </w:tabs>
            <w:rPr>
              <w:rFonts w:ascii="Century Gothic" w:hAnsi="Century Gothic"/>
              <w:noProof/>
              <w:sz w:val="24"/>
              <w:szCs w:val="24"/>
            </w:rPr>
          </w:pPr>
          <w:hyperlink w:anchor="_Toc51674469" w:history="1">
            <w:r w:rsidRPr="001F086A">
              <w:rPr>
                <w:rStyle w:val="Hyperlink"/>
                <w:rFonts w:ascii="Century Gothic" w:hAnsi="Century Gothic"/>
                <w:noProof/>
                <w:sz w:val="24"/>
                <w:szCs w:val="24"/>
              </w:rPr>
              <w:t>Word Processor Policy (Exams)</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_Toc51674469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10</w:t>
            </w:r>
            <w:r w:rsidRPr="001F086A">
              <w:rPr>
                <w:rFonts w:ascii="Century Gothic" w:hAnsi="Century Gothic"/>
                <w:noProof/>
                <w:webHidden/>
                <w:sz w:val="24"/>
                <w:szCs w:val="24"/>
              </w:rPr>
              <w:fldChar w:fldCharType="end"/>
            </w:r>
          </w:hyperlink>
        </w:p>
        <w:p w14:paraId="330C8C65" w14:textId="5669876A" w:rsidR="00BD76D4" w:rsidRPr="001F086A" w:rsidRDefault="00BD76D4">
          <w:pPr>
            <w:pStyle w:val="TOC2"/>
            <w:tabs>
              <w:tab w:val="right" w:leader="dot" w:pos="10042"/>
            </w:tabs>
            <w:rPr>
              <w:rFonts w:ascii="Century Gothic" w:hAnsi="Century Gothic"/>
              <w:noProof/>
              <w:sz w:val="24"/>
              <w:szCs w:val="24"/>
            </w:rPr>
          </w:pPr>
          <w:hyperlink w:anchor="_Toc51674470" w:history="1">
            <w:r w:rsidRPr="001F086A">
              <w:rPr>
                <w:rStyle w:val="Hyperlink"/>
                <w:rFonts w:ascii="Century Gothic" w:hAnsi="Century Gothic"/>
                <w:noProof/>
                <w:sz w:val="24"/>
                <w:szCs w:val="24"/>
              </w:rPr>
              <w:t>Separate Invigilation Policy</w:t>
            </w:r>
            <w:r w:rsidRPr="001F086A">
              <w:rPr>
                <w:rFonts w:ascii="Century Gothic" w:hAnsi="Century Gothic"/>
                <w:noProof/>
                <w:webHidden/>
                <w:sz w:val="24"/>
                <w:szCs w:val="24"/>
              </w:rPr>
              <w:tab/>
            </w:r>
            <w:r w:rsidRPr="001F086A">
              <w:rPr>
                <w:rFonts w:ascii="Century Gothic" w:hAnsi="Century Gothic"/>
                <w:noProof/>
                <w:webHidden/>
                <w:sz w:val="24"/>
                <w:szCs w:val="24"/>
              </w:rPr>
              <w:fldChar w:fldCharType="begin"/>
            </w:r>
            <w:r w:rsidRPr="001F086A">
              <w:rPr>
                <w:rFonts w:ascii="Century Gothic" w:hAnsi="Century Gothic"/>
                <w:noProof/>
                <w:webHidden/>
                <w:sz w:val="24"/>
                <w:szCs w:val="24"/>
              </w:rPr>
              <w:instrText xml:space="preserve"> PAGEREF _Toc51674470 \h </w:instrText>
            </w:r>
            <w:r w:rsidRPr="001F086A">
              <w:rPr>
                <w:rFonts w:ascii="Century Gothic" w:hAnsi="Century Gothic"/>
                <w:noProof/>
                <w:webHidden/>
                <w:sz w:val="24"/>
                <w:szCs w:val="24"/>
              </w:rPr>
            </w:r>
            <w:r w:rsidRPr="001F086A">
              <w:rPr>
                <w:rFonts w:ascii="Century Gothic" w:hAnsi="Century Gothic"/>
                <w:noProof/>
                <w:webHidden/>
                <w:sz w:val="24"/>
                <w:szCs w:val="24"/>
              </w:rPr>
              <w:fldChar w:fldCharType="separate"/>
            </w:r>
            <w:r w:rsidR="001E1340">
              <w:rPr>
                <w:rFonts w:ascii="Century Gothic" w:hAnsi="Century Gothic"/>
                <w:noProof/>
                <w:webHidden/>
                <w:sz w:val="24"/>
                <w:szCs w:val="24"/>
              </w:rPr>
              <w:t>10</w:t>
            </w:r>
            <w:r w:rsidRPr="001F086A">
              <w:rPr>
                <w:rFonts w:ascii="Century Gothic" w:hAnsi="Century Gothic"/>
                <w:noProof/>
                <w:webHidden/>
                <w:sz w:val="24"/>
                <w:szCs w:val="24"/>
              </w:rPr>
              <w:fldChar w:fldCharType="end"/>
            </w:r>
          </w:hyperlink>
        </w:p>
        <w:p w14:paraId="0372C4FA" w14:textId="740CF6EB" w:rsidR="00BD76D4" w:rsidRPr="001F086A" w:rsidRDefault="00BD76D4">
          <w:pPr>
            <w:pStyle w:val="TOC1"/>
            <w:tabs>
              <w:tab w:val="right" w:leader="dot" w:pos="10042"/>
            </w:tabs>
            <w:rPr>
              <w:rFonts w:ascii="Century Gothic" w:hAnsi="Century Gothic"/>
              <w:noProof/>
              <w:sz w:val="24"/>
              <w:szCs w:val="24"/>
            </w:rPr>
          </w:pPr>
        </w:p>
        <w:p w14:paraId="367C18CE" w14:textId="64FB6CD5" w:rsidR="006819FD" w:rsidRPr="001F086A" w:rsidRDefault="006819FD">
          <w:pPr>
            <w:rPr>
              <w:rFonts w:ascii="Century Gothic" w:hAnsi="Century Gothic"/>
              <w:sz w:val="24"/>
              <w:szCs w:val="24"/>
            </w:rPr>
          </w:pPr>
          <w:r w:rsidRPr="001F086A">
            <w:rPr>
              <w:rFonts w:ascii="Century Gothic" w:hAnsi="Century Gothic"/>
              <w:b/>
              <w:bCs/>
              <w:noProof/>
              <w:sz w:val="24"/>
              <w:szCs w:val="24"/>
            </w:rPr>
            <w:fldChar w:fldCharType="end"/>
          </w:r>
        </w:p>
      </w:sdtContent>
    </w:sdt>
    <w:p w14:paraId="456C8C05" w14:textId="1524258F" w:rsidR="006819FD" w:rsidRPr="001F086A" w:rsidRDefault="006819FD">
      <w:pPr>
        <w:spacing w:before="0" w:after="200" w:line="276" w:lineRule="auto"/>
        <w:rPr>
          <w:rFonts w:ascii="Century Gothic" w:hAnsi="Century Gothic"/>
          <w:sz w:val="24"/>
          <w:szCs w:val="24"/>
        </w:rPr>
      </w:pPr>
    </w:p>
    <w:p w14:paraId="4167C33C" w14:textId="77D125BE" w:rsidR="006819FD" w:rsidRPr="001F086A" w:rsidRDefault="006819FD">
      <w:pPr>
        <w:spacing w:before="0" w:after="200" w:line="276" w:lineRule="auto"/>
        <w:rPr>
          <w:rFonts w:ascii="Century Gothic" w:eastAsia="Times New Roman" w:hAnsi="Century Gothic" w:cs="Times New Roman"/>
          <w:b/>
          <w:color w:val="003399"/>
          <w:sz w:val="24"/>
          <w:szCs w:val="24"/>
        </w:rPr>
      </w:pPr>
      <w:r w:rsidRPr="001F086A">
        <w:rPr>
          <w:rFonts w:ascii="Century Gothic" w:hAnsi="Century Gothic"/>
          <w:sz w:val="24"/>
          <w:szCs w:val="24"/>
        </w:rPr>
        <w:br w:type="page"/>
      </w:r>
    </w:p>
    <w:p w14:paraId="1016E569" w14:textId="110D2020" w:rsidR="00844861" w:rsidRPr="001C1A46" w:rsidRDefault="00844861" w:rsidP="00844861">
      <w:pPr>
        <w:pStyle w:val="Headinglevel1"/>
        <w:spacing w:before="240" w:line="276" w:lineRule="auto"/>
        <w:rPr>
          <w:rFonts w:ascii="Century Gothic" w:hAnsi="Century Gothic"/>
          <w:color w:val="000000" w:themeColor="text1"/>
          <w:szCs w:val="24"/>
        </w:rPr>
      </w:pPr>
      <w:bookmarkStart w:id="6" w:name="_Toc523473880"/>
      <w:bookmarkStart w:id="7" w:name="_Toc22304696"/>
      <w:bookmarkStart w:id="8" w:name="_Toc22487024"/>
      <w:bookmarkStart w:id="9" w:name="_Toc22487143"/>
      <w:bookmarkStart w:id="10" w:name="_Toc51674454"/>
      <w:bookmarkEnd w:id="5"/>
      <w:bookmarkEnd w:id="4"/>
      <w:bookmarkEnd w:id="3"/>
      <w:bookmarkEnd w:id="2"/>
      <w:r w:rsidRPr="001C1A46">
        <w:rPr>
          <w:rFonts w:ascii="Century Gothic" w:hAnsi="Century Gothic"/>
          <w:color w:val="000000" w:themeColor="text1"/>
          <w:szCs w:val="24"/>
        </w:rPr>
        <w:lastRenderedPageBreak/>
        <w:t>What are access arrangements and reasonable adjustments?</w:t>
      </w:r>
      <w:bookmarkEnd w:id="6"/>
      <w:bookmarkEnd w:id="7"/>
      <w:bookmarkEnd w:id="8"/>
      <w:bookmarkEnd w:id="9"/>
      <w:bookmarkEnd w:id="10"/>
    </w:p>
    <w:p w14:paraId="4C09EAD1" w14:textId="6A997B48" w:rsidR="00C17E86" w:rsidRPr="001C1A46" w:rsidRDefault="00844861" w:rsidP="00C17E86">
      <w:pPr>
        <w:pStyle w:val="Headinglevel2"/>
        <w:spacing w:before="240" w:after="120"/>
        <w:rPr>
          <w:rFonts w:ascii="Century Gothic" w:hAnsi="Century Gothic"/>
          <w:color w:val="000000" w:themeColor="text1"/>
          <w:sz w:val="24"/>
        </w:rPr>
      </w:pPr>
      <w:bookmarkStart w:id="11" w:name="_Toc523473881"/>
      <w:bookmarkStart w:id="12" w:name="_Toc22304697"/>
      <w:bookmarkStart w:id="13" w:name="_Toc22487025"/>
      <w:bookmarkStart w:id="14" w:name="_Toc22487144"/>
      <w:bookmarkStart w:id="15" w:name="_Toc51674455"/>
      <w:r w:rsidRPr="001C1A46">
        <w:rPr>
          <w:rFonts w:ascii="Century Gothic" w:hAnsi="Century Gothic"/>
          <w:color w:val="000000" w:themeColor="text1"/>
          <w:sz w:val="24"/>
        </w:rPr>
        <w:t>Access arrangements</w:t>
      </w:r>
      <w:bookmarkStart w:id="16" w:name="_Toc523473882"/>
      <w:bookmarkStart w:id="17" w:name="_Toc22304698"/>
      <w:bookmarkStart w:id="18" w:name="_Toc22487026"/>
      <w:bookmarkStart w:id="19" w:name="_Toc22487145"/>
      <w:bookmarkEnd w:id="11"/>
      <w:bookmarkEnd w:id="12"/>
      <w:bookmarkEnd w:id="13"/>
      <w:bookmarkEnd w:id="14"/>
      <w:bookmarkEnd w:id="15"/>
    </w:p>
    <w:p w14:paraId="61270247" w14:textId="4E0A19F7" w:rsidR="004253A8" w:rsidRPr="001C1A46" w:rsidRDefault="00515163" w:rsidP="004253A8">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 xml:space="preserve">Access arrangements are agreed </w:t>
      </w:r>
      <w:r w:rsidRPr="001C1A46">
        <w:rPr>
          <w:rFonts w:ascii="Century Gothic" w:eastAsia="Times New Roman" w:hAnsi="Century Gothic" w:cs="Times New Roman"/>
          <w:b/>
          <w:bCs/>
          <w:sz w:val="24"/>
          <w:szCs w:val="24"/>
        </w:rPr>
        <w:t xml:space="preserve">before </w:t>
      </w:r>
      <w:r w:rsidRPr="001C1A46">
        <w:rPr>
          <w:rFonts w:ascii="Century Gothic" w:eastAsia="Times New Roman" w:hAnsi="Century Gothic" w:cs="Times New Roman"/>
          <w:sz w:val="24"/>
          <w:szCs w:val="24"/>
        </w:rPr>
        <w:t xml:space="preserve">an assessment. They allow candidates with </w:t>
      </w:r>
      <w:r w:rsidRPr="001C1A46">
        <w:rPr>
          <w:rFonts w:ascii="Century Gothic" w:eastAsia="Times New Roman" w:hAnsi="Century Gothic" w:cs="Times New Roman"/>
          <w:b/>
          <w:bCs/>
          <w:sz w:val="24"/>
          <w:szCs w:val="24"/>
        </w:rPr>
        <w:t>specific needs</w:t>
      </w:r>
      <w:r w:rsidRPr="001C1A46">
        <w:rPr>
          <w:rFonts w:ascii="Century Gothic" w:eastAsia="Times New Roman" w:hAnsi="Century Gothic" w:cs="Times New Roman"/>
          <w:sz w:val="24"/>
          <w:szCs w:val="24"/>
        </w:rPr>
        <w:t xml:space="preserve">, such as special educational needs, </w:t>
      </w:r>
      <w:r w:rsidR="00441905" w:rsidRPr="001C1A46">
        <w:rPr>
          <w:rFonts w:ascii="Century Gothic" w:eastAsia="Times New Roman" w:hAnsi="Century Gothic" w:cs="Times New Roman"/>
          <w:sz w:val="24"/>
          <w:szCs w:val="24"/>
        </w:rPr>
        <w:t>disabilities,</w:t>
      </w:r>
      <w:r w:rsidRPr="001C1A46">
        <w:rPr>
          <w:rFonts w:ascii="Century Gothic" w:eastAsia="Times New Roman" w:hAnsi="Century Gothic" w:cs="Times New Roman"/>
          <w:sz w:val="24"/>
          <w:szCs w:val="24"/>
        </w:rPr>
        <w:t xml:space="preserve">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r w:rsidR="001C1A46" w:rsidRPr="001C1A46">
        <w:rPr>
          <w:rFonts w:ascii="Century Gothic" w:eastAsia="Times New Roman" w:hAnsi="Century Gothic" w:cs="Times New Roman"/>
          <w:sz w:val="24"/>
          <w:szCs w:val="24"/>
        </w:rPr>
        <w:t>adjustments</w:t>
      </w:r>
      <w:r w:rsidRPr="001C1A46">
        <w:rPr>
          <w:rFonts w:ascii="Century Gothic" w:eastAsia="Times New Roman" w:hAnsi="Century Gothic" w:cs="Times New Roman"/>
          <w:sz w:val="24"/>
          <w:szCs w:val="24"/>
        </w:rPr>
        <w:t xml:space="preserve">. </w:t>
      </w:r>
      <w:r w:rsidR="004253A8" w:rsidRPr="001C1A46">
        <w:rPr>
          <w:rFonts w:ascii="Century Gothic" w:eastAsia="Times New Roman" w:hAnsi="Century Gothic" w:cs="Times New Roman"/>
          <w:sz w:val="24"/>
          <w:szCs w:val="24"/>
        </w:rPr>
        <w:t>(</w:t>
      </w:r>
      <w:r w:rsidR="00D92D2F" w:rsidRPr="001C1A46">
        <w:rPr>
          <w:rFonts w:ascii="Century Gothic" w:eastAsia="Times New Roman" w:hAnsi="Century Gothic" w:cs="Times New Roman"/>
          <w:sz w:val="24"/>
          <w:szCs w:val="24"/>
        </w:rPr>
        <w:t>AARA</w:t>
      </w:r>
      <w:r w:rsidR="004253A8" w:rsidRPr="001C1A46">
        <w:rPr>
          <w:rFonts w:ascii="Century Gothic" w:eastAsia="Times New Roman" w:hAnsi="Century Gothic" w:cs="Times New Roman"/>
          <w:sz w:val="24"/>
          <w:szCs w:val="24"/>
        </w:rPr>
        <w:t>1, Definitions)</w:t>
      </w:r>
    </w:p>
    <w:p w14:paraId="1D1B6A9A" w14:textId="205ABC65" w:rsidR="00244E0C" w:rsidRPr="001C1A46" w:rsidRDefault="00244E0C" w:rsidP="00C17E86">
      <w:pPr>
        <w:pStyle w:val="Headinglevel2"/>
        <w:spacing w:before="240" w:after="120"/>
        <w:rPr>
          <w:rFonts w:ascii="Century Gothic" w:hAnsi="Century Gothic"/>
          <w:b w:val="0"/>
          <w:color w:val="auto"/>
          <w:sz w:val="24"/>
        </w:rPr>
      </w:pPr>
    </w:p>
    <w:p w14:paraId="7024040E" w14:textId="71B0AD84" w:rsidR="000D1B7A" w:rsidRPr="001C1A46" w:rsidRDefault="00844861" w:rsidP="00DD4683">
      <w:pPr>
        <w:pStyle w:val="Headinglevel2"/>
        <w:spacing w:before="240" w:after="120"/>
        <w:rPr>
          <w:rFonts w:ascii="Century Gothic" w:hAnsi="Century Gothic"/>
          <w:bCs/>
          <w:color w:val="auto"/>
          <w:sz w:val="24"/>
        </w:rPr>
      </w:pPr>
      <w:bookmarkStart w:id="20" w:name="_Toc51674456"/>
      <w:r w:rsidRPr="001C1A46">
        <w:rPr>
          <w:rFonts w:ascii="Century Gothic" w:hAnsi="Century Gothic"/>
          <w:bCs/>
          <w:color w:val="auto"/>
          <w:sz w:val="24"/>
        </w:rPr>
        <w:t>Reasonable adjustments</w:t>
      </w:r>
      <w:bookmarkStart w:id="21" w:name="_Toc490083853"/>
      <w:bookmarkStart w:id="22" w:name="_Toc523473883"/>
      <w:bookmarkStart w:id="23" w:name="_Toc22304699"/>
      <w:bookmarkStart w:id="24" w:name="_Toc22487027"/>
      <w:bookmarkStart w:id="25" w:name="_Toc22487146"/>
      <w:bookmarkStart w:id="26" w:name="_Toc466921629"/>
      <w:bookmarkStart w:id="27" w:name="_Toc449469095"/>
      <w:bookmarkStart w:id="28" w:name="_Hlk523424464"/>
      <w:bookmarkEnd w:id="16"/>
      <w:bookmarkEnd w:id="17"/>
      <w:bookmarkEnd w:id="18"/>
      <w:bookmarkEnd w:id="19"/>
      <w:bookmarkEnd w:id="20"/>
    </w:p>
    <w:p w14:paraId="293F9848" w14:textId="77777777" w:rsidR="00C6289E" w:rsidRPr="001C1A46" w:rsidRDefault="00C6289E" w:rsidP="00C6289E">
      <w:pPr>
        <w:spacing w:before="0"/>
        <w:rPr>
          <w:rFonts w:ascii="Century Gothic" w:eastAsia="Times New Roman" w:hAnsi="Century Gothic" w:cs="Times New Roman"/>
          <w:sz w:val="24"/>
          <w:szCs w:val="24"/>
        </w:rPr>
      </w:pPr>
      <w:bookmarkStart w:id="29" w:name="_Toc51674457"/>
      <w:r w:rsidRPr="001C1A46">
        <w:rPr>
          <w:rFonts w:ascii="Century Gothic" w:eastAsia="Times New Roman" w:hAnsi="Century Gothic" w:cs="Times New Roman"/>
          <w:sz w:val="24"/>
          <w:szCs w:val="24"/>
        </w:rPr>
        <w:t xml:space="preserve">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07C1D51B" w14:textId="77777777" w:rsidR="00C6289E" w:rsidRPr="001C1A46" w:rsidRDefault="00C6289E" w:rsidP="00C6289E">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 the needs of the disabled candidate;</w:t>
      </w:r>
      <w:r w:rsidRPr="001C1A46">
        <w:rPr>
          <w:rFonts w:ascii="Century Gothic" w:eastAsia="Times New Roman" w:hAnsi="Century Gothic" w:cs="Times New Roman"/>
          <w:sz w:val="24"/>
          <w:szCs w:val="24"/>
        </w:rPr>
        <w:br/>
        <w:t>• the effectiveness of the adjustment;</w:t>
      </w:r>
      <w:r w:rsidRPr="001C1A46">
        <w:rPr>
          <w:rFonts w:ascii="Century Gothic" w:eastAsia="Times New Roman" w:hAnsi="Century Gothic" w:cs="Times New Roman"/>
          <w:sz w:val="24"/>
          <w:szCs w:val="24"/>
        </w:rPr>
        <w:br/>
        <w:t>• the cost of the adjustment; and</w:t>
      </w:r>
      <w:r w:rsidRPr="001C1A46">
        <w:rPr>
          <w:rFonts w:ascii="Century Gothic" w:eastAsia="Times New Roman" w:hAnsi="Century Gothic" w:cs="Times New Roman"/>
          <w:sz w:val="24"/>
          <w:szCs w:val="24"/>
        </w:rPr>
        <w:br/>
        <w:t xml:space="preserve">• the likely impact of the adjustment upon the candidate and other candidates. </w:t>
      </w:r>
    </w:p>
    <w:p w14:paraId="32192335" w14:textId="77777777" w:rsidR="00C6289E" w:rsidRPr="001C1A46" w:rsidRDefault="00C6289E" w:rsidP="00C6289E">
      <w:pPr>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An adjustment will not be approved if it:</w:t>
      </w:r>
    </w:p>
    <w:p w14:paraId="09687D27" w14:textId="247676BA" w:rsidR="00C6289E" w:rsidRPr="001C1A46" w:rsidRDefault="00C6289E" w:rsidP="00C6289E">
      <w:pPr>
        <w:spacing w:before="0" w:after="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 xml:space="preserve">• involves unreasonable costs to the awarding </w:t>
      </w:r>
      <w:r w:rsidR="006C7245" w:rsidRPr="001C1A46">
        <w:rPr>
          <w:rFonts w:ascii="Century Gothic" w:eastAsia="Times New Roman" w:hAnsi="Century Gothic" w:cs="Times New Roman"/>
          <w:sz w:val="24"/>
          <w:szCs w:val="24"/>
        </w:rPr>
        <w:t>body.</w:t>
      </w:r>
    </w:p>
    <w:p w14:paraId="0895ECEE" w14:textId="77777777" w:rsidR="00C6289E" w:rsidRPr="001C1A46" w:rsidRDefault="00C6289E" w:rsidP="00C6289E">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 involves unreasonable timeframes; or</w:t>
      </w:r>
      <w:r w:rsidRPr="001C1A46">
        <w:rPr>
          <w:rFonts w:ascii="Century Gothic" w:eastAsia="Times New Roman" w:hAnsi="Century Gothic" w:cs="Times New Roman"/>
          <w:sz w:val="24"/>
          <w:szCs w:val="24"/>
        </w:rPr>
        <w:br/>
        <w:t xml:space="preserve">• affects the security and integrity of the assessment. </w:t>
      </w:r>
    </w:p>
    <w:p w14:paraId="7AAF1CEE" w14:textId="456D9155" w:rsidR="00C6289E" w:rsidRPr="001C1A46" w:rsidRDefault="00C6289E" w:rsidP="00C6289E">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This is because the adjustment is not ‘reasonable</w:t>
      </w:r>
      <w:r w:rsidR="00441905" w:rsidRPr="001C1A46">
        <w:rPr>
          <w:rFonts w:ascii="Century Gothic" w:eastAsia="Times New Roman" w:hAnsi="Century Gothic" w:cs="Times New Roman"/>
          <w:sz w:val="24"/>
          <w:szCs w:val="24"/>
        </w:rPr>
        <w:t>.’</w:t>
      </w:r>
      <w:r w:rsidRPr="001C1A46">
        <w:rPr>
          <w:rFonts w:ascii="Century Gothic" w:eastAsia="Times New Roman" w:hAnsi="Century Gothic" w:cs="Times New Roman"/>
          <w:sz w:val="24"/>
          <w:szCs w:val="24"/>
        </w:rPr>
        <w:t xml:space="preserve"> (1</w:t>
      </w:r>
      <w:hyperlink r:id="rId14" w:history="1">
        <w:r w:rsidR="00D92D2F" w:rsidRPr="001C1A46">
          <w:rPr>
            <w:rFonts w:ascii="Century Gothic" w:eastAsia="Times New Roman" w:hAnsi="Century Gothic" w:cs="Times New Roman"/>
            <w:sz w:val="24"/>
            <w:szCs w:val="24"/>
          </w:rPr>
          <w:t>AARA</w:t>
        </w:r>
      </w:hyperlink>
      <w:r w:rsidRPr="001C1A46">
        <w:rPr>
          <w:rFonts w:ascii="Century Gothic" w:eastAsia="Times New Roman" w:hAnsi="Century Gothic" w:cs="Times New Roman"/>
          <w:sz w:val="24"/>
          <w:szCs w:val="24"/>
        </w:rPr>
        <w:t>, Definitions)</w:t>
      </w:r>
    </w:p>
    <w:p w14:paraId="43DC6158" w14:textId="554A4991" w:rsidR="0090075F" w:rsidRPr="001C1A46" w:rsidRDefault="0090075F" w:rsidP="0090075F">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The centre must ensure that approved adjustments can be delivered to candidates. (</w:t>
      </w:r>
      <w:r w:rsidR="00D92D2F" w:rsidRPr="001C1A46">
        <w:rPr>
          <w:rFonts w:ascii="Century Gothic" w:eastAsia="Times New Roman" w:hAnsi="Century Gothic" w:cs="Times New Roman"/>
          <w:sz w:val="24"/>
          <w:szCs w:val="24"/>
        </w:rPr>
        <w:t>AARA</w:t>
      </w:r>
      <w:r w:rsidRPr="001C1A46">
        <w:rPr>
          <w:rFonts w:ascii="Century Gothic" w:eastAsia="Times New Roman" w:hAnsi="Century Gothic" w:cs="Times New Roman"/>
          <w:sz w:val="24"/>
          <w:szCs w:val="24"/>
        </w:rPr>
        <w:t>RA1, Definitions)</w:t>
      </w:r>
    </w:p>
    <w:p w14:paraId="788F48D4" w14:textId="58532889" w:rsidR="0090075F" w:rsidRPr="001C1A46" w:rsidRDefault="0090075F" w:rsidP="0090075F">
      <w:pPr>
        <w:spacing w:before="0"/>
        <w:rPr>
          <w:rFonts w:ascii="Century Gothic" w:eastAsia="Times New Roman" w:hAnsi="Century Gothic" w:cs="Times New Roman"/>
          <w:sz w:val="24"/>
          <w:szCs w:val="24"/>
        </w:rPr>
      </w:pPr>
      <w:r w:rsidRPr="001C1A46">
        <w:rPr>
          <w:rFonts w:ascii="Century Gothic" w:eastAsia="Times New Roman" w:hAnsi="Century Gothic" w:cs="Times New Roman"/>
          <w:sz w:val="24"/>
          <w:szCs w:val="24"/>
        </w:rPr>
        <w:t xml:space="preserve">*References to legislation are to the Equality Act 2010. Separate legislation is in place for Northern Ireland (see </w:t>
      </w:r>
      <w:hyperlink r:id="rId15" w:history="1">
        <w:r w:rsidR="00D92D2F" w:rsidRPr="001C1A46">
          <w:rPr>
            <w:rFonts w:ascii="Century Gothic" w:eastAsia="Times New Roman" w:hAnsi="Century Gothic" w:cs="Times New Roman"/>
            <w:sz w:val="24"/>
            <w:szCs w:val="24"/>
          </w:rPr>
          <w:t>AARA</w:t>
        </w:r>
      </w:hyperlink>
      <w:r w:rsidRPr="001C1A46">
        <w:rPr>
          <w:rFonts w:ascii="Century Gothic" w:eastAsia="Times New Roman" w:hAnsi="Century Gothic" w:cs="Times New Roman"/>
          <w:sz w:val="24"/>
          <w:szCs w:val="24"/>
        </w:rPr>
        <w:t xml:space="preserve"> 1.8). The definitions and procedures in </w:t>
      </w:r>
      <w:hyperlink r:id="rId16" w:history="1">
        <w:r w:rsidR="00D92D2F" w:rsidRPr="001C1A46">
          <w:rPr>
            <w:rFonts w:ascii="Century Gothic" w:eastAsia="Times New Roman" w:hAnsi="Century Gothic" w:cs="Times New Roman"/>
            <w:sz w:val="24"/>
            <w:szCs w:val="24"/>
          </w:rPr>
          <w:t>AARA</w:t>
        </w:r>
      </w:hyperlink>
      <w:r w:rsidRPr="001C1A46">
        <w:rPr>
          <w:rFonts w:ascii="Century Gothic" w:eastAsia="Times New Roman" w:hAnsi="Century Gothic" w:cs="Times New Roman"/>
          <w:sz w:val="24"/>
          <w:szCs w:val="24"/>
        </w:rPr>
        <w:t xml:space="preserve"> relating to access arrangements and reasonable adjustments will also apply in Northern Ireland.</w:t>
      </w:r>
    </w:p>
    <w:p w14:paraId="790B8593" w14:textId="6DBEF6D0" w:rsidR="000D1B7A" w:rsidRPr="001C1A46" w:rsidRDefault="00F504AD" w:rsidP="00EB54FB">
      <w:pPr>
        <w:pStyle w:val="Headinglevel1"/>
        <w:spacing w:before="240" w:line="276" w:lineRule="auto"/>
        <w:rPr>
          <w:rFonts w:ascii="Century Gothic" w:hAnsi="Century Gothic"/>
          <w:color w:val="000000" w:themeColor="text1"/>
          <w:szCs w:val="24"/>
        </w:rPr>
      </w:pPr>
      <w:r w:rsidRPr="001C1A46">
        <w:rPr>
          <w:rFonts w:ascii="Century Gothic" w:hAnsi="Century Gothic"/>
          <w:color w:val="000000" w:themeColor="text1"/>
          <w:szCs w:val="24"/>
        </w:rPr>
        <w:t>P</w:t>
      </w:r>
      <w:r w:rsidR="00844861" w:rsidRPr="001C1A46">
        <w:rPr>
          <w:rFonts w:ascii="Century Gothic" w:hAnsi="Century Gothic"/>
          <w:color w:val="000000" w:themeColor="text1"/>
          <w:szCs w:val="24"/>
        </w:rPr>
        <w:t>urpose of the policy</w:t>
      </w:r>
      <w:bookmarkEnd w:id="21"/>
      <w:bookmarkEnd w:id="22"/>
      <w:bookmarkEnd w:id="23"/>
      <w:bookmarkEnd w:id="24"/>
      <w:bookmarkEnd w:id="25"/>
      <w:bookmarkEnd w:id="29"/>
    </w:p>
    <w:p w14:paraId="0EF7D376" w14:textId="7B661ABE" w:rsidR="00844861" w:rsidRPr="001C1A46" w:rsidRDefault="00844861" w:rsidP="00EB54FB">
      <w:pPr>
        <w:spacing w:after="0" w:line="276" w:lineRule="auto"/>
        <w:jc w:val="both"/>
        <w:rPr>
          <w:rFonts w:ascii="Century Gothic" w:hAnsi="Century Gothic"/>
          <w:i/>
          <w:color w:val="000000" w:themeColor="text1"/>
          <w:sz w:val="24"/>
          <w:szCs w:val="24"/>
        </w:rPr>
      </w:pPr>
      <w:r w:rsidRPr="001C1A46">
        <w:rPr>
          <w:rFonts w:ascii="Century Gothic" w:hAnsi="Century Gothic"/>
          <w:color w:val="000000" w:themeColor="text1"/>
          <w:sz w:val="24"/>
          <w:szCs w:val="24"/>
        </w:rPr>
        <w:t xml:space="preserve">The purpose of this policy is to confirm that </w:t>
      </w:r>
      <w:r w:rsidR="003D46AD" w:rsidRPr="001C1A46">
        <w:rPr>
          <w:rFonts w:ascii="Century Gothic" w:hAnsi="Century Gothic"/>
          <w:color w:val="000000" w:themeColor="text1"/>
          <w:sz w:val="24"/>
          <w:szCs w:val="24"/>
        </w:rPr>
        <w:t>Burton Borough School</w:t>
      </w:r>
      <w:r w:rsidRPr="001C1A46">
        <w:rPr>
          <w:rFonts w:ascii="Century Gothic" w:hAnsi="Century Gothic"/>
          <w:color w:val="000000" w:themeColor="text1"/>
          <w:sz w:val="24"/>
          <w:szCs w:val="24"/>
        </w:rPr>
        <w:t xml:space="preserve"> has a written record which clearly shows the centre is leading on the access arrangements process and is complying with its </w:t>
      </w:r>
      <w:r w:rsidR="00EB54FB" w:rsidRPr="001C1A46">
        <w:rPr>
          <w:rFonts w:ascii="Century Gothic" w:hAnsi="Century Gothic"/>
          <w:iCs/>
          <w:color w:val="000000" w:themeColor="text1"/>
          <w:sz w:val="24"/>
          <w:szCs w:val="24"/>
        </w:rPr>
        <w:t>…</w:t>
      </w:r>
      <w:r w:rsidRPr="001C1A46">
        <w:rPr>
          <w:rFonts w:ascii="Century Gothic" w:hAnsi="Century Gothic"/>
          <w:iCs/>
          <w:color w:val="000000" w:themeColor="text1"/>
          <w:sz w:val="24"/>
          <w:szCs w:val="24"/>
        </w:rPr>
        <w:t>obligation to identify the need for, request and implement access arrangements...</w:t>
      </w:r>
    </w:p>
    <w:p w14:paraId="5478212B" w14:textId="2425C2AC" w:rsidR="00844861" w:rsidRPr="001C1A46" w:rsidRDefault="00844861" w:rsidP="001127C7">
      <w:pPr>
        <w:pStyle w:val="ListParagraph"/>
        <w:tabs>
          <w:tab w:val="left" w:pos="10490"/>
        </w:tabs>
        <w:spacing w:before="0" w:line="276" w:lineRule="auto"/>
        <w:ind w:right="-11"/>
        <w:jc w:val="right"/>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[JCQ </w:t>
      </w:r>
      <w:r w:rsidRPr="001C1A46">
        <w:rPr>
          <w:rFonts w:ascii="Century Gothic" w:hAnsi="Century Gothic" w:cs="Arial"/>
          <w:color w:val="000000" w:themeColor="text1"/>
          <w:sz w:val="24"/>
          <w:szCs w:val="24"/>
        </w:rPr>
        <w:t xml:space="preserve">General Regulations for Approved Centres, </w:t>
      </w:r>
      <w:r w:rsidR="00033626" w:rsidRPr="001C1A46">
        <w:rPr>
          <w:rFonts w:ascii="Century Gothic" w:hAnsi="Century Gothic" w:cs="Arial"/>
          <w:color w:val="000000" w:themeColor="text1"/>
          <w:sz w:val="24"/>
          <w:szCs w:val="24"/>
        </w:rPr>
        <w:t xml:space="preserve">(section </w:t>
      </w:r>
      <w:r w:rsidRPr="001C1A46">
        <w:rPr>
          <w:rFonts w:ascii="Century Gothic" w:hAnsi="Century Gothic"/>
          <w:color w:val="000000" w:themeColor="text1"/>
          <w:sz w:val="24"/>
          <w:szCs w:val="24"/>
        </w:rPr>
        <w:t>5.</w:t>
      </w:r>
      <w:r w:rsidR="00033626" w:rsidRPr="001C1A46">
        <w:rPr>
          <w:rFonts w:ascii="Century Gothic" w:hAnsi="Century Gothic"/>
          <w:color w:val="000000" w:themeColor="text1"/>
          <w:sz w:val="24"/>
          <w:szCs w:val="24"/>
        </w:rPr>
        <w:t>4)</w:t>
      </w:r>
      <w:r w:rsidRPr="001C1A46">
        <w:rPr>
          <w:rFonts w:ascii="Century Gothic" w:hAnsi="Century Gothic"/>
          <w:color w:val="000000" w:themeColor="text1"/>
          <w:sz w:val="24"/>
          <w:szCs w:val="24"/>
        </w:rPr>
        <w:t>]</w:t>
      </w:r>
    </w:p>
    <w:p w14:paraId="1F9D5D84" w14:textId="77777777" w:rsidR="00844861" w:rsidRPr="001C1A46" w:rsidRDefault="00844861" w:rsidP="00072C6F">
      <w:pPr>
        <w:jc w:val="right"/>
        <w:rPr>
          <w:rFonts w:ascii="Century Gothic" w:hAnsi="Century Gothic" w:cs="Arial"/>
          <w:i/>
          <w:color w:val="000000" w:themeColor="text1"/>
          <w:sz w:val="24"/>
          <w:szCs w:val="24"/>
        </w:rPr>
      </w:pPr>
      <w:r w:rsidRPr="001C1A46">
        <w:rPr>
          <w:rFonts w:ascii="Century Gothic" w:hAnsi="Century Gothic"/>
          <w:color w:val="000000" w:themeColor="text1"/>
          <w:sz w:val="24"/>
          <w:szCs w:val="24"/>
        </w:rPr>
        <w:t xml:space="preserve">This publication is further referred to in this policy as </w:t>
      </w:r>
      <w:hyperlink r:id="rId17" w:history="1">
        <w:r w:rsidRPr="001C1A46">
          <w:rPr>
            <w:rStyle w:val="Hyperlink"/>
            <w:rFonts w:ascii="Century Gothic" w:hAnsi="Century Gothic" w:cs="Arial"/>
            <w:color w:val="000000" w:themeColor="text1"/>
            <w:sz w:val="24"/>
            <w:szCs w:val="24"/>
            <w:u w:val="none"/>
          </w:rPr>
          <w:t>GR</w:t>
        </w:r>
      </w:hyperlink>
    </w:p>
    <w:p w14:paraId="73196432" w14:textId="3DD3062C" w:rsidR="00844861" w:rsidRPr="001C1A46" w:rsidRDefault="00844861" w:rsidP="00844861">
      <w:pPr>
        <w:tabs>
          <w:tab w:val="left" w:pos="10490"/>
        </w:tabs>
        <w:spacing w:line="276" w:lineRule="auto"/>
        <w:ind w:right="-11"/>
        <w:jc w:val="both"/>
        <w:rPr>
          <w:rFonts w:ascii="Century Gothic" w:eastAsia="Times New Roman" w:hAnsi="Century Gothic"/>
          <w:color w:val="000000" w:themeColor="text1"/>
          <w:sz w:val="24"/>
          <w:szCs w:val="24"/>
        </w:rPr>
      </w:pPr>
      <w:r w:rsidRPr="001C1A46">
        <w:rPr>
          <w:rFonts w:ascii="Century Gothic" w:eastAsia="Times New Roman" w:hAnsi="Century Gothic"/>
          <w:color w:val="000000" w:themeColor="text1"/>
          <w:sz w:val="24"/>
          <w:szCs w:val="24"/>
        </w:rPr>
        <w:lastRenderedPageBreak/>
        <w:t xml:space="preserve">This policy is maintained and held by the SENCo </w:t>
      </w:r>
      <w:r w:rsidR="00F504AD" w:rsidRPr="001C1A46">
        <w:rPr>
          <w:rFonts w:ascii="Century Gothic" w:eastAsia="Times New Roman" w:hAnsi="Century Gothic"/>
          <w:color w:val="000000" w:themeColor="text1"/>
          <w:sz w:val="24"/>
          <w:szCs w:val="24"/>
        </w:rPr>
        <w:t xml:space="preserve">or equivalent role </w:t>
      </w:r>
      <w:r w:rsidRPr="001C1A46">
        <w:rPr>
          <w:rFonts w:ascii="Century Gothic" w:eastAsia="Times New Roman" w:hAnsi="Century Gothic"/>
          <w:color w:val="000000" w:themeColor="text1"/>
          <w:sz w:val="24"/>
          <w:szCs w:val="24"/>
        </w:rPr>
        <w:t>alongside the individual files</w:t>
      </w:r>
      <w:r w:rsidR="0065583E" w:rsidRPr="001C1A46">
        <w:rPr>
          <w:rFonts w:ascii="Century Gothic" w:eastAsia="Times New Roman" w:hAnsi="Century Gothic"/>
          <w:color w:val="000000" w:themeColor="text1"/>
          <w:sz w:val="24"/>
          <w:szCs w:val="24"/>
        </w:rPr>
        <w:t>/e-folders</w:t>
      </w:r>
      <w:r w:rsidRPr="001C1A46">
        <w:rPr>
          <w:rFonts w:ascii="Century Gothic" w:eastAsia="Times New Roman" w:hAnsi="Century Gothic"/>
          <w:color w:val="000000" w:themeColor="text1"/>
          <w:sz w:val="24"/>
          <w:szCs w:val="24"/>
        </w:rPr>
        <w:t xml:space="preserve"> of each access arrangements candidate. Each file</w:t>
      </w:r>
      <w:r w:rsidR="0065583E" w:rsidRPr="001C1A46">
        <w:rPr>
          <w:rFonts w:ascii="Century Gothic" w:eastAsia="Times New Roman" w:hAnsi="Century Gothic"/>
          <w:color w:val="000000" w:themeColor="text1"/>
          <w:sz w:val="24"/>
          <w:szCs w:val="24"/>
        </w:rPr>
        <w:t>/e-folder</w:t>
      </w:r>
      <w:r w:rsidRPr="001C1A46">
        <w:rPr>
          <w:rFonts w:ascii="Century Gothic" w:eastAsia="Times New Roman" w:hAnsi="Century Gothic"/>
          <w:color w:val="000000" w:themeColor="text1"/>
          <w:sz w:val="24"/>
          <w:szCs w:val="24"/>
        </w:rPr>
        <w:t xml:space="preserve"> contains detailed records of all the essential information that is required to be held according to the regulations. </w:t>
      </w:r>
    </w:p>
    <w:p w14:paraId="4230DE1B" w14:textId="022C03F3" w:rsidR="005946D0" w:rsidRPr="001C1A46" w:rsidRDefault="005946D0" w:rsidP="00AF65D5">
      <w:pPr>
        <w:spacing w:before="0"/>
        <w:ind w:left="720"/>
        <w:jc w:val="both"/>
        <w:rPr>
          <w:rFonts w:ascii="Century Gothic" w:eastAsia="Times New Roman" w:hAnsi="Century Gothic" w:cs="Times New Roman"/>
          <w:color w:val="000000" w:themeColor="text1"/>
          <w:sz w:val="24"/>
          <w:szCs w:val="24"/>
        </w:rPr>
      </w:pPr>
      <w:r w:rsidRPr="001C1A46">
        <w:rPr>
          <w:rFonts w:ascii="Century Gothic" w:eastAsia="Times New Roman" w:hAnsi="Century Gothic" w:cs="Tahoma"/>
          <w:color w:val="000000" w:themeColor="text1"/>
          <w:sz w:val="24"/>
          <w:szCs w:val="24"/>
        </w:rPr>
        <w:t>Where the SENCo</w:t>
      </w:r>
      <w:r w:rsidR="00F504AD" w:rsidRPr="001C1A46">
        <w:rPr>
          <w:rFonts w:ascii="Century Gothic" w:eastAsia="Times New Roman" w:hAnsi="Century Gothic" w:cs="Tahoma"/>
          <w:color w:val="000000" w:themeColor="text1"/>
          <w:sz w:val="24"/>
          <w:szCs w:val="24"/>
        </w:rPr>
        <w:t xml:space="preserve"> or equivalent role</w:t>
      </w:r>
      <w:r w:rsidRPr="001C1A46">
        <w:rPr>
          <w:rFonts w:ascii="Century Gothic" w:eastAsia="Times New Roman" w:hAnsi="Century Gothic" w:cs="Tahoma"/>
          <w:color w:val="000000" w:themeColor="text1"/>
          <w:sz w:val="24"/>
          <w:szCs w:val="24"/>
        </w:rPr>
        <w:t xml:space="preserve"> is storing access arrangements documentation electronically </w:t>
      </w:r>
      <w:r w:rsidR="000E1235" w:rsidRPr="001C1A46">
        <w:rPr>
          <w:rFonts w:ascii="Century Gothic" w:eastAsia="Times New Roman" w:hAnsi="Century Gothic" w:cs="Tahoma"/>
          <w:color w:val="000000" w:themeColor="text1"/>
          <w:sz w:val="24"/>
          <w:szCs w:val="24"/>
        </w:rPr>
        <w:t>they</w:t>
      </w:r>
      <w:r w:rsidRPr="001C1A46">
        <w:rPr>
          <w:rFonts w:ascii="Century Gothic" w:eastAsia="Times New Roman" w:hAnsi="Century Gothic" w:cs="Tahoma"/>
          <w:color w:val="000000" w:themeColor="text1"/>
          <w:sz w:val="24"/>
          <w:szCs w:val="24"/>
        </w:rPr>
        <w:t xml:space="preserve"> </w:t>
      </w:r>
      <w:r w:rsidRPr="001C1A46">
        <w:rPr>
          <w:rFonts w:ascii="Century Gothic" w:eastAsia="Times New Roman" w:hAnsi="Century Gothic" w:cs="Tahoma"/>
          <w:b/>
          <w:bCs/>
          <w:color w:val="000000" w:themeColor="text1"/>
          <w:sz w:val="24"/>
          <w:szCs w:val="24"/>
        </w:rPr>
        <w:t xml:space="preserve">must </w:t>
      </w:r>
      <w:r w:rsidRPr="001C1A46">
        <w:rPr>
          <w:rFonts w:ascii="Century Gothic" w:eastAsia="Times New Roman" w:hAnsi="Century Gothic" w:cs="Tahoma"/>
          <w:color w:val="000000" w:themeColor="text1"/>
          <w:sz w:val="24"/>
          <w:szCs w:val="24"/>
        </w:rPr>
        <w:t xml:space="preserve">create an e-folder for each individual candidate. The candidate’s e-folder must hold each of the required documents for inspection. </w:t>
      </w:r>
      <w:r w:rsidRPr="001C1A46">
        <w:rPr>
          <w:rFonts w:ascii="Century Gothic" w:hAnsi="Century Gothic" w:cs="Arial"/>
          <w:color w:val="000000" w:themeColor="text1"/>
          <w:sz w:val="24"/>
          <w:szCs w:val="24"/>
        </w:rPr>
        <w:t>(</w:t>
      </w:r>
      <w:hyperlink r:id="rId18" w:history="1">
        <w:r w:rsidR="00D92D2F" w:rsidRPr="001C1A46">
          <w:rPr>
            <w:rStyle w:val="Hyperlink"/>
            <w:rFonts w:ascii="Century Gothic" w:hAnsi="Century Gothic" w:cs="Arial"/>
            <w:color w:val="000000" w:themeColor="text1"/>
            <w:sz w:val="24"/>
            <w:szCs w:val="24"/>
            <w:u w:val="none"/>
          </w:rPr>
          <w:t>AARA</w:t>
        </w:r>
      </w:hyperlink>
      <w:r w:rsidRPr="001C1A46">
        <w:rPr>
          <w:rFonts w:ascii="Century Gothic" w:hAnsi="Century Gothic" w:cs="Arial"/>
          <w:color w:val="000000" w:themeColor="text1"/>
          <w:sz w:val="24"/>
          <w:szCs w:val="24"/>
        </w:rPr>
        <w:t xml:space="preserve"> </w:t>
      </w:r>
      <w:r w:rsidR="000E1235" w:rsidRPr="001C1A46">
        <w:rPr>
          <w:rFonts w:ascii="Century Gothic" w:hAnsi="Century Gothic" w:cs="Arial"/>
          <w:color w:val="000000" w:themeColor="text1"/>
          <w:sz w:val="24"/>
          <w:szCs w:val="24"/>
        </w:rPr>
        <w:t xml:space="preserve"> </w:t>
      </w:r>
      <w:r w:rsidRPr="001C1A46">
        <w:rPr>
          <w:rFonts w:ascii="Century Gothic" w:hAnsi="Century Gothic" w:cs="Arial"/>
          <w:color w:val="000000" w:themeColor="text1"/>
          <w:sz w:val="24"/>
          <w:szCs w:val="24"/>
        </w:rPr>
        <w:t>4.2)</w:t>
      </w:r>
      <w:r w:rsidRPr="001C1A46">
        <w:rPr>
          <w:rFonts w:ascii="Century Gothic" w:hAnsi="Century Gothic"/>
          <w:b/>
          <w:bCs/>
          <w:color w:val="000000" w:themeColor="text1"/>
          <w:sz w:val="24"/>
          <w:szCs w:val="24"/>
        </w:rPr>
        <w:t xml:space="preserve">  </w:t>
      </w:r>
    </w:p>
    <w:p w14:paraId="3025CACD" w14:textId="695C420B" w:rsidR="00844861" w:rsidRPr="001C1A46" w:rsidRDefault="00844861" w:rsidP="000C270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The policy is annually reviewed to ensure that processes are </w:t>
      </w:r>
      <w:r w:rsidR="00441905" w:rsidRPr="001C1A46">
        <w:rPr>
          <w:rFonts w:ascii="Century Gothic" w:hAnsi="Century Gothic"/>
          <w:color w:val="000000" w:themeColor="text1"/>
          <w:sz w:val="24"/>
          <w:szCs w:val="24"/>
        </w:rPr>
        <w:t>conducted</w:t>
      </w:r>
      <w:r w:rsidRPr="001C1A46">
        <w:rPr>
          <w:rFonts w:ascii="Century Gothic" w:hAnsi="Century Gothic"/>
          <w:color w:val="000000" w:themeColor="text1"/>
          <w:sz w:val="24"/>
          <w:szCs w:val="24"/>
        </w:rPr>
        <w:t xml:space="preserve"> in accordance with the current edition of the JCQ </w:t>
      </w:r>
      <w:r w:rsidR="000E1235" w:rsidRPr="001C1A46">
        <w:rPr>
          <w:rFonts w:ascii="Century Gothic" w:hAnsi="Century Gothic"/>
          <w:color w:val="000000" w:themeColor="text1"/>
          <w:sz w:val="24"/>
          <w:szCs w:val="24"/>
        </w:rPr>
        <w:t xml:space="preserve">document </w:t>
      </w:r>
      <w:r w:rsidRPr="001C1A46">
        <w:rPr>
          <w:rFonts w:ascii="Century Gothic" w:hAnsi="Century Gothic" w:cs="Arial"/>
          <w:bCs/>
          <w:color w:val="000000" w:themeColor="text1"/>
          <w:sz w:val="24"/>
          <w:szCs w:val="24"/>
        </w:rPr>
        <w:t>Adjustments for candidates with disabilities and learning difficulties</w:t>
      </w:r>
      <w:r w:rsidRPr="001C1A46">
        <w:rPr>
          <w:rFonts w:ascii="Century Gothic" w:hAnsi="Century Gothic"/>
          <w:color w:val="000000" w:themeColor="text1"/>
          <w:sz w:val="24"/>
          <w:szCs w:val="24"/>
        </w:rPr>
        <w:t xml:space="preserve"> </w:t>
      </w:r>
      <w:r w:rsidR="009362F6" w:rsidRPr="001C1A46">
        <w:rPr>
          <w:rFonts w:ascii="Century Gothic" w:hAnsi="Century Gothic"/>
          <w:color w:val="000000" w:themeColor="text1"/>
          <w:sz w:val="24"/>
          <w:szCs w:val="24"/>
        </w:rPr>
        <w:t xml:space="preserve">- </w:t>
      </w:r>
      <w:r w:rsidRPr="001C1A46">
        <w:rPr>
          <w:rFonts w:ascii="Century Gothic" w:hAnsi="Century Gothic" w:cs="Arial"/>
          <w:bCs/>
          <w:color w:val="000000" w:themeColor="text1"/>
          <w:sz w:val="24"/>
          <w:szCs w:val="24"/>
        </w:rPr>
        <w:t>Access Arrangements and Reasonable Adjustments.</w:t>
      </w:r>
      <w:r w:rsidR="000C2701" w:rsidRPr="001C1A46">
        <w:rPr>
          <w:rFonts w:ascii="Century Gothic" w:hAnsi="Century Gothic" w:cs="Arial"/>
          <w:color w:val="000000" w:themeColor="text1"/>
          <w:sz w:val="24"/>
          <w:szCs w:val="24"/>
        </w:rPr>
        <w:t xml:space="preserve"> </w:t>
      </w:r>
    </w:p>
    <w:p w14:paraId="34E1DF08" w14:textId="355CAA11" w:rsidR="00844861" w:rsidRPr="001C1A46" w:rsidRDefault="00844861" w:rsidP="00072C6F">
      <w:pPr>
        <w:spacing w:line="276" w:lineRule="auto"/>
        <w:jc w:val="right"/>
        <w:rPr>
          <w:rFonts w:ascii="Century Gothic" w:hAnsi="Century Gothic" w:cs="Arial"/>
          <w:color w:val="000000" w:themeColor="text1"/>
          <w:sz w:val="24"/>
          <w:szCs w:val="24"/>
        </w:rPr>
      </w:pPr>
      <w:r w:rsidRPr="001C1A46">
        <w:rPr>
          <w:rFonts w:ascii="Century Gothic" w:hAnsi="Century Gothic" w:cs="Arial"/>
          <w:bCs/>
          <w:color w:val="000000" w:themeColor="text1"/>
          <w:sz w:val="24"/>
          <w:szCs w:val="24"/>
        </w:rPr>
        <w:t xml:space="preserve">This publication is further referred to in this policy as </w:t>
      </w:r>
      <w:hyperlink r:id="rId19" w:history="1">
        <w:r w:rsidR="00D92D2F" w:rsidRPr="001C1A46">
          <w:rPr>
            <w:rStyle w:val="Hyperlink"/>
            <w:rFonts w:ascii="Century Gothic" w:hAnsi="Century Gothic" w:cs="Arial"/>
            <w:color w:val="000000" w:themeColor="text1"/>
            <w:sz w:val="24"/>
            <w:szCs w:val="24"/>
            <w:u w:val="none"/>
          </w:rPr>
          <w:t>AARA</w:t>
        </w:r>
      </w:hyperlink>
    </w:p>
    <w:p w14:paraId="23A2EF00" w14:textId="77777777" w:rsidR="001D6ED6" w:rsidRPr="001C1A46" w:rsidRDefault="001D6ED6" w:rsidP="0065583E">
      <w:pPr>
        <w:pStyle w:val="Headinglevel1"/>
        <w:spacing w:before="240" w:line="276" w:lineRule="auto"/>
        <w:rPr>
          <w:rFonts w:ascii="Century Gothic" w:hAnsi="Century Gothic"/>
          <w:color w:val="000000" w:themeColor="text1"/>
          <w:szCs w:val="24"/>
        </w:rPr>
      </w:pPr>
      <w:bookmarkStart w:id="30" w:name="_Toc51674458"/>
      <w:bookmarkStart w:id="31" w:name="_Toc490083854"/>
      <w:bookmarkStart w:id="32" w:name="_Toc496088793"/>
      <w:bookmarkStart w:id="33" w:name="_Toc523473884"/>
      <w:bookmarkStart w:id="34" w:name="_Toc22304700"/>
      <w:bookmarkStart w:id="35" w:name="_Toc22487028"/>
      <w:bookmarkStart w:id="36" w:name="_Toc22487147"/>
      <w:bookmarkStart w:id="37" w:name="_Toc443593739"/>
      <w:bookmarkStart w:id="38" w:name="_Toc466921640"/>
      <w:bookmarkEnd w:id="26"/>
      <w:bookmarkEnd w:id="27"/>
      <w:bookmarkEnd w:id="28"/>
    </w:p>
    <w:p w14:paraId="6935B667" w14:textId="77777777" w:rsidR="001D6ED6" w:rsidRPr="001C1A46" w:rsidRDefault="001D6ED6" w:rsidP="0065583E">
      <w:pPr>
        <w:pStyle w:val="Headinglevel1"/>
        <w:spacing w:before="240" w:line="276" w:lineRule="auto"/>
        <w:rPr>
          <w:rFonts w:ascii="Century Gothic" w:hAnsi="Century Gothic"/>
          <w:color w:val="000000" w:themeColor="text1"/>
          <w:szCs w:val="24"/>
        </w:rPr>
      </w:pPr>
    </w:p>
    <w:p w14:paraId="72C06444" w14:textId="3CB790AB" w:rsidR="0057135F" w:rsidRPr="001C1A46" w:rsidRDefault="00BD76D4" w:rsidP="0065583E">
      <w:pPr>
        <w:pStyle w:val="Headinglevel1"/>
        <w:spacing w:before="240" w:line="276" w:lineRule="auto"/>
        <w:rPr>
          <w:rFonts w:ascii="Century Gothic" w:hAnsi="Century Gothic"/>
          <w:color w:val="000000" w:themeColor="text1"/>
          <w:szCs w:val="24"/>
        </w:rPr>
      </w:pPr>
      <w:r w:rsidRPr="001C1A46">
        <w:rPr>
          <w:rFonts w:ascii="Century Gothic" w:hAnsi="Century Gothic"/>
          <w:color w:val="000000" w:themeColor="text1"/>
          <w:szCs w:val="24"/>
        </w:rPr>
        <w:t>General</w:t>
      </w:r>
      <w:r w:rsidR="0057135F" w:rsidRPr="001C1A46">
        <w:rPr>
          <w:rFonts w:ascii="Century Gothic" w:hAnsi="Century Gothic"/>
          <w:color w:val="000000" w:themeColor="text1"/>
          <w:szCs w:val="24"/>
        </w:rPr>
        <w:t xml:space="preserve"> principles</w:t>
      </w:r>
      <w:bookmarkEnd w:id="30"/>
    </w:p>
    <w:p w14:paraId="6C4518BB" w14:textId="16348FAD"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 xml:space="preserve">The head of centre/senior leadership team will appoint a SENCo, or an equivalent member of staff, </w:t>
      </w:r>
      <w:r w:rsidR="001B5CC1">
        <w:rPr>
          <w:rFonts w:ascii="Century Gothic" w:hAnsi="Century Gothic"/>
          <w:b w:val="0"/>
          <w:bCs/>
          <w:color w:val="000000" w:themeColor="text1"/>
          <w:szCs w:val="24"/>
        </w:rPr>
        <w:t>to</w:t>
      </w:r>
      <w:r w:rsidRPr="001C1A46">
        <w:rPr>
          <w:rFonts w:ascii="Century Gothic" w:hAnsi="Century Gothic"/>
          <w:b w:val="0"/>
          <w:bCs/>
          <w:color w:val="000000" w:themeColor="text1"/>
          <w:szCs w:val="24"/>
        </w:rPr>
        <w:t xml:space="preserve"> coordinate the access arrangements process within the centre and determine appropriate arrangements for candidates with learning difficulties and disabilities, </w:t>
      </w:r>
      <w:r w:rsidR="00853BA3">
        <w:rPr>
          <w:rFonts w:ascii="Century Gothic" w:hAnsi="Century Gothic"/>
          <w:b w:val="0"/>
          <w:bCs/>
          <w:color w:val="000000" w:themeColor="text1"/>
          <w:szCs w:val="24"/>
        </w:rPr>
        <w:t xml:space="preserve">those </w:t>
      </w:r>
      <w:r w:rsidRPr="001C1A46">
        <w:rPr>
          <w:rFonts w:ascii="Century Gothic" w:hAnsi="Century Gothic"/>
          <w:b w:val="0"/>
          <w:bCs/>
          <w:color w:val="000000" w:themeColor="text1"/>
          <w:szCs w:val="24"/>
        </w:rPr>
        <w:t xml:space="preserve">for whom English is an additional language, </w:t>
      </w:r>
      <w:r w:rsidR="00853BA3">
        <w:rPr>
          <w:rFonts w:ascii="Century Gothic" w:hAnsi="Century Gothic"/>
          <w:b w:val="0"/>
          <w:bCs/>
          <w:color w:val="000000" w:themeColor="text1"/>
          <w:szCs w:val="24"/>
        </w:rPr>
        <w:t xml:space="preserve">and those </w:t>
      </w:r>
      <w:r w:rsidRPr="001C1A46">
        <w:rPr>
          <w:rFonts w:ascii="Century Gothic" w:hAnsi="Century Gothic"/>
          <w:b w:val="0"/>
          <w:bCs/>
          <w:color w:val="000000" w:themeColor="text1"/>
          <w:szCs w:val="24"/>
        </w:rPr>
        <w:t xml:space="preserve">with a temporary illness or temporary injury. (GR 5.4) </w:t>
      </w:r>
    </w:p>
    <w:p w14:paraId="31D2BE10" w14:textId="5AF9568F"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 xml:space="preserve">The principles for the centre to consider are detailed in </w:t>
      </w:r>
      <w:r w:rsidR="00D92D2F" w:rsidRPr="001C1A46">
        <w:rPr>
          <w:rFonts w:ascii="Century Gothic" w:hAnsi="Century Gothic"/>
          <w:b w:val="0"/>
          <w:bCs/>
          <w:color w:val="000000" w:themeColor="text1"/>
          <w:szCs w:val="24"/>
        </w:rPr>
        <w:t>AARA</w:t>
      </w:r>
      <w:r w:rsidRPr="001C1A46">
        <w:rPr>
          <w:rFonts w:ascii="Century Gothic" w:hAnsi="Century Gothic"/>
          <w:b w:val="0"/>
          <w:bCs/>
          <w:color w:val="000000" w:themeColor="text1"/>
          <w:szCs w:val="24"/>
        </w:rPr>
        <w:t xml:space="preserve"> (4.2). These include:</w:t>
      </w:r>
    </w:p>
    <w:p w14:paraId="7CD236AA" w14:textId="7978950B"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The purpose of an access arrangement/reasonable adjustment is to ensure, where possible, that barriers to assessment are removed for a disabled candidate</w:t>
      </w:r>
      <w:r w:rsidR="00853BA3">
        <w:rPr>
          <w:rFonts w:ascii="Century Gothic" w:hAnsi="Century Gothic"/>
          <w:b w:val="0"/>
          <w:bCs/>
          <w:color w:val="000000" w:themeColor="text1"/>
          <w:szCs w:val="24"/>
        </w:rPr>
        <w:t>,</w:t>
      </w:r>
      <w:r w:rsidRPr="001C1A46">
        <w:rPr>
          <w:rFonts w:ascii="Century Gothic" w:hAnsi="Century Gothic"/>
          <w:b w:val="0"/>
          <w:bCs/>
          <w:color w:val="000000" w:themeColor="text1"/>
          <w:szCs w:val="24"/>
        </w:rPr>
        <w:t xml:space="preserve"> preventing them from being placed at a substantial disadvantage due to persistent and significant difficulties. The integrity of the assessment is maintained, whilst at the same time providing access to assessments for a disabled candidate. </w:t>
      </w:r>
    </w:p>
    <w:p w14:paraId="27880335" w14:textId="77777777"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The SENCo, or an equivalent member of staff, must ensure that the proposed access arrangement/reasonable adjustment does not unfairly disadvantage or advantage the candidate.</w:t>
      </w:r>
    </w:p>
    <w:p w14:paraId="27EFCE04" w14:textId="77777777"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 xml:space="preserve">A centre must make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14:paraId="35BF270D" w14:textId="0182FDBB" w:rsidR="002026FD" w:rsidRPr="001C1A46" w:rsidRDefault="00D208A1" w:rsidP="002026FD">
      <w:pPr>
        <w:pStyle w:val="Headinglevel1"/>
        <w:spacing w:before="240" w:line="276" w:lineRule="auto"/>
        <w:rPr>
          <w:rFonts w:ascii="Century Gothic" w:hAnsi="Century Gothic"/>
          <w:b w:val="0"/>
          <w:bCs/>
          <w:color w:val="000000" w:themeColor="text1"/>
          <w:szCs w:val="24"/>
        </w:rPr>
      </w:pPr>
      <w:r>
        <w:rPr>
          <w:rFonts w:ascii="Century Gothic" w:hAnsi="Century Gothic"/>
          <w:b w:val="0"/>
          <w:bCs/>
          <w:color w:val="000000" w:themeColor="text1"/>
          <w:szCs w:val="24"/>
        </w:rPr>
        <w:t>Application</w:t>
      </w:r>
      <w:r w:rsidR="002026FD" w:rsidRPr="001C1A46">
        <w:rPr>
          <w:rFonts w:ascii="Century Gothic" w:hAnsi="Century Gothic"/>
          <w:b w:val="0"/>
          <w:bCs/>
          <w:color w:val="000000" w:themeColor="text1"/>
          <w:szCs w:val="24"/>
        </w:rPr>
        <w:t xml:space="preserve">s should be processed at the start of </w:t>
      </w:r>
      <w:r>
        <w:rPr>
          <w:rFonts w:ascii="Century Gothic" w:hAnsi="Century Gothic"/>
          <w:b w:val="0"/>
          <w:bCs/>
          <w:color w:val="000000" w:themeColor="text1"/>
          <w:szCs w:val="24"/>
        </w:rPr>
        <w:t>or during the first year of a two-ye</w:t>
      </w:r>
      <w:r w:rsidR="00276340">
        <w:rPr>
          <w:rFonts w:ascii="Century Gothic" w:hAnsi="Century Gothic"/>
          <w:b w:val="0"/>
          <w:bCs/>
          <w:color w:val="000000" w:themeColor="text1"/>
          <w:szCs w:val="24"/>
        </w:rPr>
        <w:t>ar</w:t>
      </w:r>
      <w:r w:rsidR="002026FD" w:rsidRPr="001C1A46">
        <w:rPr>
          <w:rFonts w:ascii="Century Gothic" w:hAnsi="Century Gothic"/>
          <w:b w:val="0"/>
          <w:bCs/>
          <w:color w:val="000000" w:themeColor="text1"/>
          <w:szCs w:val="24"/>
        </w:rPr>
        <w:t xml:space="preserve"> course</w:t>
      </w:r>
      <w:r w:rsidR="00276340">
        <w:rPr>
          <w:rFonts w:ascii="Century Gothic" w:hAnsi="Century Gothic"/>
          <w:b w:val="0"/>
          <w:bCs/>
          <w:color w:val="000000" w:themeColor="text1"/>
          <w:szCs w:val="24"/>
        </w:rPr>
        <w:t xml:space="preserve"> having firmly established a picture of need and normal way of working</w:t>
      </w:r>
      <w:r w:rsidR="002026FD" w:rsidRPr="001C1A46">
        <w:rPr>
          <w:rFonts w:ascii="Century Gothic" w:hAnsi="Century Gothic"/>
          <w:b w:val="0"/>
          <w:bCs/>
          <w:color w:val="000000" w:themeColor="text1"/>
          <w:szCs w:val="24"/>
        </w:rPr>
        <w:t xml:space="preserve">. </w:t>
      </w:r>
    </w:p>
    <w:p w14:paraId="0149EF06" w14:textId="77777777"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lastRenderedPageBreak/>
        <w:t xml:space="preserve">Arrangements </w:t>
      </w:r>
      <w:r w:rsidRPr="001C1A46">
        <w:rPr>
          <w:rFonts w:ascii="Century Gothic" w:hAnsi="Century Gothic"/>
          <w:color w:val="000000" w:themeColor="text1"/>
          <w:szCs w:val="24"/>
        </w:rPr>
        <w:t>must</w:t>
      </w:r>
      <w:r w:rsidRPr="001C1A46">
        <w:rPr>
          <w:rFonts w:ascii="Century Gothic" w:hAnsi="Century Gothic"/>
          <w:b w:val="0"/>
          <w:bCs/>
          <w:color w:val="000000" w:themeColor="text1"/>
          <w:szCs w:val="24"/>
        </w:rPr>
        <w:t xml:space="preserve"> always be approved before an examination or assessment. </w:t>
      </w:r>
    </w:p>
    <w:p w14:paraId="0C636FBB" w14:textId="77777777"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The arrangement(s) put in place must reflect the support given to the candidate in the centre...</w:t>
      </w:r>
    </w:p>
    <w:p w14:paraId="106D98C8" w14:textId="5DC21567" w:rsidR="002026FD" w:rsidRPr="001C1A46" w:rsidRDefault="002026FD" w:rsidP="002026FD">
      <w:pPr>
        <w:pStyle w:val="Headinglevel1"/>
        <w:spacing w:before="240" w:line="276" w:lineRule="auto"/>
        <w:rPr>
          <w:rFonts w:ascii="Century Gothic" w:hAnsi="Century Gothic"/>
          <w:b w:val="0"/>
          <w:bCs/>
          <w:color w:val="000000" w:themeColor="text1"/>
          <w:szCs w:val="24"/>
        </w:rPr>
      </w:pPr>
      <w:r w:rsidRPr="001C1A46">
        <w:rPr>
          <w:rFonts w:ascii="Century Gothic" w:hAnsi="Century Gothic"/>
          <w:b w:val="0"/>
          <w:bCs/>
          <w:color w:val="000000" w:themeColor="text1"/>
          <w:szCs w:val="24"/>
        </w:rPr>
        <w:t xml:space="preserve">The candidate </w:t>
      </w:r>
      <w:r w:rsidRPr="001C1A46">
        <w:rPr>
          <w:rFonts w:ascii="Century Gothic" w:hAnsi="Century Gothic"/>
          <w:color w:val="000000" w:themeColor="text1"/>
          <w:szCs w:val="24"/>
        </w:rPr>
        <w:t>must</w:t>
      </w:r>
      <w:r w:rsidRPr="001C1A46">
        <w:rPr>
          <w:rFonts w:ascii="Century Gothic" w:hAnsi="Century Gothic"/>
          <w:b w:val="0"/>
          <w:bCs/>
          <w:color w:val="000000" w:themeColor="text1"/>
          <w:szCs w:val="24"/>
        </w:rPr>
        <w:t xml:space="preserve"> have had appropriate opportunities to practise using the access arrangement(s)/reasonable adjustment(s) before their first examination.</w:t>
      </w:r>
    </w:p>
    <w:p w14:paraId="13BD9945" w14:textId="77777777" w:rsidR="002026FD" w:rsidRPr="001C1A46" w:rsidRDefault="002026FD" w:rsidP="0065583E">
      <w:pPr>
        <w:pStyle w:val="Headinglevel1"/>
        <w:spacing w:before="240" w:line="276" w:lineRule="auto"/>
        <w:rPr>
          <w:rFonts w:ascii="Century Gothic" w:hAnsi="Century Gothic"/>
          <w:color w:val="000000" w:themeColor="text1"/>
          <w:szCs w:val="24"/>
        </w:rPr>
      </w:pPr>
    </w:p>
    <w:p w14:paraId="58361776" w14:textId="59D371B9" w:rsidR="00844861" w:rsidRPr="001C1A46" w:rsidRDefault="00033626" w:rsidP="0065583E">
      <w:pPr>
        <w:pStyle w:val="Headinglevel1"/>
        <w:spacing w:before="240" w:line="276" w:lineRule="auto"/>
        <w:rPr>
          <w:rFonts w:ascii="Century Gothic" w:hAnsi="Century Gothic"/>
          <w:color w:val="000000" w:themeColor="text1"/>
          <w:szCs w:val="24"/>
        </w:rPr>
      </w:pPr>
      <w:bookmarkStart w:id="39" w:name="_Toc51674459"/>
      <w:r w:rsidRPr="001C1A46">
        <w:rPr>
          <w:rFonts w:ascii="Century Gothic" w:hAnsi="Century Gothic"/>
          <w:color w:val="000000" w:themeColor="text1"/>
          <w:szCs w:val="24"/>
        </w:rPr>
        <w:t>Equalities</w:t>
      </w:r>
      <w:r w:rsidR="00844861" w:rsidRPr="001C1A46">
        <w:rPr>
          <w:rFonts w:ascii="Century Gothic" w:hAnsi="Century Gothic"/>
          <w:color w:val="000000" w:themeColor="text1"/>
          <w:szCs w:val="24"/>
        </w:rPr>
        <w:t xml:space="preserve"> </w:t>
      </w:r>
      <w:r w:rsidR="00072C6F" w:rsidRPr="001C1A46">
        <w:rPr>
          <w:rFonts w:ascii="Century Gothic" w:hAnsi="Century Gothic"/>
          <w:color w:val="000000" w:themeColor="text1"/>
          <w:szCs w:val="24"/>
        </w:rPr>
        <w:t>P</w:t>
      </w:r>
      <w:r w:rsidR="00844861" w:rsidRPr="001C1A46">
        <w:rPr>
          <w:rFonts w:ascii="Century Gothic" w:hAnsi="Century Gothic"/>
          <w:color w:val="000000" w:themeColor="text1"/>
          <w:szCs w:val="24"/>
        </w:rPr>
        <w:t>olicy (</w:t>
      </w:r>
      <w:r w:rsidR="00D32BEF" w:rsidRPr="001C1A46">
        <w:rPr>
          <w:rFonts w:ascii="Century Gothic" w:hAnsi="Century Gothic"/>
          <w:color w:val="000000" w:themeColor="text1"/>
          <w:szCs w:val="24"/>
        </w:rPr>
        <w:t>E</w:t>
      </w:r>
      <w:r w:rsidR="00844861" w:rsidRPr="001C1A46">
        <w:rPr>
          <w:rFonts w:ascii="Century Gothic" w:hAnsi="Century Gothic"/>
          <w:color w:val="000000" w:themeColor="text1"/>
          <w:szCs w:val="24"/>
        </w:rPr>
        <w:t>xams)</w:t>
      </w:r>
      <w:bookmarkEnd w:id="31"/>
      <w:bookmarkEnd w:id="32"/>
      <w:bookmarkEnd w:id="33"/>
      <w:bookmarkEnd w:id="34"/>
      <w:bookmarkEnd w:id="35"/>
      <w:bookmarkEnd w:id="36"/>
      <w:bookmarkEnd w:id="39"/>
    </w:p>
    <w:p w14:paraId="2E2EF6BD" w14:textId="17465EC5" w:rsidR="00844861" w:rsidRPr="001C1A46" w:rsidRDefault="00844861" w:rsidP="0084486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A large part of the access arrangements process is covered in the </w:t>
      </w:r>
      <w:r w:rsidR="00033626" w:rsidRPr="001C1A46">
        <w:rPr>
          <w:rFonts w:ascii="Century Gothic" w:hAnsi="Century Gothic"/>
          <w:color w:val="000000" w:themeColor="text1"/>
          <w:sz w:val="24"/>
          <w:szCs w:val="24"/>
        </w:rPr>
        <w:t>Equalities</w:t>
      </w:r>
      <w:r w:rsidRPr="001C1A46">
        <w:rPr>
          <w:rFonts w:ascii="Century Gothic" w:hAnsi="Century Gothic"/>
          <w:color w:val="000000" w:themeColor="text1"/>
          <w:sz w:val="24"/>
          <w:szCs w:val="24"/>
        </w:rPr>
        <w:t xml:space="preserve"> </w:t>
      </w:r>
      <w:r w:rsidR="0065583E" w:rsidRPr="001C1A46">
        <w:rPr>
          <w:rFonts w:ascii="Century Gothic" w:hAnsi="Century Gothic"/>
          <w:color w:val="000000" w:themeColor="text1"/>
          <w:sz w:val="24"/>
          <w:szCs w:val="24"/>
        </w:rPr>
        <w:t>P</w:t>
      </w:r>
      <w:r w:rsidRPr="001C1A46">
        <w:rPr>
          <w:rFonts w:ascii="Century Gothic" w:hAnsi="Century Gothic"/>
          <w:color w:val="000000" w:themeColor="text1"/>
          <w:sz w:val="24"/>
          <w:szCs w:val="24"/>
        </w:rPr>
        <w:t>olicy (</w:t>
      </w:r>
      <w:r w:rsidR="000C2701" w:rsidRPr="001C1A46">
        <w:rPr>
          <w:rFonts w:ascii="Century Gothic" w:hAnsi="Century Gothic"/>
          <w:color w:val="000000" w:themeColor="text1"/>
          <w:sz w:val="24"/>
          <w:szCs w:val="24"/>
        </w:rPr>
        <w:t>E</w:t>
      </w:r>
      <w:r w:rsidRPr="001C1A46">
        <w:rPr>
          <w:rFonts w:ascii="Century Gothic" w:hAnsi="Century Gothic"/>
          <w:color w:val="000000" w:themeColor="text1"/>
          <w:sz w:val="24"/>
          <w:szCs w:val="24"/>
        </w:rPr>
        <w:t xml:space="preserve">xams) which covers staff roles and responsibilities in identifying the need for, </w:t>
      </w:r>
      <w:r w:rsidR="0038284E" w:rsidRPr="001C1A46">
        <w:rPr>
          <w:rFonts w:ascii="Century Gothic" w:hAnsi="Century Gothic"/>
          <w:color w:val="000000" w:themeColor="text1"/>
          <w:sz w:val="24"/>
          <w:szCs w:val="24"/>
        </w:rPr>
        <w:t>requesting,</w:t>
      </w:r>
      <w:r w:rsidRPr="001C1A46">
        <w:rPr>
          <w:rFonts w:ascii="Century Gothic" w:hAnsi="Century Gothic"/>
          <w:color w:val="000000" w:themeColor="text1"/>
          <w:sz w:val="24"/>
          <w:szCs w:val="24"/>
        </w:rPr>
        <w:t xml:space="preserve"> and implementing access arrangements and the conduct of exams.</w:t>
      </w:r>
    </w:p>
    <w:p w14:paraId="0EEFB832" w14:textId="0760C1D3" w:rsidR="00844861" w:rsidRDefault="001C1A46" w:rsidP="00844861">
      <w:pPr>
        <w:spacing w:line="276" w:lineRule="auto"/>
        <w:jc w:val="both"/>
        <w:rPr>
          <w:rFonts w:ascii="Century Gothic" w:hAnsi="Century Gothic"/>
          <w:color w:val="000000" w:themeColor="text1"/>
          <w:sz w:val="24"/>
          <w:szCs w:val="24"/>
        </w:rPr>
      </w:pPr>
      <w:bookmarkStart w:id="40" w:name="_Toc443593725"/>
      <w:r w:rsidRPr="001C1A46">
        <w:rPr>
          <w:rFonts w:ascii="Century Gothic" w:hAnsi="Century Gothic"/>
          <w:color w:val="000000" w:themeColor="text1"/>
          <w:sz w:val="24"/>
          <w:szCs w:val="24"/>
        </w:rPr>
        <w:t>This</w:t>
      </w:r>
      <w:r w:rsidR="00AF4A4E" w:rsidRPr="001C1A46">
        <w:rPr>
          <w:rFonts w:ascii="Century Gothic" w:hAnsi="Century Gothic"/>
          <w:color w:val="000000" w:themeColor="text1"/>
          <w:sz w:val="24"/>
          <w:szCs w:val="24"/>
        </w:rPr>
        <w:t xml:space="preserve"> </w:t>
      </w:r>
      <w:r w:rsidRPr="001C1A46">
        <w:rPr>
          <w:rFonts w:ascii="Century Gothic" w:hAnsi="Century Gothic"/>
          <w:color w:val="000000" w:themeColor="text1"/>
          <w:sz w:val="24"/>
          <w:szCs w:val="24"/>
        </w:rPr>
        <w:t>policy</w:t>
      </w:r>
      <w:r w:rsidR="00844861" w:rsidRPr="001C1A46">
        <w:rPr>
          <w:rFonts w:ascii="Century Gothic" w:hAnsi="Century Gothic"/>
          <w:color w:val="000000" w:themeColor="text1"/>
          <w:sz w:val="24"/>
          <w:szCs w:val="24"/>
        </w:rPr>
        <w:t xml:space="preserve"> further covers the assessment process and related issues in more detail.</w:t>
      </w:r>
    </w:p>
    <w:p w14:paraId="2A7F03D2" w14:textId="7DAAAB7A" w:rsidR="00F140EE" w:rsidRPr="001C1A46" w:rsidRDefault="00F140EE" w:rsidP="00844861">
      <w:pPr>
        <w:spacing w:line="276" w:lineRule="auto"/>
        <w:jc w:val="both"/>
        <w:rPr>
          <w:rFonts w:ascii="Century Gothic" w:hAnsi="Century Gothic"/>
          <w:color w:val="000000" w:themeColor="text1"/>
          <w:sz w:val="24"/>
          <w:szCs w:val="24"/>
        </w:rPr>
      </w:pPr>
      <w:r>
        <w:rPr>
          <w:rFonts w:ascii="Century Gothic" w:hAnsi="Century Gothic"/>
          <w:color w:val="000000" w:themeColor="text1"/>
          <w:sz w:val="24"/>
          <w:szCs w:val="24"/>
        </w:rPr>
        <w:t>A digital copy of the polic</w:t>
      </w:r>
      <w:r w:rsidR="009D04E2">
        <w:rPr>
          <w:rFonts w:ascii="Century Gothic" w:hAnsi="Century Gothic"/>
          <w:color w:val="000000" w:themeColor="text1"/>
          <w:sz w:val="24"/>
          <w:szCs w:val="24"/>
        </w:rPr>
        <w:t xml:space="preserve">y is in SharePoint, Exams, Policy documents. </w:t>
      </w:r>
    </w:p>
    <w:p w14:paraId="1D7A11CF" w14:textId="78B2B99D" w:rsidR="00844861" w:rsidRPr="001C1A46" w:rsidRDefault="00844861" w:rsidP="0065583E">
      <w:pPr>
        <w:pStyle w:val="Headinglevel1"/>
        <w:spacing w:before="240" w:line="276" w:lineRule="auto"/>
        <w:rPr>
          <w:rFonts w:ascii="Century Gothic" w:hAnsi="Century Gothic"/>
          <w:color w:val="000000" w:themeColor="text1"/>
          <w:szCs w:val="24"/>
        </w:rPr>
      </w:pPr>
      <w:bookmarkStart w:id="41" w:name="_Toc466921631"/>
      <w:bookmarkStart w:id="42" w:name="_Toc490083855"/>
      <w:bookmarkStart w:id="43" w:name="_Toc496088794"/>
      <w:bookmarkStart w:id="44" w:name="_Toc523473885"/>
      <w:bookmarkStart w:id="45" w:name="_Toc22304701"/>
      <w:bookmarkStart w:id="46" w:name="_Toc22487029"/>
      <w:bookmarkStart w:id="47" w:name="_Toc22487148"/>
      <w:bookmarkStart w:id="48" w:name="_Toc51674460"/>
      <w:r w:rsidRPr="001C1A46">
        <w:rPr>
          <w:rFonts w:ascii="Century Gothic" w:hAnsi="Century Gothic"/>
          <w:color w:val="000000" w:themeColor="text1"/>
          <w:szCs w:val="24"/>
        </w:rPr>
        <w:t xml:space="preserve">The assessment </w:t>
      </w:r>
      <w:bookmarkEnd w:id="40"/>
      <w:bookmarkEnd w:id="41"/>
      <w:bookmarkEnd w:id="42"/>
      <w:bookmarkEnd w:id="43"/>
      <w:bookmarkEnd w:id="44"/>
      <w:bookmarkEnd w:id="45"/>
      <w:bookmarkEnd w:id="46"/>
      <w:bookmarkEnd w:id="47"/>
      <w:bookmarkEnd w:id="48"/>
      <w:r w:rsidR="0038284E" w:rsidRPr="001C1A46">
        <w:rPr>
          <w:rFonts w:ascii="Century Gothic" w:hAnsi="Century Gothic"/>
          <w:color w:val="000000" w:themeColor="text1"/>
          <w:szCs w:val="24"/>
        </w:rPr>
        <w:t>processes</w:t>
      </w:r>
    </w:p>
    <w:p w14:paraId="6F09FC27" w14:textId="38697461" w:rsidR="00844861" w:rsidRPr="001C1A46" w:rsidRDefault="00844861" w:rsidP="00844861">
      <w:pPr>
        <w:spacing w:line="276" w:lineRule="auto"/>
        <w:jc w:val="both"/>
        <w:rPr>
          <w:rFonts w:ascii="Century Gothic" w:hAnsi="Century Gothic" w:cs="Arial"/>
          <w:color w:val="000000" w:themeColor="text1"/>
          <w:sz w:val="24"/>
          <w:szCs w:val="24"/>
        </w:rPr>
      </w:pPr>
      <w:r w:rsidRPr="001C1A46">
        <w:rPr>
          <w:rFonts w:ascii="Century Gothic" w:hAnsi="Century Gothic"/>
          <w:color w:val="000000" w:themeColor="text1"/>
          <w:sz w:val="24"/>
          <w:szCs w:val="24"/>
        </w:rPr>
        <w:t xml:space="preserve">Assessments are </w:t>
      </w:r>
      <w:r w:rsidR="00441905" w:rsidRPr="001C1A46">
        <w:rPr>
          <w:rFonts w:ascii="Century Gothic" w:hAnsi="Century Gothic"/>
          <w:color w:val="000000" w:themeColor="text1"/>
          <w:sz w:val="24"/>
          <w:szCs w:val="24"/>
        </w:rPr>
        <w:t>conducted</w:t>
      </w:r>
      <w:r w:rsidRPr="001C1A46">
        <w:rPr>
          <w:rFonts w:ascii="Century Gothic" w:hAnsi="Century Gothic"/>
          <w:color w:val="000000" w:themeColor="text1"/>
          <w:sz w:val="24"/>
          <w:szCs w:val="24"/>
        </w:rPr>
        <w:t xml:space="preserve"> by an assessor(s) appointed by the head of centre</w:t>
      </w:r>
      <w:r w:rsidR="00261B74" w:rsidRPr="001C1A46">
        <w:rPr>
          <w:rFonts w:ascii="Century Gothic" w:hAnsi="Century Gothic"/>
          <w:color w:val="000000" w:themeColor="text1"/>
          <w:sz w:val="24"/>
          <w:szCs w:val="24"/>
        </w:rPr>
        <w:t xml:space="preserve">. </w:t>
      </w:r>
      <w:r w:rsidRPr="001C1A46">
        <w:rPr>
          <w:rFonts w:ascii="Century Gothic" w:hAnsi="Century Gothic"/>
          <w:color w:val="000000" w:themeColor="text1"/>
          <w:sz w:val="24"/>
          <w:szCs w:val="24"/>
        </w:rPr>
        <w:t xml:space="preserve">The assessor(s) is (are) appropriately qualified as required by JCQ regulations in </w:t>
      </w:r>
      <w:hyperlink r:id="rId20" w:history="1">
        <w:r w:rsidR="00D92D2F" w:rsidRPr="001C1A46">
          <w:rPr>
            <w:rStyle w:val="Hyperlink"/>
            <w:rFonts w:ascii="Century Gothic" w:hAnsi="Century Gothic" w:cs="Arial"/>
            <w:color w:val="000000" w:themeColor="text1"/>
            <w:sz w:val="24"/>
            <w:szCs w:val="24"/>
            <w:u w:val="none"/>
          </w:rPr>
          <w:t>AARA</w:t>
        </w:r>
      </w:hyperlink>
      <w:r w:rsidR="00573A5F">
        <w:rPr>
          <w:rStyle w:val="Hyperlink"/>
          <w:rFonts w:ascii="Century Gothic" w:hAnsi="Century Gothic" w:cs="Arial"/>
          <w:color w:val="000000" w:themeColor="text1"/>
          <w:sz w:val="24"/>
          <w:szCs w:val="24"/>
          <w:u w:val="none"/>
        </w:rPr>
        <w:t xml:space="preserve"> </w:t>
      </w:r>
      <w:r w:rsidRPr="001C1A46">
        <w:rPr>
          <w:rFonts w:ascii="Century Gothic" w:hAnsi="Century Gothic" w:cs="Arial"/>
          <w:color w:val="000000" w:themeColor="text1"/>
          <w:sz w:val="24"/>
          <w:szCs w:val="24"/>
        </w:rPr>
        <w:t>7.3.</w:t>
      </w:r>
    </w:p>
    <w:p w14:paraId="7C104FC5" w14:textId="0151397D" w:rsidR="004B5D0D" w:rsidRPr="001C1A46" w:rsidRDefault="00A60D2B" w:rsidP="00844861">
      <w:pPr>
        <w:spacing w:line="276" w:lineRule="auto"/>
        <w:jc w:val="both"/>
        <w:rPr>
          <w:rFonts w:ascii="Century Gothic" w:hAnsi="Century Gothic"/>
          <w:b/>
          <w:bCs/>
          <w:color w:val="000000" w:themeColor="text1"/>
          <w:sz w:val="24"/>
          <w:szCs w:val="24"/>
        </w:rPr>
      </w:pPr>
      <w:r w:rsidRPr="001C1A46">
        <w:rPr>
          <w:rFonts w:ascii="Century Gothic" w:hAnsi="Century Gothic"/>
          <w:b/>
          <w:bCs/>
          <w:color w:val="000000" w:themeColor="text1"/>
          <w:sz w:val="24"/>
          <w:szCs w:val="24"/>
        </w:rPr>
        <w:t>The qualification(s) of the current assessor(s)</w:t>
      </w:r>
    </w:p>
    <w:p w14:paraId="419A1A03" w14:textId="59E2D883" w:rsidR="00F13D37" w:rsidRPr="001C1A46" w:rsidRDefault="00951BA6" w:rsidP="0084486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The current assessor is </w:t>
      </w:r>
      <w:r w:rsidR="00BF250C" w:rsidRPr="001C1A46">
        <w:rPr>
          <w:rFonts w:ascii="Century Gothic" w:hAnsi="Century Gothic"/>
          <w:color w:val="000000" w:themeColor="text1"/>
          <w:sz w:val="24"/>
          <w:szCs w:val="24"/>
        </w:rPr>
        <w:t>a member</w:t>
      </w:r>
      <w:r w:rsidRPr="001C1A46">
        <w:rPr>
          <w:rFonts w:ascii="Century Gothic" w:hAnsi="Century Gothic"/>
          <w:color w:val="000000" w:themeColor="text1"/>
          <w:sz w:val="24"/>
          <w:szCs w:val="24"/>
        </w:rPr>
        <w:t xml:space="preserve"> of</w:t>
      </w:r>
      <w:r w:rsidR="002E6CAE">
        <w:rPr>
          <w:rFonts w:ascii="Century Gothic" w:hAnsi="Century Gothic"/>
          <w:color w:val="000000" w:themeColor="text1"/>
          <w:sz w:val="24"/>
          <w:szCs w:val="24"/>
        </w:rPr>
        <w:t xml:space="preserve"> school</w:t>
      </w:r>
      <w:r w:rsidRPr="001C1A46">
        <w:rPr>
          <w:rFonts w:ascii="Century Gothic" w:hAnsi="Century Gothic"/>
          <w:color w:val="000000" w:themeColor="text1"/>
          <w:sz w:val="24"/>
          <w:szCs w:val="24"/>
        </w:rPr>
        <w:t xml:space="preserve"> staff who holds </w:t>
      </w:r>
      <w:r w:rsidRPr="001C1A46">
        <w:rPr>
          <w:rFonts w:ascii="Century Gothic" w:hAnsi="Century Gothic"/>
          <w:sz w:val="24"/>
          <w:szCs w:val="24"/>
        </w:rPr>
        <w:t>a level 7 qualification called CPT3A  Certificate in Psychometric Testing, Assessment and Access Arrangements</w:t>
      </w:r>
    </w:p>
    <w:p w14:paraId="27FD824A" w14:textId="5723D0A5" w:rsidR="00844861" w:rsidRPr="001C1A46" w:rsidRDefault="00844861" w:rsidP="0065583E">
      <w:pPr>
        <w:pStyle w:val="Headinglevel2"/>
        <w:spacing w:before="240" w:after="120" w:line="276" w:lineRule="auto"/>
        <w:rPr>
          <w:rFonts w:ascii="Century Gothic" w:hAnsi="Century Gothic"/>
          <w:color w:val="000000" w:themeColor="text1"/>
          <w:sz w:val="24"/>
        </w:rPr>
      </w:pPr>
      <w:bookmarkStart w:id="49" w:name="_Toc523473887"/>
      <w:bookmarkStart w:id="50" w:name="_Toc22304703"/>
      <w:bookmarkStart w:id="51" w:name="_Toc22487031"/>
      <w:bookmarkStart w:id="52" w:name="_Toc22487150"/>
      <w:bookmarkStart w:id="53" w:name="_Toc51674462"/>
      <w:bookmarkStart w:id="54" w:name="_Toc466921632"/>
      <w:bookmarkStart w:id="55" w:name="_Toc490083857"/>
      <w:bookmarkStart w:id="56" w:name="_Toc496088796"/>
      <w:r w:rsidRPr="001C1A46">
        <w:rPr>
          <w:rFonts w:ascii="Century Gothic" w:hAnsi="Century Gothic"/>
          <w:color w:val="000000" w:themeColor="text1"/>
          <w:sz w:val="24"/>
        </w:rPr>
        <w:t xml:space="preserve">Appointment of assessors </w:t>
      </w:r>
      <w:bookmarkEnd w:id="49"/>
      <w:bookmarkEnd w:id="50"/>
      <w:bookmarkEnd w:id="51"/>
      <w:bookmarkEnd w:id="52"/>
      <w:bookmarkEnd w:id="53"/>
    </w:p>
    <w:p w14:paraId="437C1465" w14:textId="6074BAF9" w:rsidR="00844861" w:rsidRPr="001C1A46" w:rsidRDefault="00844861" w:rsidP="0084486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At the point an assessor is engaged in the centre, evidence of the assessor’s qualification is obtained and checked against the current requirements in </w:t>
      </w:r>
      <w:hyperlink r:id="rId21" w:history="1">
        <w:r w:rsidR="00D92D2F" w:rsidRPr="001C1A46">
          <w:rPr>
            <w:rStyle w:val="Hyperlink"/>
            <w:rFonts w:ascii="Century Gothic" w:hAnsi="Century Gothic" w:cs="Arial"/>
            <w:color w:val="000000" w:themeColor="text1"/>
            <w:sz w:val="24"/>
            <w:szCs w:val="24"/>
            <w:u w:val="none"/>
          </w:rPr>
          <w:t>AARA</w:t>
        </w:r>
      </w:hyperlink>
      <w:r w:rsidRPr="001C1A46">
        <w:rPr>
          <w:rFonts w:ascii="Century Gothic" w:hAnsi="Century Gothic"/>
          <w:color w:val="000000" w:themeColor="text1"/>
          <w:sz w:val="24"/>
          <w:szCs w:val="24"/>
        </w:rPr>
        <w:t xml:space="preserve">. This process is </w:t>
      </w:r>
      <w:r w:rsidR="00441905" w:rsidRPr="001C1A46">
        <w:rPr>
          <w:rFonts w:ascii="Century Gothic" w:hAnsi="Century Gothic"/>
          <w:color w:val="000000" w:themeColor="text1"/>
          <w:sz w:val="24"/>
          <w:szCs w:val="24"/>
        </w:rPr>
        <w:t>conducted</w:t>
      </w:r>
      <w:r w:rsidRPr="001C1A46">
        <w:rPr>
          <w:rFonts w:ascii="Century Gothic" w:hAnsi="Century Gothic"/>
          <w:color w:val="000000" w:themeColor="text1"/>
          <w:sz w:val="24"/>
          <w:szCs w:val="24"/>
        </w:rPr>
        <w:t xml:space="preserve"> prior to the assessor undertaking any assessment of a candidate. </w:t>
      </w:r>
    </w:p>
    <w:p w14:paraId="18471A62" w14:textId="491C4CD4" w:rsidR="00BB55FF" w:rsidRPr="001C1A46" w:rsidRDefault="00BB55FF" w:rsidP="00844861">
      <w:pPr>
        <w:spacing w:line="276" w:lineRule="auto"/>
        <w:jc w:val="both"/>
        <w:rPr>
          <w:rFonts w:ascii="Century Gothic" w:hAnsi="Century Gothic"/>
          <w:b/>
          <w:bCs/>
          <w:color w:val="000000" w:themeColor="text1"/>
          <w:sz w:val="24"/>
          <w:szCs w:val="24"/>
          <w:u w:val="single"/>
        </w:rPr>
      </w:pPr>
      <w:r w:rsidRPr="001C1A46">
        <w:rPr>
          <w:rFonts w:ascii="Century Gothic" w:hAnsi="Century Gothic"/>
          <w:b/>
          <w:bCs/>
          <w:color w:val="000000" w:themeColor="text1"/>
          <w:sz w:val="24"/>
          <w:szCs w:val="24"/>
          <w:u w:val="single"/>
        </w:rPr>
        <w:t>A</w:t>
      </w:r>
      <w:r w:rsidR="00D368BB" w:rsidRPr="001C1A46">
        <w:rPr>
          <w:rFonts w:ascii="Century Gothic" w:hAnsi="Century Gothic"/>
          <w:b/>
          <w:bCs/>
          <w:color w:val="000000" w:themeColor="text1"/>
          <w:sz w:val="24"/>
          <w:szCs w:val="24"/>
          <w:u w:val="single"/>
        </w:rPr>
        <w:t xml:space="preserve"> copy of the qualifications of the appointed assessor will be held on</w:t>
      </w:r>
      <w:r w:rsidR="004E57AA" w:rsidRPr="001C1A46">
        <w:rPr>
          <w:rFonts w:ascii="Century Gothic" w:hAnsi="Century Gothic"/>
          <w:b/>
          <w:bCs/>
          <w:color w:val="000000" w:themeColor="text1"/>
          <w:sz w:val="24"/>
          <w:szCs w:val="24"/>
          <w:u w:val="single"/>
        </w:rPr>
        <w:t xml:space="preserve"> school</w:t>
      </w:r>
      <w:r w:rsidR="00D368BB" w:rsidRPr="001C1A46">
        <w:rPr>
          <w:rFonts w:ascii="Century Gothic" w:hAnsi="Century Gothic"/>
          <w:b/>
          <w:bCs/>
          <w:color w:val="000000" w:themeColor="text1"/>
          <w:sz w:val="24"/>
          <w:szCs w:val="24"/>
          <w:u w:val="single"/>
        </w:rPr>
        <w:t xml:space="preserve"> electronic storage </w:t>
      </w:r>
    </w:p>
    <w:p w14:paraId="3862AD22" w14:textId="6D300C66" w:rsidR="001E0C9D" w:rsidRDefault="001E0C9D" w:rsidP="00844861">
      <w:pPr>
        <w:spacing w:line="276" w:lineRule="auto"/>
        <w:jc w:val="both"/>
        <w:rPr>
          <w:rFonts w:ascii="Century Gothic" w:hAnsi="Century Gothic"/>
          <w:sz w:val="24"/>
          <w:szCs w:val="24"/>
        </w:rPr>
      </w:pPr>
      <w:r w:rsidRPr="001C1A46">
        <w:rPr>
          <w:rFonts w:ascii="Century Gothic" w:hAnsi="Century Gothic"/>
          <w:sz w:val="24"/>
          <w:szCs w:val="24"/>
        </w:rPr>
        <w:t xml:space="preserve">Heads of centre must satisfy themselves that a professional does have the required level of </w:t>
      </w:r>
      <w:r w:rsidR="00B758C6">
        <w:rPr>
          <w:rFonts w:ascii="Century Gothic" w:hAnsi="Century Gothic"/>
          <w:sz w:val="24"/>
          <w:szCs w:val="24"/>
        </w:rPr>
        <w:t xml:space="preserve">qualification, </w:t>
      </w:r>
      <w:r w:rsidRPr="001C1A46">
        <w:rPr>
          <w:rFonts w:ascii="Century Gothic" w:hAnsi="Century Gothic"/>
          <w:sz w:val="24"/>
          <w:szCs w:val="24"/>
        </w:rPr>
        <w:t>competence and training</w:t>
      </w:r>
      <w:r w:rsidR="00B758C6">
        <w:rPr>
          <w:rFonts w:ascii="Century Gothic" w:hAnsi="Century Gothic"/>
          <w:sz w:val="24"/>
          <w:szCs w:val="24"/>
        </w:rPr>
        <w:t xml:space="preserve"> </w:t>
      </w:r>
      <w:r w:rsidR="00F909FA">
        <w:rPr>
          <w:rFonts w:ascii="Century Gothic" w:hAnsi="Century Gothic"/>
          <w:sz w:val="24"/>
          <w:szCs w:val="24"/>
        </w:rPr>
        <w:t xml:space="preserve">in all areas </w:t>
      </w:r>
      <w:r w:rsidR="00B758C6">
        <w:rPr>
          <w:rFonts w:ascii="Century Gothic" w:hAnsi="Century Gothic"/>
          <w:sz w:val="24"/>
          <w:szCs w:val="24"/>
        </w:rPr>
        <w:t xml:space="preserve">as </w:t>
      </w:r>
      <w:r w:rsidR="00B776F9">
        <w:rPr>
          <w:rFonts w:ascii="Century Gothic" w:hAnsi="Century Gothic"/>
          <w:sz w:val="24"/>
          <w:szCs w:val="24"/>
        </w:rPr>
        <w:t>referenced in AARA 7.3 appointment of assessors</w:t>
      </w:r>
      <w:r w:rsidR="005F352D">
        <w:rPr>
          <w:rFonts w:ascii="Century Gothic" w:hAnsi="Century Gothic"/>
          <w:sz w:val="24"/>
          <w:szCs w:val="24"/>
        </w:rPr>
        <w:t>.</w:t>
      </w:r>
    </w:p>
    <w:p w14:paraId="2194FD6E" w14:textId="55D4AD94" w:rsidR="005F352D" w:rsidRDefault="005F352D" w:rsidP="00844861">
      <w:pPr>
        <w:spacing w:line="276" w:lineRule="auto"/>
        <w:jc w:val="both"/>
        <w:rPr>
          <w:rFonts w:ascii="Century Gothic" w:hAnsi="Century Gothic"/>
          <w:sz w:val="24"/>
          <w:szCs w:val="24"/>
        </w:rPr>
      </w:pPr>
      <w:r>
        <w:rPr>
          <w:rFonts w:ascii="Century Gothic" w:hAnsi="Century Gothic"/>
          <w:color w:val="000000" w:themeColor="text1"/>
          <w:sz w:val="24"/>
          <w:szCs w:val="24"/>
        </w:rPr>
        <w:t xml:space="preserve">A digital copy of the </w:t>
      </w:r>
      <w:r w:rsidR="00FB3286">
        <w:rPr>
          <w:rFonts w:ascii="Century Gothic" w:hAnsi="Century Gothic"/>
          <w:color w:val="000000" w:themeColor="text1"/>
          <w:sz w:val="24"/>
          <w:szCs w:val="24"/>
        </w:rPr>
        <w:t>BBS Qualifications of the Centre’s AA assessor check document</w:t>
      </w:r>
      <w:r>
        <w:rPr>
          <w:rFonts w:ascii="Century Gothic" w:hAnsi="Century Gothic"/>
          <w:color w:val="000000" w:themeColor="text1"/>
          <w:sz w:val="24"/>
          <w:szCs w:val="24"/>
        </w:rPr>
        <w:t xml:space="preserve"> is in SharePoint, Exams, Policy documents.</w:t>
      </w:r>
    </w:p>
    <w:p w14:paraId="6D636518" w14:textId="77777777" w:rsidR="005F352D" w:rsidRPr="001C1A46" w:rsidRDefault="005F352D" w:rsidP="00844861">
      <w:pPr>
        <w:spacing w:line="276" w:lineRule="auto"/>
        <w:jc w:val="both"/>
        <w:rPr>
          <w:rFonts w:ascii="Century Gothic" w:hAnsi="Century Gothic"/>
          <w:color w:val="000000" w:themeColor="text1"/>
          <w:sz w:val="24"/>
          <w:szCs w:val="24"/>
        </w:rPr>
      </w:pPr>
    </w:p>
    <w:p w14:paraId="3BFF47FF" w14:textId="5E3F710F" w:rsidR="003B25A1" w:rsidRPr="001C1A46" w:rsidRDefault="00F11DC7" w:rsidP="003B25A1">
      <w:pPr>
        <w:rPr>
          <w:rFonts w:ascii="Century Gothic" w:hAnsi="Century Gothic"/>
          <w:sz w:val="24"/>
          <w:szCs w:val="24"/>
        </w:rPr>
      </w:pPr>
      <w:r w:rsidRPr="001C1A46">
        <w:rPr>
          <w:rFonts w:ascii="Century Gothic" w:hAnsi="Century Gothic"/>
          <w:color w:val="000000" w:themeColor="text1"/>
          <w:sz w:val="24"/>
          <w:szCs w:val="24"/>
        </w:rPr>
        <w:t xml:space="preserve">The current assessor is </w:t>
      </w:r>
      <w:r w:rsidR="00BF250C" w:rsidRPr="001C1A46">
        <w:rPr>
          <w:rFonts w:ascii="Century Gothic" w:hAnsi="Century Gothic"/>
          <w:color w:val="000000" w:themeColor="text1"/>
          <w:sz w:val="24"/>
          <w:szCs w:val="24"/>
        </w:rPr>
        <w:t>a member</w:t>
      </w:r>
      <w:r w:rsidRPr="001C1A46">
        <w:rPr>
          <w:rFonts w:ascii="Century Gothic" w:hAnsi="Century Gothic"/>
          <w:color w:val="000000" w:themeColor="text1"/>
          <w:sz w:val="24"/>
          <w:szCs w:val="24"/>
        </w:rPr>
        <w:t xml:space="preserve"> of s</w:t>
      </w:r>
      <w:r w:rsidR="00BF250C">
        <w:rPr>
          <w:rFonts w:ascii="Century Gothic" w:hAnsi="Century Gothic"/>
          <w:color w:val="000000" w:themeColor="text1"/>
          <w:sz w:val="24"/>
          <w:szCs w:val="24"/>
        </w:rPr>
        <w:t>chool s</w:t>
      </w:r>
      <w:r w:rsidRPr="001C1A46">
        <w:rPr>
          <w:rFonts w:ascii="Century Gothic" w:hAnsi="Century Gothic"/>
          <w:color w:val="000000" w:themeColor="text1"/>
          <w:sz w:val="24"/>
          <w:szCs w:val="24"/>
        </w:rPr>
        <w:t xml:space="preserve">taff who holds </w:t>
      </w:r>
      <w:r w:rsidR="003B25A1" w:rsidRPr="001C1A46">
        <w:rPr>
          <w:rFonts w:ascii="Century Gothic" w:hAnsi="Century Gothic"/>
          <w:sz w:val="24"/>
          <w:szCs w:val="24"/>
        </w:rPr>
        <w:t>a level 7 qualification called CPT3A  Certificate in Psychometric Testing, Assessment and Access Arrangements.</w:t>
      </w:r>
    </w:p>
    <w:p w14:paraId="54D5E34A" w14:textId="4B79D961" w:rsidR="00F11DC7" w:rsidRPr="001C1A46" w:rsidRDefault="00F11DC7" w:rsidP="00844861">
      <w:pPr>
        <w:spacing w:line="276" w:lineRule="auto"/>
        <w:jc w:val="both"/>
        <w:rPr>
          <w:rFonts w:ascii="Century Gothic" w:hAnsi="Century Gothic"/>
          <w:color w:val="000000" w:themeColor="text1"/>
          <w:sz w:val="24"/>
          <w:szCs w:val="24"/>
        </w:rPr>
      </w:pPr>
    </w:p>
    <w:p w14:paraId="59AA4706" w14:textId="340B541F" w:rsidR="009747C7" w:rsidRDefault="000F566D" w:rsidP="008463CD">
      <w:pPr>
        <w:keepNext/>
        <w:spacing w:before="240" w:line="276" w:lineRule="auto"/>
        <w:outlineLvl w:val="1"/>
        <w:rPr>
          <w:rFonts w:ascii="Century Gothic" w:eastAsia="Times New Roman" w:hAnsi="Century Gothic" w:cs="Times New Roman"/>
          <w:b/>
          <w:color w:val="000000" w:themeColor="text1"/>
          <w:sz w:val="24"/>
          <w:szCs w:val="24"/>
        </w:rPr>
      </w:pPr>
      <w:bookmarkStart w:id="57" w:name="_Toc523473888"/>
      <w:bookmarkStart w:id="58" w:name="_Toc22304704"/>
      <w:bookmarkStart w:id="59" w:name="_Toc22487032"/>
      <w:bookmarkStart w:id="60" w:name="_Toc22487151"/>
      <w:bookmarkStart w:id="61" w:name="_Toc113029748"/>
      <w:r w:rsidRPr="001C1A46">
        <w:rPr>
          <w:rFonts w:ascii="Century Gothic" w:eastAsia="Times New Roman" w:hAnsi="Century Gothic" w:cs="Times New Roman"/>
          <w:b/>
          <w:color w:val="000000" w:themeColor="text1"/>
          <w:sz w:val="24"/>
          <w:szCs w:val="24"/>
        </w:rPr>
        <w:lastRenderedPageBreak/>
        <w:t>Process for the assessment of a candidate’s learning difficulties by an assessor</w:t>
      </w:r>
      <w:bookmarkEnd w:id="57"/>
      <w:bookmarkEnd w:id="58"/>
      <w:bookmarkEnd w:id="59"/>
      <w:bookmarkEnd w:id="60"/>
      <w:bookmarkEnd w:id="61"/>
      <w:r w:rsidRPr="001C1A46">
        <w:rPr>
          <w:rFonts w:ascii="Century Gothic" w:eastAsia="Times New Roman" w:hAnsi="Century Gothic" w:cs="Times New Roman"/>
          <w:b/>
          <w:color w:val="000000" w:themeColor="text1"/>
          <w:sz w:val="24"/>
          <w:szCs w:val="24"/>
        </w:rPr>
        <w:t xml:space="preserve"> </w:t>
      </w:r>
      <w:r w:rsidR="008463CD" w:rsidRPr="001C1A46">
        <w:rPr>
          <w:rFonts w:ascii="Century Gothic" w:eastAsia="Times New Roman" w:hAnsi="Century Gothic" w:cs="Times New Roman"/>
          <w:b/>
          <w:color w:val="000000" w:themeColor="text1"/>
          <w:sz w:val="24"/>
          <w:szCs w:val="24"/>
        </w:rPr>
        <w:t xml:space="preserve">and </w:t>
      </w:r>
      <w:bookmarkStart w:id="62" w:name="_Toc443593728"/>
      <w:bookmarkStart w:id="63" w:name="_Toc466921635"/>
      <w:bookmarkStart w:id="64" w:name="_Toc490083860"/>
      <w:bookmarkStart w:id="65" w:name="_Toc496088799"/>
      <w:bookmarkStart w:id="66" w:name="_Toc523473889"/>
      <w:bookmarkStart w:id="67" w:name="_Toc22304705"/>
      <w:bookmarkStart w:id="68" w:name="_Toc22487033"/>
      <w:bookmarkStart w:id="69" w:name="_Toc22487152"/>
      <w:bookmarkStart w:id="70" w:name="_Toc51674464"/>
      <w:bookmarkEnd w:id="54"/>
      <w:bookmarkEnd w:id="55"/>
      <w:bookmarkEnd w:id="56"/>
      <w:r w:rsidR="001C1A46" w:rsidRPr="001C1A46">
        <w:rPr>
          <w:rFonts w:ascii="Century Gothic" w:eastAsia="Times New Roman" w:hAnsi="Century Gothic" w:cs="Times New Roman"/>
          <w:b/>
          <w:color w:val="000000" w:themeColor="text1"/>
          <w:sz w:val="24"/>
          <w:szCs w:val="24"/>
        </w:rPr>
        <w:t>painting</w:t>
      </w:r>
      <w:r w:rsidR="00844861" w:rsidRPr="001C1A46">
        <w:rPr>
          <w:rFonts w:ascii="Century Gothic" w:eastAsia="Times New Roman" w:hAnsi="Century Gothic" w:cs="Times New Roman"/>
          <w:b/>
          <w:color w:val="000000" w:themeColor="text1"/>
          <w:sz w:val="24"/>
          <w:szCs w:val="24"/>
        </w:rPr>
        <w:t xml:space="preserve"> a </w:t>
      </w:r>
      <w:r w:rsidR="009747C7" w:rsidRPr="001C1A46">
        <w:rPr>
          <w:rFonts w:ascii="Century Gothic" w:eastAsia="Times New Roman" w:hAnsi="Century Gothic" w:cs="Times New Roman"/>
          <w:b/>
          <w:color w:val="000000" w:themeColor="text1"/>
          <w:sz w:val="24"/>
          <w:szCs w:val="24"/>
        </w:rPr>
        <w:t xml:space="preserve">‘holistic </w:t>
      </w:r>
      <w:r w:rsidR="00844861" w:rsidRPr="001C1A46">
        <w:rPr>
          <w:rFonts w:ascii="Century Gothic" w:eastAsia="Times New Roman" w:hAnsi="Century Gothic" w:cs="Times New Roman"/>
          <w:b/>
          <w:color w:val="000000" w:themeColor="text1"/>
          <w:sz w:val="24"/>
          <w:szCs w:val="24"/>
        </w:rPr>
        <w:t>picture of need</w:t>
      </w:r>
      <w:r w:rsidR="00261B74" w:rsidRPr="001C1A46">
        <w:rPr>
          <w:rFonts w:ascii="Century Gothic" w:eastAsia="Times New Roman" w:hAnsi="Century Gothic" w:cs="Times New Roman"/>
          <w:b/>
          <w:color w:val="000000" w:themeColor="text1"/>
          <w:sz w:val="24"/>
          <w:szCs w:val="24"/>
        </w:rPr>
        <w:t>,’</w:t>
      </w:r>
      <w:r w:rsidR="00844861" w:rsidRPr="001C1A46">
        <w:rPr>
          <w:rFonts w:ascii="Century Gothic" w:eastAsia="Times New Roman" w:hAnsi="Century Gothic" w:cs="Times New Roman"/>
          <w:b/>
          <w:color w:val="000000" w:themeColor="text1"/>
          <w:sz w:val="24"/>
          <w:szCs w:val="24"/>
        </w:rPr>
        <w:t xml:space="preserve"> </w:t>
      </w:r>
      <w:bookmarkEnd w:id="62"/>
      <w:bookmarkEnd w:id="63"/>
      <w:bookmarkEnd w:id="64"/>
      <w:bookmarkEnd w:id="65"/>
      <w:bookmarkEnd w:id="66"/>
      <w:bookmarkEnd w:id="67"/>
      <w:bookmarkEnd w:id="68"/>
      <w:bookmarkEnd w:id="69"/>
      <w:r w:rsidR="009747C7" w:rsidRPr="001C1A46">
        <w:rPr>
          <w:rFonts w:ascii="Century Gothic" w:eastAsia="Times New Roman" w:hAnsi="Century Gothic" w:cs="Times New Roman"/>
          <w:b/>
          <w:color w:val="000000" w:themeColor="text1"/>
          <w:sz w:val="24"/>
          <w:szCs w:val="24"/>
        </w:rPr>
        <w:t>confirming normal way of working</w:t>
      </w:r>
      <w:bookmarkEnd w:id="70"/>
    </w:p>
    <w:p w14:paraId="2A521FD8" w14:textId="77777777" w:rsidR="004E61A2" w:rsidRPr="004E61A2" w:rsidRDefault="004E61A2" w:rsidP="004E61A2">
      <w:pPr>
        <w:spacing w:line="276" w:lineRule="auto"/>
        <w:jc w:val="both"/>
        <w:rPr>
          <w:rFonts w:ascii="Century Gothic" w:hAnsi="Century Gothic"/>
          <w:color w:val="000000" w:themeColor="text1"/>
          <w:sz w:val="24"/>
          <w:szCs w:val="24"/>
        </w:rPr>
      </w:pPr>
    </w:p>
    <w:p w14:paraId="7B7BDFB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The SENCo must arrange for the candidate to be assessed by the centre’s appointed </w:t>
      </w:r>
    </w:p>
    <w:p w14:paraId="5A417233" w14:textId="77777777" w:rsid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assessor. </w:t>
      </w:r>
    </w:p>
    <w:p w14:paraId="1BC6F3C2" w14:textId="7D9B2093"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Before the candidate’s assessment, the SENCo must provide the assessor with </w:t>
      </w:r>
    </w:p>
    <w:p w14:paraId="3A821C2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background information, i.e. a picture of need has been painted, as required in </w:t>
      </w:r>
    </w:p>
    <w:p w14:paraId="2C7F4410"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Part 1 of Form 8. The SENCo and the assessor must work together to ensure a </w:t>
      </w:r>
    </w:p>
    <w:p w14:paraId="2962D442" w14:textId="3FE4FB09" w:rsidR="004E61A2" w:rsidRPr="004E61A2" w:rsidRDefault="005675C3"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joined up</w:t>
      </w:r>
      <w:r w:rsidR="004E61A2" w:rsidRPr="004E61A2">
        <w:rPr>
          <w:rFonts w:ascii="Century Gothic" w:hAnsi="Century Gothic"/>
          <w:color w:val="000000" w:themeColor="text1"/>
          <w:sz w:val="24"/>
          <w:szCs w:val="24"/>
        </w:rPr>
        <w:t xml:space="preserve"> and consistent process.</w:t>
      </w:r>
    </w:p>
    <w:p w14:paraId="4F75B587" w14:textId="433DA5E2"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The assessor is required to establish if the results of tests in literacy and/or </w:t>
      </w:r>
    </w:p>
    <w:p w14:paraId="71C1D5CE"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cognitive abilities present evidence that the candidate has an impairment which </w:t>
      </w:r>
    </w:p>
    <w:p w14:paraId="343430E7"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substantially affects their performance.</w:t>
      </w:r>
    </w:p>
    <w:p w14:paraId="5144EB81" w14:textId="2F1199F5"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Assessors must personally conduct the assessments. They must not sign off </w:t>
      </w:r>
    </w:p>
    <w:p w14:paraId="5C0B88AE" w14:textId="1EB63393"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assessments </w:t>
      </w:r>
      <w:r w:rsidR="00441905" w:rsidRPr="004E61A2">
        <w:rPr>
          <w:rFonts w:ascii="Century Gothic" w:hAnsi="Century Gothic"/>
          <w:color w:val="000000" w:themeColor="text1"/>
          <w:sz w:val="24"/>
          <w:szCs w:val="24"/>
        </w:rPr>
        <w:t>conducted</w:t>
      </w:r>
      <w:r w:rsidRPr="004E61A2">
        <w:rPr>
          <w:rFonts w:ascii="Century Gothic" w:hAnsi="Century Gothic"/>
          <w:color w:val="000000" w:themeColor="text1"/>
          <w:sz w:val="24"/>
          <w:szCs w:val="24"/>
        </w:rPr>
        <w:t xml:space="preserve"> by another professional.</w:t>
      </w:r>
    </w:p>
    <w:p w14:paraId="41876CBA" w14:textId="4F927E94"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The assessor must </w:t>
      </w:r>
      <w:r w:rsidR="00441905" w:rsidRPr="004E61A2">
        <w:rPr>
          <w:rFonts w:ascii="Century Gothic" w:hAnsi="Century Gothic"/>
          <w:color w:val="000000" w:themeColor="text1"/>
          <w:sz w:val="24"/>
          <w:szCs w:val="24"/>
        </w:rPr>
        <w:t>conduct</w:t>
      </w:r>
      <w:r w:rsidRPr="004E61A2">
        <w:rPr>
          <w:rFonts w:ascii="Century Gothic" w:hAnsi="Century Gothic"/>
          <w:color w:val="000000" w:themeColor="text1"/>
          <w:sz w:val="24"/>
          <w:szCs w:val="24"/>
        </w:rPr>
        <w:t xml:space="preserve"> tests which are relevant to support the application.</w:t>
      </w:r>
    </w:p>
    <w:p w14:paraId="0362FC88" w14:textId="6E3864F6"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Current editions of nationally standardised tests which produce standardised </w:t>
      </w:r>
    </w:p>
    <w:p w14:paraId="077EA28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scores must be used, where published.</w:t>
      </w:r>
    </w:p>
    <w:p w14:paraId="202E0CEE" w14:textId="048627C2"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a computer-based assessment tool is used to gather assessment evidence </w:t>
      </w:r>
    </w:p>
    <w:p w14:paraId="21B2D1E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for Part 2 of Form 8, a suitably qualified assessor (see paragraph 7.3.4) must be </w:t>
      </w:r>
    </w:p>
    <w:p w14:paraId="642BD47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present to oversee the test’s computerised administration, actively observe the </w:t>
      </w:r>
    </w:p>
    <w:p w14:paraId="00831754"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candidate and monitor the candidate’s engagement with the assessment.</w:t>
      </w:r>
    </w:p>
    <w:p w14:paraId="40229E2C" w14:textId="16C64F8F"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The candidate’s chronological age must be less than the ‘ceiling’ of the test, unless </w:t>
      </w:r>
    </w:p>
    <w:p w14:paraId="0B1AE1B8"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there is no published test for the candidate’s age.</w:t>
      </w:r>
    </w:p>
    <w:p w14:paraId="62B22E52" w14:textId="46CF38E4"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Results must be given as standardised scores which use a mean of 100 and a </w:t>
      </w:r>
    </w:p>
    <w:p w14:paraId="68A7EEC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standard deviation of 15. (These are standard scores.) Standardised scores of 84 or </w:t>
      </w:r>
    </w:p>
    <w:p w14:paraId="0D7F62B2" w14:textId="6F9EE912"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less are described as ‘below average</w:t>
      </w:r>
      <w:r w:rsidR="00261B74" w:rsidRPr="004E61A2">
        <w:rPr>
          <w:rFonts w:ascii="Century Gothic" w:hAnsi="Century Gothic"/>
          <w:color w:val="000000" w:themeColor="text1"/>
          <w:sz w:val="24"/>
          <w:szCs w:val="24"/>
        </w:rPr>
        <w:t>.’</w:t>
      </w:r>
      <w:r w:rsidRPr="004E61A2">
        <w:rPr>
          <w:rFonts w:ascii="Century Gothic" w:hAnsi="Century Gothic"/>
          <w:color w:val="000000" w:themeColor="text1"/>
          <w:sz w:val="24"/>
          <w:szCs w:val="24"/>
        </w:rPr>
        <w:t xml:space="preserve"> Standardised scores of 85–89 are described as </w:t>
      </w:r>
    </w:p>
    <w:p w14:paraId="6AF9EE73" w14:textId="0FEAD305"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w:t>
      </w:r>
      <w:r w:rsidR="005675C3" w:rsidRPr="004E61A2">
        <w:rPr>
          <w:rFonts w:ascii="Century Gothic" w:hAnsi="Century Gothic"/>
          <w:color w:val="000000" w:themeColor="text1"/>
          <w:sz w:val="24"/>
          <w:szCs w:val="24"/>
        </w:rPr>
        <w:t>Low</w:t>
      </w:r>
      <w:r w:rsidRPr="004E61A2">
        <w:rPr>
          <w:rFonts w:ascii="Century Gothic" w:hAnsi="Century Gothic"/>
          <w:color w:val="000000" w:themeColor="text1"/>
          <w:sz w:val="24"/>
          <w:szCs w:val="24"/>
        </w:rPr>
        <w:t xml:space="preserve"> average</w:t>
      </w:r>
      <w:r w:rsidR="00261B74" w:rsidRPr="004E61A2">
        <w:rPr>
          <w:rFonts w:ascii="Century Gothic" w:hAnsi="Century Gothic"/>
          <w:color w:val="000000" w:themeColor="text1"/>
          <w:sz w:val="24"/>
          <w:szCs w:val="24"/>
        </w:rPr>
        <w:t>.’</w:t>
      </w:r>
      <w:r w:rsidRPr="004E61A2">
        <w:rPr>
          <w:rFonts w:ascii="Century Gothic" w:hAnsi="Century Gothic"/>
          <w:color w:val="000000" w:themeColor="text1"/>
          <w:sz w:val="24"/>
          <w:szCs w:val="24"/>
        </w:rPr>
        <w:t xml:space="preserve"> Test results for Part 2 of Form 8 must not be reported as percentiles, </w:t>
      </w:r>
    </w:p>
    <w:p w14:paraId="113D9CEE" w14:textId="0E0A4A6F"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scaled scores, T-</w:t>
      </w:r>
      <w:r w:rsidR="00261B74" w:rsidRPr="004E61A2">
        <w:rPr>
          <w:rFonts w:ascii="Century Gothic" w:hAnsi="Century Gothic"/>
          <w:color w:val="000000" w:themeColor="text1"/>
          <w:sz w:val="24"/>
          <w:szCs w:val="24"/>
        </w:rPr>
        <w:t>scores,</w:t>
      </w:r>
      <w:r w:rsidRPr="004E61A2">
        <w:rPr>
          <w:rFonts w:ascii="Century Gothic" w:hAnsi="Century Gothic"/>
          <w:color w:val="000000" w:themeColor="text1"/>
          <w:sz w:val="24"/>
          <w:szCs w:val="24"/>
        </w:rPr>
        <w:t xml:space="preserve"> or age-equivalent scores. Such scores must be </w:t>
      </w:r>
      <w:r w:rsidR="00261B74" w:rsidRPr="004E61A2">
        <w:rPr>
          <w:rFonts w:ascii="Century Gothic" w:hAnsi="Century Gothic"/>
          <w:color w:val="000000" w:themeColor="text1"/>
          <w:sz w:val="24"/>
          <w:szCs w:val="24"/>
        </w:rPr>
        <w:t>converted</w:t>
      </w:r>
      <w:r w:rsidR="00261B74">
        <w:rPr>
          <w:rFonts w:ascii="Century Gothic" w:hAnsi="Century Gothic"/>
          <w:color w:val="000000" w:themeColor="text1"/>
          <w:sz w:val="24"/>
          <w:szCs w:val="24"/>
        </w:rPr>
        <w:t xml:space="preserve"> </w:t>
      </w:r>
    </w:p>
    <w:p w14:paraId="03BA005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into standard scores.</w:t>
      </w:r>
    </w:p>
    <w:p w14:paraId="11AC1E6B" w14:textId="77777777" w:rsidR="004E61A2" w:rsidRPr="00E5408C" w:rsidRDefault="004E61A2" w:rsidP="004E61A2">
      <w:pPr>
        <w:spacing w:line="276" w:lineRule="auto"/>
        <w:jc w:val="both"/>
        <w:rPr>
          <w:rFonts w:ascii="Century Gothic" w:hAnsi="Century Gothic"/>
          <w:b/>
          <w:bCs/>
          <w:color w:val="000000" w:themeColor="text1"/>
          <w:sz w:val="24"/>
          <w:szCs w:val="24"/>
        </w:rPr>
      </w:pPr>
      <w:r w:rsidRPr="00E5408C">
        <w:rPr>
          <w:rFonts w:ascii="Century Gothic" w:hAnsi="Century Gothic"/>
          <w:b/>
          <w:bCs/>
          <w:color w:val="000000" w:themeColor="text1"/>
          <w:sz w:val="24"/>
          <w:szCs w:val="24"/>
        </w:rPr>
        <w:t>Reading skills</w:t>
      </w:r>
    </w:p>
    <w:p w14:paraId="1317984F" w14:textId="50E6D46D"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Reading comprehension: for candidates potentially requiring a Language Modifier </w:t>
      </w:r>
    </w:p>
    <w:p w14:paraId="0B3AD356"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(see section 5.11), reading comprehension must be assessed using a recognised </w:t>
      </w:r>
    </w:p>
    <w:p w14:paraId="6ACA4C67"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test of text or sentence comprehension.</w:t>
      </w:r>
    </w:p>
    <w:p w14:paraId="6DE1F42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Reading speed: a candidate with a history of reading difficulties, whose reading </w:t>
      </w:r>
    </w:p>
    <w:p w14:paraId="1060ED1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lastRenderedPageBreak/>
        <w:t xml:space="preserve">accuracy (at single word level) or reading comprehension is within normal limits </w:t>
      </w:r>
    </w:p>
    <w:p w14:paraId="717357C0"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for their age, may read slowly because they:</w:t>
      </w:r>
    </w:p>
    <w:p w14:paraId="70FA51E4"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take longer than expected to decode the words, leading to slow reading (slow </w:t>
      </w:r>
    </w:p>
    <w:p w14:paraId="4E247C75" w14:textId="57029F99"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reading speed</w:t>
      </w:r>
      <w:r w:rsidR="006C7245" w:rsidRPr="004E61A2">
        <w:rPr>
          <w:rFonts w:ascii="Century Gothic" w:hAnsi="Century Gothic"/>
          <w:color w:val="000000" w:themeColor="text1"/>
          <w:sz w:val="24"/>
          <w:szCs w:val="24"/>
        </w:rPr>
        <w:t>).</w:t>
      </w:r>
    </w:p>
    <w:p w14:paraId="68C76C3E"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need to re-read text many times to absorb its meaning (slow reading </w:t>
      </w:r>
    </w:p>
    <w:p w14:paraId="45907B43"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comprehension speed).</w:t>
      </w:r>
    </w:p>
    <w:p w14:paraId="52D59307"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There are various ways of assessing text level reading speed:</w:t>
      </w:r>
    </w:p>
    <w:p w14:paraId="66765DA4" w14:textId="2796C8BA"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a test which assesses speed at text level (known as reading rate or reading speed</w:t>
      </w:r>
      <w:r w:rsidR="006C7245" w:rsidRPr="004E61A2">
        <w:rPr>
          <w:rFonts w:ascii="Century Gothic" w:hAnsi="Century Gothic"/>
          <w:color w:val="000000" w:themeColor="text1"/>
          <w:sz w:val="24"/>
          <w:szCs w:val="24"/>
        </w:rPr>
        <w:t>).</w:t>
      </w:r>
    </w:p>
    <w:p w14:paraId="65F33E35"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a test which combines text level speed and accuracy (sometimes known as </w:t>
      </w:r>
    </w:p>
    <w:p w14:paraId="3FA66B18" w14:textId="22633696"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reading fluency</w:t>
      </w:r>
      <w:r w:rsidR="006C7245" w:rsidRPr="004E61A2">
        <w:rPr>
          <w:rFonts w:ascii="Century Gothic" w:hAnsi="Century Gothic"/>
          <w:color w:val="000000" w:themeColor="text1"/>
          <w:sz w:val="24"/>
          <w:szCs w:val="24"/>
        </w:rPr>
        <w:t>).</w:t>
      </w:r>
    </w:p>
    <w:p w14:paraId="6E674A83"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a test that assesses the time taken to both read the text and to answer </w:t>
      </w:r>
    </w:p>
    <w:p w14:paraId="0BA278C8"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questions on what has been read. The test must provide a score for reading </w:t>
      </w:r>
    </w:p>
    <w:p w14:paraId="7300476D"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comprehension speed, not just for reading comprehension.</w:t>
      </w:r>
    </w:p>
    <w:p w14:paraId="6CC11855"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a candidate reads for themselves, a measure of text reading speed may </w:t>
      </w:r>
    </w:p>
    <w:p w14:paraId="46CF58E8"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be used as one of the two required scores for 25% extra time. The results will be </w:t>
      </w:r>
    </w:p>
    <w:p w14:paraId="1B92A90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recorded within Part 2 of Form 8 under ‘Reading Speed’.</w:t>
      </w:r>
    </w:p>
    <w:p w14:paraId="646A5457"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the candidate uses a computer reader/reader or an examination reading </w:t>
      </w:r>
    </w:p>
    <w:p w14:paraId="5E328AA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pen, a measure of reading speed cannot be used as evidence for 25% extra time.</w:t>
      </w:r>
    </w:p>
    <w:p w14:paraId="53FE554D"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Tests which measure single word reading speed and efficiency are not appropriate </w:t>
      </w:r>
    </w:p>
    <w:p w14:paraId="5F1B57FE"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in this context. However, they may contribute to cognitive processing/fluency </w:t>
      </w:r>
    </w:p>
    <w:p w14:paraId="370B902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measures for extra time, as recorded within Part 2 of Form 8 under cognitive </w:t>
      </w:r>
    </w:p>
    <w:p w14:paraId="51A50832" w14:textId="4C62CB72"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processing/fluency or in ‘Other relevant information</w:t>
      </w:r>
      <w:r w:rsidR="00441905" w:rsidRPr="004E61A2">
        <w:rPr>
          <w:rFonts w:ascii="Century Gothic" w:hAnsi="Century Gothic"/>
          <w:color w:val="000000" w:themeColor="text1"/>
          <w:sz w:val="24"/>
          <w:szCs w:val="24"/>
        </w:rPr>
        <w:t>.’</w:t>
      </w:r>
    </w:p>
    <w:p w14:paraId="43384792" w14:textId="42702B45" w:rsidR="004E61A2" w:rsidRPr="00E5408C" w:rsidRDefault="004E61A2" w:rsidP="004E61A2">
      <w:pPr>
        <w:spacing w:line="276" w:lineRule="auto"/>
        <w:jc w:val="both"/>
        <w:rPr>
          <w:rFonts w:ascii="Century Gothic" w:hAnsi="Century Gothic"/>
          <w:b/>
          <w:bCs/>
          <w:color w:val="000000" w:themeColor="text1"/>
          <w:sz w:val="24"/>
          <w:szCs w:val="24"/>
        </w:rPr>
      </w:pPr>
      <w:r w:rsidRPr="00E5408C">
        <w:rPr>
          <w:rFonts w:ascii="Century Gothic" w:hAnsi="Century Gothic"/>
          <w:b/>
          <w:bCs/>
          <w:color w:val="000000" w:themeColor="text1"/>
          <w:sz w:val="24"/>
          <w:szCs w:val="24"/>
        </w:rPr>
        <w:t>Writing skills</w:t>
      </w:r>
    </w:p>
    <w:p w14:paraId="611E8AF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A scribe, a word processor, with the spellcheck switched on†</w:t>
      </w:r>
    </w:p>
    <w:p w14:paraId="6BC6519D"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or speech recognition </w:t>
      </w:r>
    </w:p>
    <w:p w14:paraId="3235E81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technology will be allowed in certain subjects when a candidate’s impairment </w:t>
      </w:r>
    </w:p>
    <w:p w14:paraId="5915EEDB"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has a substantial and long-term adverse effect.</w:t>
      </w:r>
    </w:p>
    <w:p w14:paraId="3979375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For examination purposes, a substantial impairment will be shown by the candidate </w:t>
      </w:r>
    </w:p>
    <w:p w14:paraId="7A4D51D5"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having:</w:t>
      </w:r>
    </w:p>
    <w:p w14:paraId="034945EE"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a below average standardised spelling accuracy score (a standardised score </w:t>
      </w:r>
    </w:p>
    <w:p w14:paraId="2D0C5E27"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of 84 or less) with unrecognisable spelling attempts; or</w:t>
      </w:r>
    </w:p>
    <w:p w14:paraId="4E84DBD5"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 a below average standardised score for writing speed (a standardised score </w:t>
      </w:r>
    </w:p>
    <w:p w14:paraId="59F246CE"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of 84 or less).</w:t>
      </w:r>
    </w:p>
    <w:p w14:paraId="53C59A43"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lastRenderedPageBreak/>
        <w:t xml:space="preserve">In some cases, the candidate’s writing is illegible or grammatically incomprehensible </w:t>
      </w:r>
    </w:p>
    <w:p w14:paraId="5EBBD97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but improves significantly when a scribe is used. If these difficulties are not </w:t>
      </w:r>
    </w:p>
    <w:p w14:paraId="6792EEB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evidenced by a below average standardised spelling accuracy score or a below </w:t>
      </w:r>
    </w:p>
    <w:p w14:paraId="0ADBE02F"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average standardised score for writing speed, Access arrangements online will </w:t>
      </w:r>
    </w:p>
    <w:p w14:paraId="3034236C"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not approve the application. The SENCo may then decide to refer the application </w:t>
      </w:r>
    </w:p>
    <w:p w14:paraId="5B3FB07D"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to the awarding body/bodies.</w:t>
      </w:r>
    </w:p>
    <w:p w14:paraId="3562857A"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the candidate writes by hand, an assessment of writing speed may be </w:t>
      </w:r>
    </w:p>
    <w:p w14:paraId="1FA75989"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used as one of the two required measures for 25% extra time. The result will be </w:t>
      </w:r>
    </w:p>
    <w:p w14:paraId="7222A9CB"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recorded within Part 2 of Form 8 under ‘Writing Speed’.</w:t>
      </w:r>
    </w:p>
    <w:p w14:paraId="36D8C676" w14:textId="409976CB"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the candidate uses a scribe, speech recognition </w:t>
      </w:r>
      <w:r w:rsidR="00441905" w:rsidRPr="004E61A2">
        <w:rPr>
          <w:rFonts w:ascii="Century Gothic" w:hAnsi="Century Gothic"/>
          <w:color w:val="000000" w:themeColor="text1"/>
          <w:sz w:val="24"/>
          <w:szCs w:val="24"/>
        </w:rPr>
        <w:t>technology,</w:t>
      </w:r>
      <w:r w:rsidRPr="004E61A2">
        <w:rPr>
          <w:rFonts w:ascii="Century Gothic" w:hAnsi="Century Gothic"/>
          <w:color w:val="000000" w:themeColor="text1"/>
          <w:sz w:val="24"/>
          <w:szCs w:val="24"/>
        </w:rPr>
        <w:t xml:space="preserve"> or a word processor, </w:t>
      </w:r>
    </w:p>
    <w:p w14:paraId="35425E21"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a measure of writing speed cannot be used as evidence for 25% extra time.</w:t>
      </w:r>
    </w:p>
    <w:p w14:paraId="4E21F9D8" w14:textId="77777777"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 xml:space="preserve">Where a candidate uses a word processor, with the spellcheck enabled, or predictive </w:t>
      </w:r>
    </w:p>
    <w:p w14:paraId="3A91FAA7" w14:textId="087AB5DA" w:rsidR="004E61A2" w:rsidRPr="004E61A2" w:rsidRDefault="004E61A2" w:rsidP="004E61A2">
      <w:pPr>
        <w:spacing w:line="276" w:lineRule="auto"/>
        <w:jc w:val="both"/>
        <w:rPr>
          <w:rFonts w:ascii="Century Gothic" w:hAnsi="Century Gothic"/>
          <w:color w:val="000000" w:themeColor="text1"/>
          <w:sz w:val="24"/>
          <w:szCs w:val="24"/>
        </w:rPr>
      </w:pPr>
      <w:r w:rsidRPr="004E61A2">
        <w:rPr>
          <w:rFonts w:ascii="Century Gothic" w:hAnsi="Century Gothic"/>
          <w:color w:val="000000" w:themeColor="text1"/>
          <w:sz w:val="24"/>
          <w:szCs w:val="24"/>
        </w:rPr>
        <w:t>text, a subject-specific bank of words is not permitted</w:t>
      </w:r>
    </w:p>
    <w:p w14:paraId="0AE82AF6" w14:textId="77777777" w:rsidR="004E61A2" w:rsidRPr="001C1A46" w:rsidRDefault="004E61A2" w:rsidP="008463CD">
      <w:pPr>
        <w:keepNext/>
        <w:spacing w:before="240" w:line="276" w:lineRule="auto"/>
        <w:outlineLvl w:val="1"/>
        <w:rPr>
          <w:rFonts w:ascii="Century Gothic" w:eastAsia="Times New Roman" w:hAnsi="Century Gothic" w:cs="Times New Roman"/>
          <w:b/>
          <w:color w:val="000000" w:themeColor="text1"/>
          <w:sz w:val="24"/>
          <w:szCs w:val="24"/>
        </w:rPr>
      </w:pPr>
    </w:p>
    <w:p w14:paraId="29BCF61B" w14:textId="0BEB13C5" w:rsidR="00844861" w:rsidRPr="001C1A46" w:rsidRDefault="00844861" w:rsidP="00844861">
      <w:pPr>
        <w:pStyle w:val="Headinglevel1"/>
        <w:spacing w:before="240"/>
        <w:rPr>
          <w:rFonts w:ascii="Century Gothic" w:hAnsi="Century Gothic"/>
          <w:color w:val="000000" w:themeColor="text1"/>
          <w:szCs w:val="24"/>
        </w:rPr>
      </w:pPr>
      <w:bookmarkStart w:id="71" w:name="_Toc466921636"/>
      <w:bookmarkStart w:id="72" w:name="_Toc490083861"/>
      <w:bookmarkStart w:id="73" w:name="_Toc496088800"/>
      <w:bookmarkStart w:id="74" w:name="_Toc523473890"/>
      <w:bookmarkStart w:id="75" w:name="_Toc22304706"/>
      <w:bookmarkStart w:id="76" w:name="_Toc22487034"/>
      <w:bookmarkStart w:id="77" w:name="_Toc22487153"/>
      <w:bookmarkStart w:id="78" w:name="_Toc51674465"/>
      <w:r w:rsidRPr="001C1A46">
        <w:rPr>
          <w:rFonts w:ascii="Century Gothic" w:hAnsi="Century Gothic"/>
          <w:color w:val="000000" w:themeColor="text1"/>
          <w:szCs w:val="24"/>
        </w:rPr>
        <w:t>Processing access arrangements</w:t>
      </w:r>
      <w:bookmarkEnd w:id="71"/>
      <w:bookmarkEnd w:id="72"/>
      <w:bookmarkEnd w:id="73"/>
      <w:bookmarkEnd w:id="74"/>
      <w:bookmarkEnd w:id="75"/>
      <w:bookmarkEnd w:id="76"/>
      <w:bookmarkEnd w:id="77"/>
      <w:bookmarkEnd w:id="78"/>
      <w:r w:rsidR="009428B0" w:rsidRPr="001C1A46">
        <w:rPr>
          <w:rFonts w:ascii="Century Gothic" w:hAnsi="Century Gothic"/>
          <w:color w:val="000000" w:themeColor="text1"/>
          <w:szCs w:val="24"/>
        </w:rPr>
        <w:t xml:space="preserve"> and </w:t>
      </w:r>
      <w:r w:rsidR="001C1A46" w:rsidRPr="001C1A46">
        <w:rPr>
          <w:rFonts w:ascii="Century Gothic" w:hAnsi="Century Gothic"/>
          <w:color w:val="000000" w:themeColor="text1"/>
          <w:szCs w:val="24"/>
        </w:rPr>
        <w:t>adjustments</w:t>
      </w:r>
      <w:r w:rsidR="009428B0" w:rsidRPr="001C1A46">
        <w:rPr>
          <w:rFonts w:ascii="Century Gothic" w:hAnsi="Century Gothic"/>
          <w:color w:val="000000" w:themeColor="text1"/>
          <w:szCs w:val="24"/>
        </w:rPr>
        <w:t xml:space="preserve"> </w:t>
      </w:r>
    </w:p>
    <w:p w14:paraId="513A363C" w14:textId="61B766E0" w:rsidR="00844861" w:rsidRPr="001C1A46" w:rsidRDefault="00844861" w:rsidP="00844861">
      <w:pPr>
        <w:pStyle w:val="Headinglevel2"/>
        <w:spacing w:before="0"/>
        <w:rPr>
          <w:rFonts w:ascii="Century Gothic" w:hAnsi="Century Gothic"/>
          <w:color w:val="000000" w:themeColor="text1"/>
          <w:sz w:val="24"/>
        </w:rPr>
      </w:pPr>
      <w:bookmarkStart w:id="79" w:name="_Toc496088801"/>
      <w:bookmarkStart w:id="80" w:name="_Toc523473891"/>
      <w:bookmarkStart w:id="81" w:name="_Toc22304707"/>
      <w:bookmarkStart w:id="82" w:name="_Toc22487035"/>
      <w:bookmarkStart w:id="83" w:name="_Toc22487154"/>
      <w:bookmarkStart w:id="84" w:name="_Toc51674466"/>
      <w:r w:rsidRPr="001C1A46">
        <w:rPr>
          <w:rFonts w:ascii="Century Gothic" w:hAnsi="Century Gothic"/>
          <w:color w:val="000000" w:themeColor="text1"/>
          <w:sz w:val="24"/>
        </w:rPr>
        <w:t>Arrangements</w:t>
      </w:r>
      <w:r w:rsidR="001D7D13">
        <w:rPr>
          <w:rFonts w:ascii="Century Gothic" w:hAnsi="Century Gothic"/>
          <w:color w:val="000000" w:themeColor="text1"/>
          <w:sz w:val="24"/>
        </w:rPr>
        <w:t>/adjustments</w:t>
      </w:r>
      <w:r w:rsidRPr="001C1A46">
        <w:rPr>
          <w:rFonts w:ascii="Century Gothic" w:hAnsi="Century Gothic"/>
          <w:color w:val="000000" w:themeColor="text1"/>
          <w:sz w:val="24"/>
        </w:rPr>
        <w:t xml:space="preserve"> requiring awarding body approval</w:t>
      </w:r>
      <w:bookmarkEnd w:id="79"/>
      <w:bookmarkEnd w:id="80"/>
      <w:bookmarkEnd w:id="81"/>
      <w:bookmarkEnd w:id="82"/>
      <w:bookmarkEnd w:id="83"/>
      <w:bookmarkEnd w:id="84"/>
    </w:p>
    <w:p w14:paraId="413F8020" w14:textId="4E25B0D1" w:rsidR="00844861" w:rsidRPr="001C1A46" w:rsidRDefault="00844861" w:rsidP="00233410">
      <w:pPr>
        <w:pStyle w:val="NormalWeb"/>
        <w:spacing w:before="0" w:beforeAutospacing="0" w:after="120" w:afterAutospacing="0" w:line="276" w:lineRule="auto"/>
        <w:rPr>
          <w:rFonts w:ascii="Century Gothic" w:hAnsi="Century Gothic"/>
          <w:color w:val="000000" w:themeColor="text1"/>
          <w:sz w:val="24"/>
        </w:rPr>
      </w:pPr>
      <w:r w:rsidRPr="001C1A46">
        <w:rPr>
          <w:rFonts w:ascii="Century Gothic" w:hAnsi="Century Gothic"/>
          <w:iCs/>
          <w:color w:val="000000" w:themeColor="text1"/>
          <w:sz w:val="24"/>
        </w:rPr>
        <w:t>Access arrangements online</w:t>
      </w:r>
      <w:r w:rsidRPr="001C1A46">
        <w:rPr>
          <w:rFonts w:ascii="Century Gothic" w:hAnsi="Century Gothic"/>
          <w:color w:val="000000" w:themeColor="text1"/>
          <w:sz w:val="24"/>
        </w:rPr>
        <w:t xml:space="preserve"> (</w:t>
      </w:r>
      <w:r w:rsidR="00D92D2F" w:rsidRPr="001C1A46">
        <w:rPr>
          <w:rFonts w:ascii="Century Gothic" w:hAnsi="Century Gothic"/>
          <w:color w:val="000000" w:themeColor="text1"/>
          <w:sz w:val="24"/>
        </w:rPr>
        <w:t>AARA</w:t>
      </w:r>
      <w:r w:rsidRPr="001C1A46">
        <w:rPr>
          <w:rFonts w:ascii="Century Gothic" w:hAnsi="Century Gothic"/>
          <w:color w:val="000000" w:themeColor="text1"/>
          <w:sz w:val="24"/>
        </w:rPr>
        <w:t xml:space="preserve">O) is </w:t>
      </w:r>
      <w:r w:rsidRPr="001C1A46">
        <w:rPr>
          <w:rFonts w:ascii="Century Gothic" w:hAnsi="Century Gothic" w:cs="Arial"/>
          <w:color w:val="000000" w:themeColor="text1"/>
          <w:sz w:val="24"/>
        </w:rPr>
        <w:t xml:space="preserve">a tool provided by JCQ member awarding bodies for centres to apply for required access arrangement approval for the qualifications </w:t>
      </w:r>
      <w:r w:rsidR="002660C5" w:rsidRPr="001C1A46">
        <w:rPr>
          <w:rFonts w:ascii="Century Gothic" w:hAnsi="Century Gothic" w:cs="Arial"/>
          <w:color w:val="000000" w:themeColor="text1"/>
          <w:sz w:val="24"/>
        </w:rPr>
        <w:t>covered by the tool</w:t>
      </w:r>
      <w:r w:rsidRPr="001C1A46">
        <w:rPr>
          <w:rFonts w:ascii="Century Gothic" w:hAnsi="Century Gothic"/>
          <w:color w:val="000000" w:themeColor="text1"/>
          <w:sz w:val="24"/>
        </w:rPr>
        <w:t xml:space="preserve">. </w:t>
      </w:r>
      <w:r w:rsidRPr="001C1A46">
        <w:rPr>
          <w:rFonts w:ascii="Century Gothic" w:hAnsi="Century Gothic" w:cs="Arial"/>
          <w:color w:val="000000" w:themeColor="text1"/>
          <w:sz w:val="24"/>
        </w:rPr>
        <w:t xml:space="preserve">This tool also provides the facility to order modified papers for those qualifications </w:t>
      </w:r>
      <w:r w:rsidR="00233410" w:rsidRPr="001C1A46">
        <w:rPr>
          <w:rFonts w:ascii="Century Gothic" w:hAnsi="Century Gothic" w:cs="Arial"/>
          <w:color w:val="000000" w:themeColor="text1"/>
          <w:sz w:val="24"/>
        </w:rPr>
        <w:t>included</w:t>
      </w:r>
      <w:r w:rsidRPr="001C1A46">
        <w:rPr>
          <w:rFonts w:ascii="Century Gothic" w:hAnsi="Century Gothic" w:cs="Arial"/>
          <w:color w:val="000000" w:themeColor="text1"/>
          <w:sz w:val="24"/>
        </w:rPr>
        <w:t>.</w:t>
      </w:r>
      <w:r w:rsidR="00233410" w:rsidRPr="001C1A46">
        <w:rPr>
          <w:rFonts w:ascii="Century Gothic" w:hAnsi="Century Gothic" w:cs="Arial"/>
          <w:color w:val="000000" w:themeColor="text1"/>
          <w:sz w:val="24"/>
        </w:rPr>
        <w:t xml:space="preserve"> (Refer to </w:t>
      </w:r>
      <w:hyperlink r:id="rId22" w:history="1">
        <w:r w:rsidR="00D92D2F" w:rsidRPr="001C1A46">
          <w:rPr>
            <w:rStyle w:val="Hyperlink"/>
            <w:rFonts w:ascii="Century Gothic" w:hAnsi="Century Gothic" w:cs="Arial"/>
            <w:color w:val="000000" w:themeColor="text1"/>
            <w:sz w:val="24"/>
            <w:u w:val="none"/>
          </w:rPr>
          <w:t>AARA</w:t>
        </w:r>
      </w:hyperlink>
      <w:r w:rsidR="00233410" w:rsidRPr="001C1A46">
        <w:rPr>
          <w:rStyle w:val="Hyperlink"/>
          <w:rFonts w:ascii="Century Gothic" w:hAnsi="Century Gothic" w:cs="Arial"/>
          <w:color w:val="000000" w:themeColor="text1"/>
          <w:sz w:val="24"/>
          <w:u w:val="none"/>
        </w:rPr>
        <w:t xml:space="preserve">, (chapter 8) </w:t>
      </w:r>
      <w:r w:rsidR="00233410" w:rsidRPr="001C1A46">
        <w:rPr>
          <w:rFonts w:ascii="Century Gothic" w:hAnsi="Century Gothic" w:cs="Tahoma"/>
          <w:b/>
          <w:bCs/>
          <w:color w:val="000000" w:themeColor="text1"/>
          <w:sz w:val="24"/>
        </w:rPr>
        <w:t xml:space="preserve">Processing applications for access arrangements </w:t>
      </w:r>
      <w:r w:rsidR="00233410" w:rsidRPr="001C1A46">
        <w:rPr>
          <w:rFonts w:ascii="Century Gothic" w:hAnsi="Century Gothic" w:cs="Tahoma"/>
          <w:color w:val="000000" w:themeColor="text1"/>
          <w:sz w:val="24"/>
        </w:rPr>
        <w:t>and (chapter 6)</w:t>
      </w:r>
      <w:r w:rsidR="00233410" w:rsidRPr="001C1A46">
        <w:rPr>
          <w:rFonts w:ascii="Century Gothic" w:hAnsi="Century Gothic" w:cs="Tahoma"/>
          <w:b/>
          <w:bCs/>
          <w:color w:val="000000" w:themeColor="text1"/>
          <w:sz w:val="24"/>
        </w:rPr>
        <w:t xml:space="preserve"> Modified papers</w:t>
      </w:r>
      <w:r w:rsidR="00233410" w:rsidRPr="001C1A46">
        <w:rPr>
          <w:rFonts w:ascii="Century Gothic" w:hAnsi="Century Gothic" w:cs="Tahoma"/>
          <w:color w:val="000000" w:themeColor="text1"/>
          <w:sz w:val="24"/>
        </w:rPr>
        <w:t>)</w:t>
      </w:r>
      <w:r w:rsidR="00233410" w:rsidRPr="001C1A46">
        <w:rPr>
          <w:rFonts w:ascii="Century Gothic" w:hAnsi="Century Gothic" w:cs="Tahoma"/>
          <w:b/>
          <w:bCs/>
          <w:color w:val="000000" w:themeColor="text1"/>
          <w:sz w:val="24"/>
        </w:rPr>
        <w:t xml:space="preserve"> </w:t>
      </w:r>
    </w:p>
    <w:p w14:paraId="3C232DC8" w14:textId="67E64D94" w:rsidR="00844861" w:rsidRPr="001C1A46" w:rsidRDefault="00D92D2F" w:rsidP="00844861">
      <w:pPr>
        <w:autoSpaceDE w:val="0"/>
        <w:autoSpaceDN w:val="0"/>
        <w:adjustRightInd w:val="0"/>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AARA</w:t>
      </w:r>
      <w:r w:rsidR="00844861" w:rsidRPr="001C1A46">
        <w:rPr>
          <w:rFonts w:ascii="Century Gothic" w:hAnsi="Century Gothic"/>
          <w:color w:val="000000" w:themeColor="text1"/>
          <w:sz w:val="24"/>
          <w:szCs w:val="24"/>
        </w:rPr>
        <w:t xml:space="preserve">O is accessed </w:t>
      </w:r>
      <w:r w:rsidR="00D049CA" w:rsidRPr="001C1A46">
        <w:rPr>
          <w:rFonts w:ascii="Century Gothic" w:hAnsi="Century Gothic"/>
          <w:color w:val="000000" w:themeColor="text1"/>
          <w:sz w:val="24"/>
          <w:szCs w:val="24"/>
        </w:rPr>
        <w:t xml:space="preserve">within the JCQ Centre Admin Portal (CAP) </w:t>
      </w:r>
      <w:r w:rsidR="000A0EE1" w:rsidRPr="001C1A46">
        <w:rPr>
          <w:rFonts w:ascii="Century Gothic" w:hAnsi="Century Gothic"/>
          <w:color w:val="000000" w:themeColor="text1"/>
          <w:sz w:val="24"/>
          <w:szCs w:val="24"/>
        </w:rPr>
        <w:t xml:space="preserve">using any </w:t>
      </w:r>
      <w:r w:rsidR="00844861" w:rsidRPr="001C1A46">
        <w:rPr>
          <w:rFonts w:ascii="Century Gothic" w:hAnsi="Century Gothic"/>
          <w:color w:val="000000" w:themeColor="text1"/>
          <w:sz w:val="24"/>
          <w:szCs w:val="24"/>
        </w:rPr>
        <w:t xml:space="preserve">of the awarding body secure extranet sites. A single application </w:t>
      </w:r>
      <w:r w:rsidR="00233410" w:rsidRPr="001C1A46">
        <w:rPr>
          <w:rFonts w:ascii="Century Gothic" w:hAnsi="Century Gothic"/>
          <w:color w:val="000000" w:themeColor="text1"/>
          <w:sz w:val="24"/>
          <w:szCs w:val="24"/>
        </w:rPr>
        <w:t xml:space="preserve">for approval </w:t>
      </w:r>
      <w:r w:rsidR="00844861" w:rsidRPr="001C1A46">
        <w:rPr>
          <w:rFonts w:ascii="Century Gothic" w:hAnsi="Century Gothic"/>
          <w:color w:val="000000" w:themeColor="text1"/>
          <w:sz w:val="24"/>
          <w:szCs w:val="24"/>
        </w:rPr>
        <w:t xml:space="preserve">is required for each candidate regardless of the awarding body used. </w:t>
      </w:r>
    </w:p>
    <w:p w14:paraId="6387A7A8" w14:textId="06B9B5C3" w:rsidR="00DA37D0" w:rsidRPr="001C1A46" w:rsidRDefault="00DA37D0" w:rsidP="00844861">
      <w:pPr>
        <w:autoSpaceDE w:val="0"/>
        <w:autoSpaceDN w:val="0"/>
        <w:adjustRightInd w:val="0"/>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Online applications must only be processed where they are supported by the </w:t>
      </w:r>
      <w:r w:rsidR="00E5408C" w:rsidRPr="001C1A46">
        <w:rPr>
          <w:rFonts w:ascii="Century Gothic" w:hAnsi="Century Gothic"/>
          <w:color w:val="000000" w:themeColor="text1"/>
          <w:sz w:val="24"/>
          <w:szCs w:val="24"/>
        </w:rPr>
        <w:t>centre,</w:t>
      </w:r>
      <w:r w:rsidRPr="001C1A46">
        <w:rPr>
          <w:rFonts w:ascii="Century Gothic" w:hAnsi="Century Gothic"/>
          <w:color w:val="000000" w:themeColor="text1"/>
          <w:sz w:val="24"/>
          <w:szCs w:val="24"/>
        </w:rPr>
        <w:t xml:space="preserve"> and the candidate meets the published criteria for the arrangement(s) with the full supporting evidence in place. (AARA 8 Summary)</w:t>
      </w:r>
    </w:p>
    <w:p w14:paraId="03BC10A1" w14:textId="77777777" w:rsidR="00072F30" w:rsidRPr="00072F30" w:rsidRDefault="00072F30" w:rsidP="00072F30">
      <w:pPr>
        <w:autoSpaceDE w:val="0"/>
        <w:autoSpaceDN w:val="0"/>
        <w:adjustRightInd w:val="0"/>
        <w:spacing w:line="276" w:lineRule="auto"/>
        <w:jc w:val="both"/>
        <w:rPr>
          <w:rFonts w:ascii="Century Gothic" w:hAnsi="Century Gothic"/>
          <w:color w:val="000000" w:themeColor="text1"/>
          <w:sz w:val="24"/>
          <w:szCs w:val="24"/>
        </w:rPr>
      </w:pPr>
      <w:r w:rsidRPr="00072F30">
        <w:rPr>
          <w:rFonts w:ascii="Century Gothic" w:hAnsi="Century Gothic"/>
          <w:color w:val="000000" w:themeColor="text1"/>
          <w:sz w:val="24"/>
          <w:szCs w:val="24"/>
        </w:rPr>
        <w:t xml:space="preserve">Candidates must be informed that an application for access arrangements will be processed using Access arrangements online, complying with the UK GDPR and the Data Protection Act 2018. </w:t>
      </w:r>
    </w:p>
    <w:p w14:paraId="60D6A60F" w14:textId="77777777" w:rsidR="00072F30" w:rsidRPr="00072F30" w:rsidRDefault="00072F30" w:rsidP="00072F30">
      <w:pPr>
        <w:autoSpaceDE w:val="0"/>
        <w:autoSpaceDN w:val="0"/>
        <w:adjustRightInd w:val="0"/>
        <w:spacing w:line="276" w:lineRule="auto"/>
        <w:jc w:val="both"/>
        <w:rPr>
          <w:rFonts w:ascii="Century Gothic" w:hAnsi="Century Gothic"/>
          <w:color w:val="000000" w:themeColor="text1"/>
          <w:sz w:val="24"/>
          <w:szCs w:val="24"/>
        </w:rPr>
      </w:pPr>
      <w:r w:rsidRPr="00072F30">
        <w:rPr>
          <w:rFonts w:ascii="Century Gothic" w:hAnsi="Century Gothic"/>
          <w:color w:val="000000" w:themeColor="text1"/>
          <w:sz w:val="24"/>
          <w:szCs w:val="24"/>
        </w:rPr>
        <w:t xml:space="preserve">The SENCo must keep detailed records for inspection purposes, whether electronically or in hard copy paper format, of all the essential information on file. This includes: </w:t>
      </w:r>
    </w:p>
    <w:p w14:paraId="7F652D19" w14:textId="0686656D" w:rsidR="00072F30" w:rsidRPr="00072F30" w:rsidRDefault="00072F30" w:rsidP="00072F30">
      <w:pPr>
        <w:autoSpaceDE w:val="0"/>
        <w:autoSpaceDN w:val="0"/>
        <w:adjustRightInd w:val="0"/>
        <w:spacing w:line="276" w:lineRule="auto"/>
        <w:jc w:val="both"/>
        <w:rPr>
          <w:rFonts w:ascii="Century Gothic" w:hAnsi="Century Gothic"/>
          <w:color w:val="000000" w:themeColor="text1"/>
          <w:sz w:val="24"/>
          <w:szCs w:val="24"/>
        </w:rPr>
      </w:pPr>
      <w:r w:rsidRPr="00072F30">
        <w:rPr>
          <w:rFonts w:ascii="Century Gothic" w:hAnsi="Century Gothic"/>
          <w:color w:val="000000" w:themeColor="text1"/>
          <w:sz w:val="24"/>
          <w:szCs w:val="24"/>
        </w:rPr>
        <w:t xml:space="preserve">- - a copy of the candidate’s approved </w:t>
      </w:r>
      <w:r w:rsidR="003107CB" w:rsidRPr="00072F30">
        <w:rPr>
          <w:rFonts w:ascii="Century Gothic" w:hAnsi="Century Gothic"/>
          <w:color w:val="000000" w:themeColor="text1"/>
          <w:sz w:val="24"/>
          <w:szCs w:val="24"/>
        </w:rPr>
        <w:t>application.</w:t>
      </w:r>
      <w:r w:rsidRPr="00072F30">
        <w:rPr>
          <w:rFonts w:ascii="Century Gothic" w:hAnsi="Century Gothic"/>
          <w:color w:val="000000" w:themeColor="text1"/>
          <w:sz w:val="24"/>
          <w:szCs w:val="24"/>
        </w:rPr>
        <w:t xml:space="preserve"> </w:t>
      </w:r>
    </w:p>
    <w:p w14:paraId="67801AAE" w14:textId="3CCEA833" w:rsidR="00072F30" w:rsidRPr="00072F30" w:rsidRDefault="00072F30" w:rsidP="00072F30">
      <w:pPr>
        <w:autoSpaceDE w:val="0"/>
        <w:autoSpaceDN w:val="0"/>
        <w:adjustRightInd w:val="0"/>
        <w:spacing w:line="276" w:lineRule="auto"/>
        <w:jc w:val="both"/>
        <w:rPr>
          <w:rFonts w:ascii="Century Gothic" w:hAnsi="Century Gothic"/>
          <w:color w:val="000000" w:themeColor="text1"/>
          <w:sz w:val="24"/>
          <w:szCs w:val="24"/>
        </w:rPr>
      </w:pPr>
      <w:r w:rsidRPr="00072F30">
        <w:rPr>
          <w:rFonts w:ascii="Century Gothic" w:hAnsi="Century Gothic"/>
          <w:color w:val="000000" w:themeColor="text1"/>
          <w:sz w:val="24"/>
          <w:szCs w:val="24"/>
        </w:rPr>
        <w:t>- appropriate evidence of need (where required</w:t>
      </w:r>
      <w:r w:rsidR="006C7245" w:rsidRPr="00072F30">
        <w:rPr>
          <w:rFonts w:ascii="Century Gothic" w:hAnsi="Century Gothic"/>
          <w:color w:val="000000" w:themeColor="text1"/>
          <w:sz w:val="24"/>
          <w:szCs w:val="24"/>
        </w:rPr>
        <w:t>).</w:t>
      </w:r>
      <w:r w:rsidRPr="00072F30">
        <w:rPr>
          <w:rFonts w:ascii="Century Gothic" w:hAnsi="Century Gothic"/>
          <w:color w:val="000000" w:themeColor="text1"/>
          <w:sz w:val="24"/>
          <w:szCs w:val="24"/>
        </w:rPr>
        <w:t xml:space="preserve"> </w:t>
      </w:r>
    </w:p>
    <w:p w14:paraId="19F69243" w14:textId="388C7621" w:rsidR="00DA37D0" w:rsidRPr="001C1A46" w:rsidRDefault="00072F30" w:rsidP="00072F30">
      <w:pPr>
        <w:autoSpaceDE w:val="0"/>
        <w:autoSpaceDN w:val="0"/>
        <w:adjustRightInd w:val="0"/>
        <w:spacing w:line="276" w:lineRule="auto"/>
        <w:jc w:val="both"/>
        <w:rPr>
          <w:rFonts w:ascii="Century Gothic" w:hAnsi="Century Gothic"/>
          <w:color w:val="000000" w:themeColor="text1"/>
          <w:sz w:val="24"/>
          <w:szCs w:val="24"/>
        </w:rPr>
      </w:pPr>
      <w:r w:rsidRPr="00072F30">
        <w:rPr>
          <w:rFonts w:ascii="Century Gothic" w:hAnsi="Century Gothic"/>
          <w:color w:val="000000" w:themeColor="text1"/>
          <w:sz w:val="24"/>
          <w:szCs w:val="24"/>
        </w:rPr>
        <w:t xml:space="preserve">- evidence of the assessor’s qualification (where required). (AARA 8.6)  </w:t>
      </w:r>
    </w:p>
    <w:p w14:paraId="2A49DE53" w14:textId="58E94A16" w:rsidR="00FA702F" w:rsidRPr="001C1A46" w:rsidRDefault="00FA702F" w:rsidP="00FA702F">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lastRenderedPageBreak/>
        <w:t>The school SEN department will appoint a staff member at HLTA LEVEL to make the applications</w:t>
      </w:r>
      <w:r w:rsidR="002E1C2D">
        <w:rPr>
          <w:rFonts w:ascii="Century Gothic" w:hAnsi="Century Gothic"/>
          <w:color w:val="000000" w:themeColor="text1"/>
          <w:sz w:val="24"/>
          <w:szCs w:val="24"/>
        </w:rPr>
        <w:t>,</w:t>
      </w:r>
      <w:r w:rsidRPr="001C1A46">
        <w:rPr>
          <w:rFonts w:ascii="Century Gothic" w:hAnsi="Century Gothic"/>
          <w:color w:val="000000" w:themeColor="text1"/>
          <w:sz w:val="24"/>
          <w:szCs w:val="24"/>
        </w:rPr>
        <w:t xml:space="preserve"> print the </w:t>
      </w:r>
      <w:r w:rsidR="00E5408C" w:rsidRPr="001C1A46">
        <w:rPr>
          <w:rFonts w:ascii="Century Gothic" w:hAnsi="Century Gothic"/>
          <w:color w:val="000000" w:themeColor="text1"/>
          <w:sz w:val="24"/>
          <w:szCs w:val="24"/>
        </w:rPr>
        <w:t>applications,</w:t>
      </w:r>
      <w:r w:rsidRPr="001C1A46">
        <w:rPr>
          <w:rFonts w:ascii="Century Gothic" w:hAnsi="Century Gothic"/>
          <w:color w:val="000000" w:themeColor="text1"/>
          <w:sz w:val="24"/>
          <w:szCs w:val="24"/>
        </w:rPr>
        <w:t xml:space="preserve"> maintain the student </w:t>
      </w:r>
      <w:r w:rsidR="00D92D2F" w:rsidRPr="001C1A46">
        <w:rPr>
          <w:rFonts w:ascii="Century Gothic" w:hAnsi="Century Gothic"/>
          <w:color w:val="000000" w:themeColor="text1"/>
          <w:sz w:val="24"/>
          <w:szCs w:val="24"/>
        </w:rPr>
        <w:t>AARA</w:t>
      </w:r>
      <w:r w:rsidRPr="001C1A46">
        <w:rPr>
          <w:rFonts w:ascii="Century Gothic" w:hAnsi="Century Gothic"/>
          <w:color w:val="000000" w:themeColor="text1"/>
          <w:sz w:val="24"/>
          <w:szCs w:val="24"/>
        </w:rPr>
        <w:t xml:space="preserve"> </w:t>
      </w:r>
      <w:r w:rsidR="00E5408C" w:rsidRPr="001C1A46">
        <w:rPr>
          <w:rFonts w:ascii="Century Gothic" w:hAnsi="Century Gothic"/>
          <w:color w:val="000000" w:themeColor="text1"/>
          <w:sz w:val="24"/>
          <w:szCs w:val="24"/>
        </w:rPr>
        <w:t>files, monitor</w:t>
      </w:r>
      <w:r w:rsidRPr="001C1A46">
        <w:rPr>
          <w:rFonts w:ascii="Century Gothic" w:hAnsi="Century Gothic"/>
          <w:color w:val="000000" w:themeColor="text1"/>
          <w:sz w:val="24"/>
          <w:szCs w:val="24"/>
        </w:rPr>
        <w:t xml:space="preserve"> the SEN/</w:t>
      </w:r>
      <w:r w:rsidR="00D92D2F" w:rsidRPr="001C1A46">
        <w:rPr>
          <w:rFonts w:ascii="Century Gothic" w:hAnsi="Century Gothic"/>
          <w:color w:val="000000" w:themeColor="text1"/>
          <w:sz w:val="24"/>
          <w:szCs w:val="24"/>
        </w:rPr>
        <w:t>AARA</w:t>
      </w:r>
      <w:r w:rsidRPr="001C1A46">
        <w:rPr>
          <w:rFonts w:ascii="Century Gothic" w:hAnsi="Century Gothic"/>
          <w:color w:val="000000" w:themeColor="text1"/>
          <w:sz w:val="24"/>
          <w:szCs w:val="24"/>
        </w:rPr>
        <w:t xml:space="preserve"> records,</w:t>
      </w:r>
      <w:r w:rsidR="002E1C2D">
        <w:rPr>
          <w:rFonts w:ascii="Century Gothic" w:hAnsi="Century Gothic"/>
          <w:color w:val="000000" w:themeColor="text1"/>
          <w:sz w:val="24"/>
          <w:szCs w:val="24"/>
        </w:rPr>
        <w:t xml:space="preserve"> and</w:t>
      </w:r>
      <w:r w:rsidRPr="001C1A46">
        <w:rPr>
          <w:rFonts w:ascii="Century Gothic" w:hAnsi="Century Gothic"/>
          <w:color w:val="000000" w:themeColor="text1"/>
          <w:sz w:val="24"/>
          <w:szCs w:val="24"/>
        </w:rPr>
        <w:t xml:space="preserve"> manage the evidence</w:t>
      </w:r>
      <w:r w:rsidR="002E1C2D">
        <w:rPr>
          <w:rFonts w:ascii="Century Gothic" w:hAnsi="Century Gothic"/>
          <w:color w:val="000000" w:themeColor="text1"/>
          <w:sz w:val="24"/>
          <w:szCs w:val="24"/>
        </w:rPr>
        <w:t>.</w:t>
      </w:r>
      <w:r w:rsidRPr="001C1A46">
        <w:rPr>
          <w:rFonts w:ascii="Century Gothic" w:hAnsi="Century Gothic"/>
          <w:color w:val="000000" w:themeColor="text1"/>
          <w:sz w:val="24"/>
          <w:szCs w:val="24"/>
        </w:rPr>
        <w:t xml:space="preserve"> Files will be retained in a secure system on the SEN department. </w:t>
      </w:r>
    </w:p>
    <w:p w14:paraId="6BA20AC9" w14:textId="5A585AC6" w:rsidR="00844861" w:rsidRPr="001C1A46" w:rsidRDefault="00844861" w:rsidP="00844861">
      <w:pPr>
        <w:pStyle w:val="Headinglevel2"/>
        <w:spacing w:before="240" w:after="120" w:line="276" w:lineRule="auto"/>
        <w:rPr>
          <w:rFonts w:ascii="Century Gothic" w:hAnsi="Century Gothic"/>
          <w:color w:val="000000" w:themeColor="text1"/>
          <w:sz w:val="24"/>
        </w:rPr>
      </w:pPr>
      <w:bookmarkStart w:id="85" w:name="_Toc466921637"/>
      <w:bookmarkStart w:id="86" w:name="_Toc490083862"/>
      <w:bookmarkStart w:id="87" w:name="_Toc496088802"/>
      <w:bookmarkStart w:id="88" w:name="_Toc523473892"/>
      <w:bookmarkStart w:id="89" w:name="_Toc22304708"/>
      <w:bookmarkStart w:id="90" w:name="_Toc22487036"/>
      <w:bookmarkStart w:id="91" w:name="_Toc22487155"/>
      <w:bookmarkStart w:id="92" w:name="_Toc51674467"/>
      <w:bookmarkStart w:id="93" w:name="_Toc449469100"/>
      <w:r w:rsidRPr="001C1A46">
        <w:rPr>
          <w:rFonts w:ascii="Century Gothic" w:hAnsi="Century Gothic"/>
          <w:color w:val="000000" w:themeColor="text1"/>
          <w:sz w:val="24"/>
        </w:rPr>
        <w:t>Centre-delegated access arrangements</w:t>
      </w:r>
      <w:bookmarkEnd w:id="85"/>
      <w:bookmarkEnd w:id="86"/>
      <w:bookmarkEnd w:id="87"/>
      <w:bookmarkEnd w:id="88"/>
      <w:bookmarkEnd w:id="89"/>
      <w:bookmarkEnd w:id="90"/>
      <w:bookmarkEnd w:id="91"/>
      <w:bookmarkEnd w:id="92"/>
    </w:p>
    <w:p w14:paraId="66B15E22" w14:textId="1B0BA45A" w:rsidR="00FA702F" w:rsidRPr="001C1A46" w:rsidRDefault="00FA702F" w:rsidP="00FA702F">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Where the </w:t>
      </w:r>
      <w:r w:rsidR="00D92D2F" w:rsidRPr="001C1A46">
        <w:rPr>
          <w:rFonts w:ascii="Century Gothic" w:hAnsi="Century Gothic"/>
          <w:color w:val="000000" w:themeColor="text1"/>
          <w:sz w:val="24"/>
          <w:szCs w:val="24"/>
        </w:rPr>
        <w:t>AARA</w:t>
      </w:r>
      <w:r w:rsidRPr="001C1A46">
        <w:rPr>
          <w:rFonts w:ascii="Century Gothic" w:hAnsi="Century Gothic"/>
          <w:color w:val="000000" w:themeColor="text1"/>
          <w:sz w:val="24"/>
          <w:szCs w:val="24"/>
        </w:rPr>
        <w:t xml:space="preserve"> is centre </w:t>
      </w:r>
      <w:r w:rsidR="00E5408C" w:rsidRPr="001C1A46">
        <w:rPr>
          <w:rFonts w:ascii="Century Gothic" w:hAnsi="Century Gothic"/>
          <w:color w:val="000000" w:themeColor="text1"/>
          <w:sz w:val="24"/>
          <w:szCs w:val="24"/>
        </w:rPr>
        <w:t>delegated,</w:t>
      </w:r>
      <w:r w:rsidRPr="001C1A46">
        <w:rPr>
          <w:rFonts w:ascii="Century Gothic" w:hAnsi="Century Gothic"/>
          <w:color w:val="000000" w:themeColor="text1"/>
          <w:sz w:val="24"/>
          <w:szCs w:val="24"/>
        </w:rPr>
        <w:t xml:space="preserve"> the SENCO will record the agreement for students to be issued with access arrangements not requiring awarding body approval</w:t>
      </w:r>
      <w:r w:rsidR="001D6ED6" w:rsidRPr="001C1A46">
        <w:rPr>
          <w:rFonts w:ascii="Century Gothic" w:hAnsi="Century Gothic"/>
          <w:color w:val="000000" w:themeColor="text1"/>
          <w:sz w:val="24"/>
          <w:szCs w:val="24"/>
        </w:rPr>
        <w:t xml:space="preserve"> based on their normal way or working and identified need. </w:t>
      </w:r>
    </w:p>
    <w:p w14:paraId="67685FD2" w14:textId="77777777" w:rsidR="00844861" w:rsidRPr="001C1A46" w:rsidRDefault="00844861" w:rsidP="00844861">
      <w:pPr>
        <w:pStyle w:val="Headinglevel1"/>
        <w:spacing w:before="240" w:line="276" w:lineRule="auto"/>
        <w:rPr>
          <w:rFonts w:ascii="Century Gothic" w:hAnsi="Century Gothic"/>
          <w:color w:val="000000" w:themeColor="text1"/>
          <w:szCs w:val="24"/>
        </w:rPr>
      </w:pPr>
      <w:bookmarkStart w:id="94" w:name="_Toc490083863"/>
      <w:bookmarkStart w:id="95" w:name="_Toc496088803"/>
      <w:bookmarkStart w:id="96" w:name="_Toc523473893"/>
      <w:bookmarkStart w:id="97" w:name="_Toc22304709"/>
      <w:bookmarkStart w:id="98" w:name="_Toc22487037"/>
      <w:bookmarkStart w:id="99" w:name="_Toc22487156"/>
      <w:bookmarkStart w:id="100" w:name="_Toc51674468"/>
      <w:bookmarkStart w:id="101" w:name="_Toc443593730"/>
      <w:bookmarkStart w:id="102" w:name="_Toc466921638"/>
      <w:r w:rsidRPr="001C1A46">
        <w:rPr>
          <w:rFonts w:ascii="Century Gothic" w:hAnsi="Century Gothic"/>
          <w:color w:val="000000" w:themeColor="text1"/>
          <w:szCs w:val="24"/>
        </w:rPr>
        <w:t>Centre-specific criteria for particular access arrangements</w:t>
      </w:r>
      <w:bookmarkEnd w:id="94"/>
      <w:bookmarkEnd w:id="95"/>
      <w:bookmarkEnd w:id="96"/>
      <w:bookmarkEnd w:id="97"/>
      <w:bookmarkEnd w:id="98"/>
      <w:bookmarkEnd w:id="99"/>
      <w:bookmarkEnd w:id="100"/>
    </w:p>
    <w:p w14:paraId="2A30F0B4" w14:textId="5E9C7578" w:rsidR="00844861" w:rsidRPr="001C1A46" w:rsidRDefault="00844861" w:rsidP="00844861">
      <w:pPr>
        <w:pStyle w:val="Headinglevel2"/>
        <w:spacing w:before="240" w:after="120" w:line="276" w:lineRule="auto"/>
        <w:rPr>
          <w:rFonts w:ascii="Century Gothic" w:hAnsi="Century Gothic"/>
          <w:color w:val="000000" w:themeColor="text1"/>
          <w:sz w:val="24"/>
        </w:rPr>
      </w:pPr>
      <w:bookmarkStart w:id="103" w:name="_Toc490083864"/>
      <w:bookmarkStart w:id="104" w:name="_Toc496088804"/>
      <w:bookmarkStart w:id="105" w:name="_Toc523473894"/>
      <w:bookmarkStart w:id="106" w:name="_Toc22304710"/>
      <w:bookmarkStart w:id="107" w:name="_Toc22487038"/>
      <w:bookmarkStart w:id="108" w:name="_Toc22487157"/>
      <w:bookmarkStart w:id="109" w:name="_Toc51674469"/>
      <w:r w:rsidRPr="001C1A46">
        <w:rPr>
          <w:rFonts w:ascii="Century Gothic" w:hAnsi="Century Gothic"/>
          <w:color w:val="000000" w:themeColor="text1"/>
          <w:sz w:val="24"/>
        </w:rPr>
        <w:t xml:space="preserve">Word </w:t>
      </w:r>
      <w:r w:rsidR="009924A0" w:rsidRPr="001C1A46">
        <w:rPr>
          <w:rFonts w:ascii="Century Gothic" w:hAnsi="Century Gothic"/>
          <w:color w:val="000000" w:themeColor="text1"/>
          <w:sz w:val="24"/>
        </w:rPr>
        <w:t>P</w:t>
      </w:r>
      <w:r w:rsidRPr="001C1A46">
        <w:rPr>
          <w:rFonts w:ascii="Century Gothic" w:hAnsi="Century Gothic"/>
          <w:color w:val="000000" w:themeColor="text1"/>
          <w:sz w:val="24"/>
        </w:rPr>
        <w:t xml:space="preserve">rocessor </w:t>
      </w:r>
      <w:r w:rsidR="009924A0" w:rsidRPr="001C1A46">
        <w:rPr>
          <w:rFonts w:ascii="Century Gothic" w:hAnsi="Century Gothic"/>
          <w:color w:val="000000" w:themeColor="text1"/>
          <w:sz w:val="24"/>
        </w:rPr>
        <w:t>P</w:t>
      </w:r>
      <w:r w:rsidRPr="001C1A46">
        <w:rPr>
          <w:rFonts w:ascii="Century Gothic" w:hAnsi="Century Gothic"/>
          <w:color w:val="000000" w:themeColor="text1"/>
          <w:sz w:val="24"/>
        </w:rPr>
        <w:t>olicy</w:t>
      </w:r>
      <w:bookmarkEnd w:id="101"/>
      <w:bookmarkEnd w:id="102"/>
      <w:bookmarkEnd w:id="103"/>
      <w:r w:rsidRPr="001C1A46">
        <w:rPr>
          <w:rFonts w:ascii="Century Gothic" w:hAnsi="Century Gothic"/>
          <w:color w:val="000000" w:themeColor="text1"/>
          <w:sz w:val="24"/>
        </w:rPr>
        <w:t xml:space="preserve"> (</w:t>
      </w:r>
      <w:r w:rsidR="009924A0" w:rsidRPr="001C1A46">
        <w:rPr>
          <w:rFonts w:ascii="Century Gothic" w:hAnsi="Century Gothic"/>
          <w:color w:val="000000" w:themeColor="text1"/>
          <w:sz w:val="24"/>
        </w:rPr>
        <w:t>E</w:t>
      </w:r>
      <w:r w:rsidRPr="001C1A46">
        <w:rPr>
          <w:rFonts w:ascii="Century Gothic" w:hAnsi="Century Gothic"/>
          <w:color w:val="000000" w:themeColor="text1"/>
          <w:sz w:val="24"/>
        </w:rPr>
        <w:t>xams)</w:t>
      </w:r>
      <w:bookmarkEnd w:id="104"/>
      <w:bookmarkEnd w:id="105"/>
      <w:bookmarkEnd w:id="106"/>
      <w:bookmarkEnd w:id="107"/>
      <w:bookmarkEnd w:id="108"/>
      <w:bookmarkEnd w:id="109"/>
    </w:p>
    <w:p w14:paraId="328EF512" w14:textId="0A35B812" w:rsidR="00844861" w:rsidRPr="001C1A46" w:rsidRDefault="00950329" w:rsidP="00844861">
      <w:pPr>
        <w:spacing w:line="276" w:lineRule="auto"/>
        <w:jc w:val="both"/>
        <w:rPr>
          <w:rFonts w:ascii="Century Gothic" w:hAnsi="Century Gothic"/>
          <w:color w:val="000000" w:themeColor="text1"/>
          <w:sz w:val="24"/>
          <w:szCs w:val="24"/>
        </w:rPr>
      </w:pPr>
      <w:r w:rsidRPr="00950329">
        <w:rPr>
          <w:rFonts w:ascii="Century Gothic" w:hAnsi="Century Gothic"/>
          <w:color w:val="000000" w:themeColor="text1"/>
          <w:sz w:val="24"/>
          <w:szCs w:val="24"/>
        </w:rPr>
        <w:t>An exam candidate may be approved the use of a word processor where this is appropriate to the candidate’s needs and not simply because the candidate now wants to type rather than write in exams or can work faster on a keyboard, or because they use a laptop at home. The use of a word processor must reflect the candidate’s normal way of working within the centre.</w:t>
      </w:r>
      <w:r w:rsidR="00612C8B">
        <w:rPr>
          <w:rFonts w:ascii="Century Gothic" w:hAnsi="Century Gothic"/>
          <w:color w:val="000000" w:themeColor="text1"/>
          <w:sz w:val="24"/>
          <w:szCs w:val="24"/>
        </w:rPr>
        <w:t xml:space="preserve"> </w:t>
      </w:r>
      <w:r w:rsidR="0038284E" w:rsidRPr="001C1A46">
        <w:rPr>
          <w:rFonts w:ascii="Century Gothic" w:hAnsi="Century Gothic"/>
          <w:color w:val="000000" w:themeColor="text1"/>
          <w:sz w:val="24"/>
          <w:szCs w:val="24"/>
        </w:rPr>
        <w:t xml:space="preserve">There is a separate word processor </w:t>
      </w:r>
      <w:r w:rsidR="00735DD3" w:rsidRPr="001C1A46">
        <w:rPr>
          <w:rFonts w:ascii="Century Gothic" w:hAnsi="Century Gothic"/>
          <w:color w:val="000000" w:themeColor="text1"/>
          <w:sz w:val="24"/>
          <w:szCs w:val="24"/>
        </w:rPr>
        <w:t>in</w:t>
      </w:r>
      <w:r w:rsidR="0038284E" w:rsidRPr="001C1A46">
        <w:rPr>
          <w:rFonts w:ascii="Century Gothic" w:hAnsi="Century Gothic"/>
          <w:color w:val="000000" w:themeColor="text1"/>
          <w:sz w:val="24"/>
          <w:szCs w:val="24"/>
        </w:rPr>
        <w:t xml:space="preserve"> exam</w:t>
      </w:r>
      <w:r w:rsidR="00735DD3" w:rsidRPr="001C1A46">
        <w:rPr>
          <w:rFonts w:ascii="Century Gothic" w:hAnsi="Century Gothic"/>
          <w:color w:val="000000" w:themeColor="text1"/>
          <w:sz w:val="24"/>
          <w:szCs w:val="24"/>
        </w:rPr>
        <w:t>s</w:t>
      </w:r>
      <w:r w:rsidR="0038284E" w:rsidRPr="001C1A46">
        <w:rPr>
          <w:rFonts w:ascii="Century Gothic" w:hAnsi="Century Gothic"/>
          <w:color w:val="000000" w:themeColor="text1"/>
          <w:sz w:val="24"/>
          <w:szCs w:val="24"/>
        </w:rPr>
        <w:t xml:space="preserve"> policy </w:t>
      </w:r>
      <w:r w:rsidR="00735DD3" w:rsidRPr="001C1A46">
        <w:rPr>
          <w:rFonts w:ascii="Century Gothic" w:hAnsi="Century Gothic"/>
          <w:color w:val="000000" w:themeColor="text1"/>
          <w:sz w:val="24"/>
          <w:szCs w:val="24"/>
        </w:rPr>
        <w:t>is in place, stored electronically in the SharePoint Exams Policy Documents Area</w:t>
      </w:r>
    </w:p>
    <w:p w14:paraId="4797FBC7" w14:textId="44E97153" w:rsidR="00844861" w:rsidRPr="001C1A46" w:rsidRDefault="00781D21" w:rsidP="00844861">
      <w:pPr>
        <w:pStyle w:val="Headinglevel2"/>
        <w:spacing w:before="240" w:after="120" w:line="276" w:lineRule="auto"/>
        <w:rPr>
          <w:rFonts w:ascii="Century Gothic" w:hAnsi="Century Gothic"/>
          <w:color w:val="000000" w:themeColor="text1"/>
          <w:sz w:val="24"/>
        </w:rPr>
      </w:pPr>
      <w:bookmarkStart w:id="110" w:name="_Toc443593731"/>
      <w:bookmarkStart w:id="111" w:name="_Toc466921639"/>
      <w:bookmarkStart w:id="112" w:name="_Toc490083865"/>
      <w:bookmarkStart w:id="113" w:name="_Toc496088805"/>
      <w:bookmarkStart w:id="114" w:name="_Toc523473895"/>
      <w:bookmarkStart w:id="115" w:name="_Toc22304711"/>
      <w:bookmarkStart w:id="116" w:name="_Toc22487039"/>
      <w:bookmarkStart w:id="117" w:name="_Toc22487158"/>
      <w:bookmarkStart w:id="118" w:name="_Toc51674470"/>
      <w:r w:rsidRPr="001C1A46">
        <w:rPr>
          <w:rFonts w:ascii="Century Gothic" w:hAnsi="Century Gothic"/>
          <w:color w:val="000000" w:themeColor="text1"/>
          <w:sz w:val="24"/>
        </w:rPr>
        <w:t xml:space="preserve">Alternative rooming </w:t>
      </w:r>
      <w:r w:rsidR="00D37C75" w:rsidRPr="001C1A46">
        <w:rPr>
          <w:rFonts w:ascii="Century Gothic" w:hAnsi="Century Gothic"/>
          <w:color w:val="000000" w:themeColor="text1"/>
          <w:sz w:val="24"/>
        </w:rPr>
        <w:t xml:space="preserve">arrangements </w:t>
      </w:r>
      <w:bookmarkEnd w:id="110"/>
      <w:bookmarkEnd w:id="111"/>
      <w:bookmarkEnd w:id="112"/>
      <w:bookmarkEnd w:id="113"/>
      <w:bookmarkEnd w:id="114"/>
      <w:bookmarkEnd w:id="115"/>
      <w:bookmarkEnd w:id="116"/>
      <w:bookmarkEnd w:id="117"/>
      <w:r w:rsidR="00930D38" w:rsidRPr="001C1A46">
        <w:rPr>
          <w:rFonts w:ascii="Century Gothic" w:hAnsi="Century Gothic"/>
          <w:color w:val="000000" w:themeColor="text1"/>
          <w:sz w:val="24"/>
        </w:rPr>
        <w:t>Policy</w:t>
      </w:r>
      <w:bookmarkEnd w:id="118"/>
    </w:p>
    <w:p w14:paraId="1368C4DB" w14:textId="31EE9F4F" w:rsidR="00D37C75" w:rsidRPr="001C1A46" w:rsidRDefault="00D37C75" w:rsidP="00D37C75">
      <w:pPr>
        <w:pStyle w:val="Headinglevel2"/>
        <w:spacing w:before="240" w:after="120" w:line="276" w:lineRule="auto"/>
        <w:rPr>
          <w:rFonts w:ascii="Century Gothic" w:hAnsi="Century Gothic"/>
          <w:b w:val="0"/>
          <w:bCs/>
          <w:color w:val="000000" w:themeColor="text1"/>
          <w:sz w:val="24"/>
        </w:rPr>
      </w:pPr>
      <w:r w:rsidRPr="001C1A46">
        <w:rPr>
          <w:rFonts w:ascii="Century Gothic" w:hAnsi="Century Gothic"/>
          <w:b w:val="0"/>
          <w:bCs/>
          <w:color w:val="000000" w:themeColor="text1"/>
          <w:sz w:val="24"/>
        </w:rPr>
        <w:t>There is a separate Alternative rooming arrangements Policy in place, stored electronically in the SharePoint Exams Policy Documents Area</w:t>
      </w:r>
    </w:p>
    <w:p w14:paraId="2CA2ECBE" w14:textId="4D017090" w:rsidR="00844861" w:rsidRPr="001C1A46" w:rsidRDefault="00844861" w:rsidP="0084486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 xml:space="preserve">A decision where an exam candidate may be approved </w:t>
      </w:r>
      <w:r w:rsidR="0054473A" w:rsidRPr="001C1A46">
        <w:rPr>
          <w:rFonts w:ascii="Century Gothic" w:hAnsi="Century Gothic"/>
          <w:color w:val="000000" w:themeColor="text1"/>
          <w:sz w:val="24"/>
          <w:szCs w:val="24"/>
        </w:rPr>
        <w:t xml:space="preserve">for </w:t>
      </w:r>
      <w:r w:rsidR="005E3B82" w:rsidRPr="001C1A46">
        <w:rPr>
          <w:rFonts w:ascii="Century Gothic" w:hAnsi="Century Gothic"/>
          <w:color w:val="000000" w:themeColor="text1"/>
          <w:sz w:val="24"/>
          <w:szCs w:val="24"/>
        </w:rPr>
        <w:t>alternative rooming arrangements, e.g. a room for a smaller group of candidates with similar needs (formerly known as separate invigilation) will be made by the SENCo</w:t>
      </w:r>
      <w:r w:rsidR="002036C7" w:rsidRPr="001C1A46">
        <w:rPr>
          <w:rFonts w:ascii="Century Gothic" w:hAnsi="Century Gothic"/>
          <w:color w:val="000000" w:themeColor="text1"/>
          <w:sz w:val="24"/>
          <w:szCs w:val="24"/>
        </w:rPr>
        <w:t xml:space="preserve"> or equivalent</w:t>
      </w:r>
      <w:r w:rsidR="005E3B82" w:rsidRPr="001C1A46">
        <w:rPr>
          <w:rFonts w:ascii="Century Gothic" w:hAnsi="Century Gothic"/>
          <w:color w:val="000000" w:themeColor="text1"/>
          <w:sz w:val="24"/>
          <w:szCs w:val="24"/>
        </w:rPr>
        <w:t xml:space="preserve">. </w:t>
      </w:r>
    </w:p>
    <w:p w14:paraId="255FC460" w14:textId="77777777" w:rsidR="008F5A9C" w:rsidRPr="001C1A46" w:rsidRDefault="008F5A9C" w:rsidP="00844861">
      <w:pPr>
        <w:spacing w:line="276" w:lineRule="auto"/>
        <w:jc w:val="both"/>
        <w:rPr>
          <w:rFonts w:ascii="Century Gothic" w:hAnsi="Century Gothic"/>
          <w:color w:val="000000" w:themeColor="text1"/>
          <w:sz w:val="24"/>
          <w:szCs w:val="24"/>
        </w:rPr>
      </w:pPr>
    </w:p>
    <w:p w14:paraId="0160FAA3" w14:textId="076413FF" w:rsidR="00844861" w:rsidRPr="001C1A46" w:rsidRDefault="00844861" w:rsidP="00844861">
      <w:pPr>
        <w:spacing w:line="276" w:lineRule="auto"/>
        <w:jc w:val="both"/>
        <w:rPr>
          <w:rFonts w:ascii="Century Gothic" w:hAnsi="Century Gothic"/>
          <w:color w:val="000000" w:themeColor="text1"/>
          <w:sz w:val="24"/>
          <w:szCs w:val="24"/>
        </w:rPr>
      </w:pPr>
      <w:r w:rsidRPr="001C1A46">
        <w:rPr>
          <w:rFonts w:ascii="Century Gothic" w:hAnsi="Century Gothic"/>
          <w:color w:val="000000" w:themeColor="text1"/>
          <w:sz w:val="24"/>
          <w:szCs w:val="24"/>
        </w:rPr>
        <w:t>The decision will be based on</w:t>
      </w:r>
      <w:r w:rsidR="00A15719" w:rsidRPr="001C1A46">
        <w:rPr>
          <w:rFonts w:ascii="Century Gothic" w:hAnsi="Century Gothic"/>
          <w:color w:val="000000" w:themeColor="text1"/>
          <w:sz w:val="24"/>
          <w:szCs w:val="24"/>
        </w:rPr>
        <w:t>:</w:t>
      </w:r>
      <w:r w:rsidRPr="001C1A46">
        <w:rPr>
          <w:rFonts w:ascii="Century Gothic" w:hAnsi="Century Gothic"/>
          <w:color w:val="000000" w:themeColor="text1"/>
          <w:sz w:val="24"/>
          <w:szCs w:val="24"/>
        </w:rPr>
        <w:t xml:space="preserve"> </w:t>
      </w:r>
    </w:p>
    <w:p w14:paraId="007BE8E1" w14:textId="1F955878" w:rsidR="00844861" w:rsidRPr="001C1A46" w:rsidRDefault="00844861" w:rsidP="00A25051">
      <w:pPr>
        <w:pStyle w:val="ListParagraph"/>
        <w:numPr>
          <w:ilvl w:val="0"/>
          <w:numId w:val="2"/>
        </w:numPr>
        <w:spacing w:line="276" w:lineRule="auto"/>
        <w:jc w:val="both"/>
        <w:rPr>
          <w:rFonts w:ascii="Century Gothic" w:hAnsi="Century Gothic" w:cs="Tahoma"/>
          <w:iCs/>
          <w:color w:val="000000" w:themeColor="text1"/>
          <w:sz w:val="24"/>
          <w:szCs w:val="24"/>
        </w:rPr>
      </w:pPr>
      <w:r w:rsidRPr="001C1A46">
        <w:rPr>
          <w:rFonts w:ascii="Century Gothic" w:hAnsi="Century Gothic" w:cs="Tahoma"/>
          <w:iCs/>
          <w:color w:val="000000" w:themeColor="text1"/>
          <w:sz w:val="24"/>
          <w:szCs w:val="24"/>
        </w:rPr>
        <w:t xml:space="preserve">whether the candidate has a substantial and </w:t>
      </w:r>
      <w:r w:rsidR="0038284E" w:rsidRPr="001C1A46">
        <w:rPr>
          <w:rFonts w:ascii="Century Gothic" w:hAnsi="Century Gothic" w:cs="Tahoma"/>
          <w:iCs/>
          <w:color w:val="000000" w:themeColor="text1"/>
          <w:sz w:val="24"/>
          <w:szCs w:val="24"/>
        </w:rPr>
        <w:t>long-term</w:t>
      </w:r>
      <w:r w:rsidRPr="001C1A46">
        <w:rPr>
          <w:rFonts w:ascii="Century Gothic" w:hAnsi="Century Gothic" w:cs="Tahoma"/>
          <w:iCs/>
          <w:color w:val="000000" w:themeColor="text1"/>
          <w:sz w:val="24"/>
          <w:szCs w:val="24"/>
        </w:rPr>
        <w:t xml:space="preserve"> impairment which has an adverse effect; </w:t>
      </w:r>
      <w:r w:rsidRPr="001C1A46">
        <w:rPr>
          <w:rFonts w:ascii="Century Gothic" w:hAnsi="Century Gothic" w:cs="Tahoma"/>
          <w:iCs/>
          <w:color w:val="000000" w:themeColor="text1"/>
          <w:sz w:val="24"/>
          <w:szCs w:val="24"/>
          <w:u w:val="single"/>
        </w:rPr>
        <w:t>and</w:t>
      </w:r>
      <w:r w:rsidRPr="001C1A46">
        <w:rPr>
          <w:rFonts w:ascii="Century Gothic" w:hAnsi="Century Gothic" w:cs="Tahoma"/>
          <w:iCs/>
          <w:color w:val="000000" w:themeColor="text1"/>
          <w:sz w:val="24"/>
          <w:szCs w:val="24"/>
        </w:rPr>
        <w:t xml:space="preserve"> </w:t>
      </w:r>
    </w:p>
    <w:p w14:paraId="5C3C9EA8" w14:textId="207697A5" w:rsidR="00922CE8" w:rsidRPr="001C1A46" w:rsidRDefault="00844861" w:rsidP="00B25F80">
      <w:pPr>
        <w:pStyle w:val="ListParagraph"/>
        <w:numPr>
          <w:ilvl w:val="0"/>
          <w:numId w:val="2"/>
        </w:numPr>
        <w:spacing w:after="240" w:line="276" w:lineRule="auto"/>
        <w:jc w:val="both"/>
        <w:outlineLvl w:val="0"/>
        <w:rPr>
          <w:rFonts w:ascii="Century Gothic" w:hAnsi="Century Gothic" w:cs="Tahoma"/>
          <w:color w:val="000000" w:themeColor="text1"/>
          <w:sz w:val="24"/>
          <w:szCs w:val="24"/>
        </w:rPr>
      </w:pPr>
      <w:r w:rsidRPr="001C1A46">
        <w:rPr>
          <w:rFonts w:ascii="Century Gothic" w:hAnsi="Century Gothic" w:cs="Tahoma"/>
          <w:iCs/>
          <w:color w:val="000000" w:themeColor="text1"/>
          <w:sz w:val="24"/>
          <w:szCs w:val="24"/>
        </w:rPr>
        <w:t>the candidate’s normal way of working within the centre</w:t>
      </w:r>
      <w:r w:rsidR="00FB450E" w:rsidRPr="001C1A46">
        <w:rPr>
          <w:rFonts w:ascii="Century Gothic" w:hAnsi="Century Gothic" w:cs="Tahoma"/>
          <w:color w:val="000000" w:themeColor="text1"/>
          <w:sz w:val="24"/>
          <w:szCs w:val="24"/>
        </w:rPr>
        <w:t xml:space="preserve"> </w:t>
      </w:r>
      <w:r w:rsidR="00922CE8" w:rsidRPr="001C1A46">
        <w:rPr>
          <w:rFonts w:ascii="Century Gothic" w:hAnsi="Century Gothic" w:cs="Arial"/>
          <w:color w:val="000000" w:themeColor="text1"/>
          <w:sz w:val="24"/>
          <w:szCs w:val="24"/>
        </w:rPr>
        <w:t>(</w:t>
      </w:r>
      <w:hyperlink r:id="rId23" w:history="1">
        <w:r w:rsidR="00D92D2F" w:rsidRPr="001C1A46">
          <w:rPr>
            <w:rStyle w:val="Hyperlink"/>
            <w:rFonts w:ascii="Century Gothic" w:hAnsi="Century Gothic" w:cs="Arial"/>
            <w:color w:val="000000" w:themeColor="text1"/>
            <w:sz w:val="24"/>
            <w:szCs w:val="24"/>
            <w:u w:val="none"/>
          </w:rPr>
          <w:t>AARA</w:t>
        </w:r>
      </w:hyperlink>
      <w:r w:rsidRPr="001C1A46">
        <w:rPr>
          <w:rStyle w:val="Hyperlink"/>
          <w:rFonts w:ascii="Century Gothic" w:hAnsi="Century Gothic" w:cs="Arial"/>
          <w:color w:val="000000" w:themeColor="text1"/>
          <w:sz w:val="24"/>
          <w:szCs w:val="24"/>
          <w:u w:val="none"/>
        </w:rPr>
        <w:t xml:space="preserve"> </w:t>
      </w:r>
      <w:r w:rsidRPr="001C1A46">
        <w:rPr>
          <w:rFonts w:ascii="Century Gothic" w:hAnsi="Century Gothic" w:cs="Arial"/>
          <w:color w:val="000000" w:themeColor="text1"/>
          <w:sz w:val="24"/>
          <w:szCs w:val="24"/>
        </w:rPr>
        <w:t>5.16</w:t>
      </w:r>
      <w:r w:rsidR="00922CE8" w:rsidRPr="001C1A46">
        <w:rPr>
          <w:rFonts w:ascii="Century Gothic" w:hAnsi="Century Gothic" w:cs="Arial"/>
          <w:color w:val="000000" w:themeColor="text1"/>
          <w:sz w:val="24"/>
          <w:szCs w:val="24"/>
        </w:rPr>
        <w:t>)</w:t>
      </w:r>
    </w:p>
    <w:p w14:paraId="3E9A7445" w14:textId="61F331D7" w:rsidR="001F086A" w:rsidRPr="001C1A46" w:rsidRDefault="006A2D35" w:rsidP="00C21320">
      <w:pPr>
        <w:ind w:left="360"/>
        <w:rPr>
          <w:rFonts w:ascii="Century Gothic" w:hAnsi="Century Gothic" w:cs="Tahoma"/>
          <w:color w:val="404040" w:themeColor="text1" w:themeTint="BF"/>
          <w:sz w:val="24"/>
          <w:szCs w:val="24"/>
        </w:rPr>
      </w:pPr>
      <w:r w:rsidRPr="001C1A46">
        <w:rPr>
          <w:rFonts w:ascii="Century Gothic" w:hAnsi="Century Gothic" w:cs="Tahoma"/>
          <w:color w:val="404040" w:themeColor="text1" w:themeTint="BF"/>
          <w:sz w:val="24"/>
          <w:szCs w:val="24"/>
        </w:rPr>
        <w:t>Alternative Rooming arrangements</w:t>
      </w:r>
      <w:r w:rsidR="001F086A" w:rsidRPr="001C1A46">
        <w:rPr>
          <w:rFonts w:ascii="Century Gothic" w:hAnsi="Century Gothic" w:cs="Tahoma"/>
          <w:color w:val="404040" w:themeColor="text1" w:themeTint="BF"/>
          <w:sz w:val="24"/>
          <w:szCs w:val="24"/>
        </w:rPr>
        <w:t xml:space="preserve"> must reflect the candidate’s normal and current way of working in internal school tests and mock examinations. </w:t>
      </w:r>
    </w:p>
    <w:p w14:paraId="00DC1774" w14:textId="3C945ED9" w:rsidR="001F086A" w:rsidRPr="00C21320" w:rsidRDefault="001F086A" w:rsidP="00C21320">
      <w:pPr>
        <w:spacing w:after="240" w:line="276" w:lineRule="auto"/>
        <w:ind w:left="360"/>
        <w:jc w:val="both"/>
        <w:outlineLvl w:val="0"/>
        <w:rPr>
          <w:rFonts w:ascii="Century Gothic" w:hAnsi="Century Gothic" w:cs="Tahoma"/>
          <w:color w:val="000000" w:themeColor="text1"/>
          <w:sz w:val="24"/>
          <w:szCs w:val="24"/>
        </w:rPr>
      </w:pPr>
      <w:r w:rsidRPr="001C1A46">
        <w:rPr>
          <w:rFonts w:ascii="Century Gothic" w:hAnsi="Century Gothic" w:cs="Tahoma"/>
          <w:color w:val="404040" w:themeColor="text1" w:themeTint="BF"/>
          <w:sz w:val="24"/>
          <w:szCs w:val="24"/>
        </w:rPr>
        <w:t>Nervousness, low level anxiety or being worried about examinations is not sufficient grounds for separate invigilation within the centre. (</w:t>
      </w:r>
      <w:hyperlink r:id="rId24" w:history="1">
        <w:r w:rsidR="00D92D2F" w:rsidRPr="001C1A46">
          <w:rPr>
            <w:rStyle w:val="Hyperlink"/>
            <w:rFonts w:ascii="Century Gothic" w:hAnsi="Century Gothic" w:cs="Tahoma"/>
            <w:color w:val="0070C0"/>
            <w:sz w:val="24"/>
            <w:szCs w:val="24"/>
            <w:u w:val="none"/>
          </w:rPr>
          <w:t>AARA</w:t>
        </w:r>
      </w:hyperlink>
      <w:r w:rsidRPr="001C1A46">
        <w:rPr>
          <w:rFonts w:ascii="Century Gothic" w:hAnsi="Century Gothic" w:cs="Tahoma"/>
          <w:color w:val="404040" w:themeColor="text1" w:themeTint="BF"/>
          <w:sz w:val="24"/>
          <w:szCs w:val="24"/>
        </w:rPr>
        <w:t>, section 5.16)</w:t>
      </w:r>
      <w:r w:rsidRPr="00C21320">
        <w:rPr>
          <w:rFonts w:ascii="Century Gothic" w:hAnsi="Century Gothic" w:cs="Tahoma"/>
          <w:b/>
          <w:bCs/>
          <w:color w:val="404040" w:themeColor="text1" w:themeTint="BF"/>
          <w:sz w:val="24"/>
          <w:szCs w:val="24"/>
        </w:rPr>
        <w:t xml:space="preserve">                              </w:t>
      </w:r>
      <w:r w:rsidRPr="00C21320">
        <w:rPr>
          <w:rFonts w:ascii="Century Gothic" w:hAnsi="Century Gothic" w:cs="Tahoma"/>
          <w:color w:val="404040" w:themeColor="text1" w:themeTint="BF"/>
          <w:sz w:val="24"/>
          <w:szCs w:val="24"/>
        </w:rPr>
        <w:t xml:space="preserve">                                                        </w:t>
      </w:r>
      <w:bookmarkEnd w:id="37"/>
      <w:bookmarkEnd w:id="38"/>
      <w:bookmarkEnd w:id="93"/>
    </w:p>
    <w:sectPr w:rsidR="001F086A" w:rsidRPr="00C21320" w:rsidSect="00F642BC">
      <w:footerReference w:type="default" r:id="rId25"/>
      <w:footerReference w:type="first" r:id="rId26"/>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F93E" w14:textId="77777777" w:rsidR="008C6B42" w:rsidRDefault="008C6B42" w:rsidP="00572EAE">
      <w:pPr>
        <w:spacing w:after="0"/>
      </w:pPr>
      <w:r>
        <w:separator/>
      </w:r>
    </w:p>
  </w:endnote>
  <w:endnote w:type="continuationSeparator" w:id="0">
    <w:p w14:paraId="2B424E5F" w14:textId="77777777" w:rsidR="008C6B42" w:rsidRDefault="008C6B42" w:rsidP="00572EAE">
      <w:pPr>
        <w:spacing w:after="0"/>
      </w:pPr>
      <w:r>
        <w:continuationSeparator/>
      </w:r>
    </w:p>
  </w:endnote>
  <w:endnote w:type="continuationNotice" w:id="1">
    <w:p w14:paraId="116B1D74" w14:textId="77777777" w:rsidR="008C6B42" w:rsidRDefault="008C6B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F00F" w14:textId="3B5F90F6" w:rsidR="00844861" w:rsidRPr="00DD4683" w:rsidRDefault="003D46AD" w:rsidP="002E1E80">
    <w:pPr>
      <w:pStyle w:val="Default"/>
      <w:jc w:val="right"/>
      <w:rPr>
        <w:rFonts w:ascii="Verdana" w:hAnsi="Verdana"/>
        <w:noProof/>
        <w:sz w:val="18"/>
        <w:szCs w:val="18"/>
        <w:vertAlign w:val="subscript"/>
      </w:rPr>
    </w:pPr>
    <w:r w:rsidRPr="003D46AD">
      <w:rPr>
        <w:rFonts w:ascii="Verdana" w:hAnsi="Verdana"/>
        <w:noProof/>
        <w:sz w:val="18"/>
        <w:szCs w:val="18"/>
        <w:vertAlign w:val="subscript"/>
      </w:rPr>
      <mc:AlternateContent>
        <mc:Choice Requires="wpg">
          <w:drawing>
            <wp:anchor distT="0" distB="0" distL="114300" distR="114300" simplePos="0" relativeHeight="251658240" behindDoc="0" locked="0" layoutInCell="1" allowOverlap="1" wp14:anchorId="5C48F0BA" wp14:editId="7547F4B8">
              <wp:simplePos x="0" y="0"/>
              <wp:positionH relativeFrom="page">
                <wp:align>right</wp:align>
              </wp:positionH>
              <wp:positionV relativeFrom="bottomMargin">
                <wp:align>center</wp:align>
              </wp:positionV>
              <wp:extent cx="6172200" cy="347345"/>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347345"/>
                        <a:chOff x="0" y="0"/>
                        <a:chExt cx="6172200" cy="34734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E88F7" w14:textId="3E02FC51" w:rsidR="003D46AD" w:rsidRDefault="003D46AD">
                            <w:pPr>
                              <w:pStyle w:val="Footer"/>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C48F0BA" id="Group 164" o:spid="_x0000_s1026" style="position:absolute;left:0;text-align:left;margin-left:434.8pt;margin-top:0;width:486pt;height:27.35pt;z-index:251658240;mso-position-horizontal:right;mso-position-horizontal-relative:page;mso-position-vertical:center;mso-position-vertical-relative:bottom-margin-area" coordsize="61722,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1EE88F7" w14:textId="3E02FC51" w:rsidR="003D46AD" w:rsidRDefault="003D46AD">
                      <w:pPr>
                        <w:pStyle w:val="Footer"/>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1308" w14:textId="77777777" w:rsidR="008C6B42" w:rsidRDefault="008C6B42" w:rsidP="00572EAE">
      <w:pPr>
        <w:spacing w:after="0"/>
      </w:pPr>
      <w:r>
        <w:separator/>
      </w:r>
    </w:p>
  </w:footnote>
  <w:footnote w:type="continuationSeparator" w:id="0">
    <w:p w14:paraId="3BC3EFEE" w14:textId="77777777" w:rsidR="008C6B42" w:rsidRDefault="008C6B42" w:rsidP="00572EAE">
      <w:pPr>
        <w:spacing w:after="0"/>
      </w:pPr>
      <w:r>
        <w:continuationSeparator/>
      </w:r>
    </w:p>
  </w:footnote>
  <w:footnote w:type="continuationNotice" w:id="1">
    <w:p w14:paraId="111EDEBD" w14:textId="77777777" w:rsidR="008C6B42" w:rsidRDefault="008C6B4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159CC"/>
    <w:multiLevelType w:val="hybridMultilevel"/>
    <w:tmpl w:val="6FF46882"/>
    <w:lvl w:ilvl="0" w:tplc="0EE0F7B8">
      <w:start w:val="1"/>
      <w:numFmt w:val="bullet"/>
      <w:lvlText w:val=""/>
      <w:lvlJc w:val="left"/>
      <w:pPr>
        <w:ind w:left="36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852657">
    <w:abstractNumId w:val="2"/>
  </w:num>
  <w:num w:numId="2" w16cid:durableId="2116172238">
    <w:abstractNumId w:val="5"/>
  </w:num>
  <w:num w:numId="3" w16cid:durableId="1803696828">
    <w:abstractNumId w:val="15"/>
  </w:num>
  <w:num w:numId="4" w16cid:durableId="365566076">
    <w:abstractNumId w:val="1"/>
  </w:num>
  <w:num w:numId="5" w16cid:durableId="842472867">
    <w:abstractNumId w:val="7"/>
  </w:num>
  <w:num w:numId="6" w16cid:durableId="404689031">
    <w:abstractNumId w:val="11"/>
  </w:num>
  <w:num w:numId="7" w16cid:durableId="1672564841">
    <w:abstractNumId w:val="0"/>
  </w:num>
  <w:num w:numId="8" w16cid:durableId="1833374293">
    <w:abstractNumId w:val="3"/>
  </w:num>
  <w:num w:numId="9" w16cid:durableId="1415054225">
    <w:abstractNumId w:val="4"/>
  </w:num>
  <w:num w:numId="10" w16cid:durableId="410542277">
    <w:abstractNumId w:val="13"/>
  </w:num>
  <w:num w:numId="11" w16cid:durableId="478113128">
    <w:abstractNumId w:val="9"/>
  </w:num>
  <w:num w:numId="12" w16cid:durableId="1629511583">
    <w:abstractNumId w:val="6"/>
  </w:num>
  <w:num w:numId="13" w16cid:durableId="1391728844">
    <w:abstractNumId w:val="17"/>
  </w:num>
  <w:num w:numId="14" w16cid:durableId="1347558703">
    <w:abstractNumId w:val="10"/>
  </w:num>
  <w:num w:numId="15" w16cid:durableId="356735174">
    <w:abstractNumId w:val="12"/>
  </w:num>
  <w:num w:numId="16" w16cid:durableId="1794245509">
    <w:abstractNumId w:val="16"/>
  </w:num>
  <w:num w:numId="17" w16cid:durableId="1404790482">
    <w:abstractNumId w:val="14"/>
  </w:num>
  <w:num w:numId="18" w16cid:durableId="93285830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3F6A"/>
    <w:rsid w:val="00025DAF"/>
    <w:rsid w:val="000265A8"/>
    <w:rsid w:val="0003095E"/>
    <w:rsid w:val="00033626"/>
    <w:rsid w:val="00036206"/>
    <w:rsid w:val="0003799B"/>
    <w:rsid w:val="000409C9"/>
    <w:rsid w:val="000412D6"/>
    <w:rsid w:val="000441B5"/>
    <w:rsid w:val="000445FF"/>
    <w:rsid w:val="00044888"/>
    <w:rsid w:val="00045172"/>
    <w:rsid w:val="0004576F"/>
    <w:rsid w:val="000459D4"/>
    <w:rsid w:val="00045EAC"/>
    <w:rsid w:val="00047590"/>
    <w:rsid w:val="00047D77"/>
    <w:rsid w:val="000509F3"/>
    <w:rsid w:val="00051F51"/>
    <w:rsid w:val="0005591C"/>
    <w:rsid w:val="0005650A"/>
    <w:rsid w:val="00056ECD"/>
    <w:rsid w:val="000609D4"/>
    <w:rsid w:val="00062988"/>
    <w:rsid w:val="00063959"/>
    <w:rsid w:val="00064F02"/>
    <w:rsid w:val="000709D9"/>
    <w:rsid w:val="00072C6F"/>
    <w:rsid w:val="00072F30"/>
    <w:rsid w:val="00074A36"/>
    <w:rsid w:val="000750AD"/>
    <w:rsid w:val="000800DE"/>
    <w:rsid w:val="00080423"/>
    <w:rsid w:val="000831C0"/>
    <w:rsid w:val="00086102"/>
    <w:rsid w:val="000875A7"/>
    <w:rsid w:val="0009252E"/>
    <w:rsid w:val="00097CF9"/>
    <w:rsid w:val="000A0EE1"/>
    <w:rsid w:val="000A1629"/>
    <w:rsid w:val="000A5B8B"/>
    <w:rsid w:val="000A6652"/>
    <w:rsid w:val="000B0453"/>
    <w:rsid w:val="000B29C9"/>
    <w:rsid w:val="000C118C"/>
    <w:rsid w:val="000C2701"/>
    <w:rsid w:val="000D12FC"/>
    <w:rsid w:val="000D1B7A"/>
    <w:rsid w:val="000D1C29"/>
    <w:rsid w:val="000D60C0"/>
    <w:rsid w:val="000E1235"/>
    <w:rsid w:val="000E1253"/>
    <w:rsid w:val="000E27A5"/>
    <w:rsid w:val="000F34BD"/>
    <w:rsid w:val="000F5577"/>
    <w:rsid w:val="000F566D"/>
    <w:rsid w:val="00100BE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5D3B"/>
    <w:rsid w:val="00196924"/>
    <w:rsid w:val="00196B3E"/>
    <w:rsid w:val="00196C60"/>
    <w:rsid w:val="001973EE"/>
    <w:rsid w:val="001A0CA6"/>
    <w:rsid w:val="001A24D6"/>
    <w:rsid w:val="001A57D2"/>
    <w:rsid w:val="001B0600"/>
    <w:rsid w:val="001B3F57"/>
    <w:rsid w:val="001B42C8"/>
    <w:rsid w:val="001B51BC"/>
    <w:rsid w:val="001B5CC1"/>
    <w:rsid w:val="001B635E"/>
    <w:rsid w:val="001C12A2"/>
    <w:rsid w:val="001C1A46"/>
    <w:rsid w:val="001C717B"/>
    <w:rsid w:val="001D189E"/>
    <w:rsid w:val="001D489A"/>
    <w:rsid w:val="001D6ED6"/>
    <w:rsid w:val="001D7D13"/>
    <w:rsid w:val="001E0C9D"/>
    <w:rsid w:val="001E1340"/>
    <w:rsid w:val="001E172B"/>
    <w:rsid w:val="001F0350"/>
    <w:rsid w:val="001F086A"/>
    <w:rsid w:val="001F0C28"/>
    <w:rsid w:val="001F4DD8"/>
    <w:rsid w:val="001F59AD"/>
    <w:rsid w:val="001F7769"/>
    <w:rsid w:val="00200ABE"/>
    <w:rsid w:val="002026FD"/>
    <w:rsid w:val="00202AFA"/>
    <w:rsid w:val="002036C7"/>
    <w:rsid w:val="0020477E"/>
    <w:rsid w:val="00212AD1"/>
    <w:rsid w:val="0021365B"/>
    <w:rsid w:val="00214318"/>
    <w:rsid w:val="00214342"/>
    <w:rsid w:val="00214CB1"/>
    <w:rsid w:val="002161E9"/>
    <w:rsid w:val="002202FC"/>
    <w:rsid w:val="002301A0"/>
    <w:rsid w:val="002322D1"/>
    <w:rsid w:val="00233410"/>
    <w:rsid w:val="0023628E"/>
    <w:rsid w:val="002416DB"/>
    <w:rsid w:val="002417F2"/>
    <w:rsid w:val="00244E0C"/>
    <w:rsid w:val="00244FC1"/>
    <w:rsid w:val="00247D1F"/>
    <w:rsid w:val="00250816"/>
    <w:rsid w:val="002522E9"/>
    <w:rsid w:val="0025243A"/>
    <w:rsid w:val="00254B9A"/>
    <w:rsid w:val="0025563D"/>
    <w:rsid w:val="0026067D"/>
    <w:rsid w:val="00261B74"/>
    <w:rsid w:val="00265862"/>
    <w:rsid w:val="002660C5"/>
    <w:rsid w:val="0026639D"/>
    <w:rsid w:val="00267849"/>
    <w:rsid w:val="00272683"/>
    <w:rsid w:val="002733F6"/>
    <w:rsid w:val="002747EB"/>
    <w:rsid w:val="00276340"/>
    <w:rsid w:val="00283160"/>
    <w:rsid w:val="00283445"/>
    <w:rsid w:val="002837F1"/>
    <w:rsid w:val="002859FB"/>
    <w:rsid w:val="0028705D"/>
    <w:rsid w:val="002923DF"/>
    <w:rsid w:val="00294309"/>
    <w:rsid w:val="002978B9"/>
    <w:rsid w:val="00297C0F"/>
    <w:rsid w:val="002A184A"/>
    <w:rsid w:val="002A1C13"/>
    <w:rsid w:val="002A4FF4"/>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1C2D"/>
    <w:rsid w:val="002E1E80"/>
    <w:rsid w:val="002E233C"/>
    <w:rsid w:val="002E53FB"/>
    <w:rsid w:val="002E61A2"/>
    <w:rsid w:val="002E653E"/>
    <w:rsid w:val="002E6CAE"/>
    <w:rsid w:val="002F16B9"/>
    <w:rsid w:val="002F1E6E"/>
    <w:rsid w:val="002F26D1"/>
    <w:rsid w:val="002F329D"/>
    <w:rsid w:val="002F729A"/>
    <w:rsid w:val="00304D8B"/>
    <w:rsid w:val="00307AC1"/>
    <w:rsid w:val="003107CB"/>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8284E"/>
    <w:rsid w:val="00384237"/>
    <w:rsid w:val="00392945"/>
    <w:rsid w:val="00393116"/>
    <w:rsid w:val="003946AA"/>
    <w:rsid w:val="0039606C"/>
    <w:rsid w:val="003A128A"/>
    <w:rsid w:val="003A183A"/>
    <w:rsid w:val="003A413B"/>
    <w:rsid w:val="003A55AC"/>
    <w:rsid w:val="003A62A8"/>
    <w:rsid w:val="003B0976"/>
    <w:rsid w:val="003B25A1"/>
    <w:rsid w:val="003B4F45"/>
    <w:rsid w:val="003C1B1D"/>
    <w:rsid w:val="003C1E94"/>
    <w:rsid w:val="003D46AD"/>
    <w:rsid w:val="003D4CFA"/>
    <w:rsid w:val="003D6C61"/>
    <w:rsid w:val="003D78DD"/>
    <w:rsid w:val="003E1B12"/>
    <w:rsid w:val="003E2B20"/>
    <w:rsid w:val="003E5898"/>
    <w:rsid w:val="003E5BF3"/>
    <w:rsid w:val="003F08A6"/>
    <w:rsid w:val="003F54FB"/>
    <w:rsid w:val="003F5E28"/>
    <w:rsid w:val="003F66FE"/>
    <w:rsid w:val="004172F8"/>
    <w:rsid w:val="00420DEB"/>
    <w:rsid w:val="0042123F"/>
    <w:rsid w:val="0042211B"/>
    <w:rsid w:val="004250C5"/>
    <w:rsid w:val="004253A8"/>
    <w:rsid w:val="004253DB"/>
    <w:rsid w:val="004314F6"/>
    <w:rsid w:val="00432C92"/>
    <w:rsid w:val="004374FD"/>
    <w:rsid w:val="00437F62"/>
    <w:rsid w:val="00441905"/>
    <w:rsid w:val="0044218B"/>
    <w:rsid w:val="00444C24"/>
    <w:rsid w:val="00451451"/>
    <w:rsid w:val="0045187F"/>
    <w:rsid w:val="0045394B"/>
    <w:rsid w:val="00453A8A"/>
    <w:rsid w:val="00454711"/>
    <w:rsid w:val="00456C91"/>
    <w:rsid w:val="00462EFB"/>
    <w:rsid w:val="004738FF"/>
    <w:rsid w:val="00473D52"/>
    <w:rsid w:val="00484DD9"/>
    <w:rsid w:val="00487EEB"/>
    <w:rsid w:val="00494A0C"/>
    <w:rsid w:val="00495501"/>
    <w:rsid w:val="004A2E20"/>
    <w:rsid w:val="004A4C84"/>
    <w:rsid w:val="004A5171"/>
    <w:rsid w:val="004A64CC"/>
    <w:rsid w:val="004A6AFB"/>
    <w:rsid w:val="004B1115"/>
    <w:rsid w:val="004B35E1"/>
    <w:rsid w:val="004B4DA2"/>
    <w:rsid w:val="004B5B29"/>
    <w:rsid w:val="004B5D0D"/>
    <w:rsid w:val="004C3462"/>
    <w:rsid w:val="004C6683"/>
    <w:rsid w:val="004D2901"/>
    <w:rsid w:val="004D57C7"/>
    <w:rsid w:val="004D602B"/>
    <w:rsid w:val="004D7615"/>
    <w:rsid w:val="004D7F6F"/>
    <w:rsid w:val="004E027A"/>
    <w:rsid w:val="004E1F8B"/>
    <w:rsid w:val="004E3038"/>
    <w:rsid w:val="004E4EC1"/>
    <w:rsid w:val="004E57AA"/>
    <w:rsid w:val="004E61A2"/>
    <w:rsid w:val="004F181E"/>
    <w:rsid w:val="004F233D"/>
    <w:rsid w:val="004F2B1A"/>
    <w:rsid w:val="004F56D2"/>
    <w:rsid w:val="004F69EF"/>
    <w:rsid w:val="004F7D0D"/>
    <w:rsid w:val="00500492"/>
    <w:rsid w:val="005006A9"/>
    <w:rsid w:val="00501F32"/>
    <w:rsid w:val="00505172"/>
    <w:rsid w:val="00506548"/>
    <w:rsid w:val="005068A5"/>
    <w:rsid w:val="005076CF"/>
    <w:rsid w:val="0051144C"/>
    <w:rsid w:val="0051267C"/>
    <w:rsid w:val="005130B2"/>
    <w:rsid w:val="005139CA"/>
    <w:rsid w:val="00515163"/>
    <w:rsid w:val="005154E3"/>
    <w:rsid w:val="00521B57"/>
    <w:rsid w:val="005225B9"/>
    <w:rsid w:val="00526E54"/>
    <w:rsid w:val="00534606"/>
    <w:rsid w:val="0054473A"/>
    <w:rsid w:val="00546F61"/>
    <w:rsid w:val="00546F70"/>
    <w:rsid w:val="0055097B"/>
    <w:rsid w:val="00550A49"/>
    <w:rsid w:val="0055163A"/>
    <w:rsid w:val="0055531D"/>
    <w:rsid w:val="00556982"/>
    <w:rsid w:val="00560310"/>
    <w:rsid w:val="00563708"/>
    <w:rsid w:val="005675C3"/>
    <w:rsid w:val="0057135F"/>
    <w:rsid w:val="00572EAE"/>
    <w:rsid w:val="00573A5F"/>
    <w:rsid w:val="0057436B"/>
    <w:rsid w:val="00575B68"/>
    <w:rsid w:val="00576B69"/>
    <w:rsid w:val="00582D3B"/>
    <w:rsid w:val="0058335C"/>
    <w:rsid w:val="00584370"/>
    <w:rsid w:val="00584552"/>
    <w:rsid w:val="00587DFA"/>
    <w:rsid w:val="0059053A"/>
    <w:rsid w:val="00593102"/>
    <w:rsid w:val="00593745"/>
    <w:rsid w:val="005946D0"/>
    <w:rsid w:val="00595C4E"/>
    <w:rsid w:val="00595E15"/>
    <w:rsid w:val="005A05DA"/>
    <w:rsid w:val="005A1F33"/>
    <w:rsid w:val="005B0758"/>
    <w:rsid w:val="005B411E"/>
    <w:rsid w:val="005C2C9F"/>
    <w:rsid w:val="005C50FE"/>
    <w:rsid w:val="005D0DCE"/>
    <w:rsid w:val="005D100D"/>
    <w:rsid w:val="005D59B7"/>
    <w:rsid w:val="005E2B3B"/>
    <w:rsid w:val="005E3B82"/>
    <w:rsid w:val="005E45DB"/>
    <w:rsid w:val="005E533D"/>
    <w:rsid w:val="005F053F"/>
    <w:rsid w:val="005F0983"/>
    <w:rsid w:val="005F25A1"/>
    <w:rsid w:val="005F2826"/>
    <w:rsid w:val="005F3006"/>
    <w:rsid w:val="005F352D"/>
    <w:rsid w:val="0060002A"/>
    <w:rsid w:val="0060259F"/>
    <w:rsid w:val="0060571B"/>
    <w:rsid w:val="00606D11"/>
    <w:rsid w:val="00607DB3"/>
    <w:rsid w:val="006102D5"/>
    <w:rsid w:val="00610C2A"/>
    <w:rsid w:val="00610FC3"/>
    <w:rsid w:val="00611ABA"/>
    <w:rsid w:val="00611B9A"/>
    <w:rsid w:val="00612C8B"/>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73FC9"/>
    <w:rsid w:val="00680AD4"/>
    <w:rsid w:val="006819FD"/>
    <w:rsid w:val="00681B77"/>
    <w:rsid w:val="00682C3D"/>
    <w:rsid w:val="0068481A"/>
    <w:rsid w:val="00694417"/>
    <w:rsid w:val="006968D9"/>
    <w:rsid w:val="0069792B"/>
    <w:rsid w:val="0069794D"/>
    <w:rsid w:val="006A01D8"/>
    <w:rsid w:val="006A2D35"/>
    <w:rsid w:val="006A3D22"/>
    <w:rsid w:val="006B14BE"/>
    <w:rsid w:val="006C4285"/>
    <w:rsid w:val="006C5808"/>
    <w:rsid w:val="006C6C4A"/>
    <w:rsid w:val="006C7245"/>
    <w:rsid w:val="006D281C"/>
    <w:rsid w:val="006D562D"/>
    <w:rsid w:val="006D57D5"/>
    <w:rsid w:val="006D78ED"/>
    <w:rsid w:val="006E2F0D"/>
    <w:rsid w:val="006E48DE"/>
    <w:rsid w:val="006E619E"/>
    <w:rsid w:val="006F2CCE"/>
    <w:rsid w:val="006F403C"/>
    <w:rsid w:val="006F4870"/>
    <w:rsid w:val="006F6831"/>
    <w:rsid w:val="006F6A41"/>
    <w:rsid w:val="006F791F"/>
    <w:rsid w:val="007009B9"/>
    <w:rsid w:val="00701AFA"/>
    <w:rsid w:val="00701CBE"/>
    <w:rsid w:val="00704378"/>
    <w:rsid w:val="00707BF7"/>
    <w:rsid w:val="007138D5"/>
    <w:rsid w:val="007149C2"/>
    <w:rsid w:val="00721AE5"/>
    <w:rsid w:val="00727EC1"/>
    <w:rsid w:val="00731803"/>
    <w:rsid w:val="0073293D"/>
    <w:rsid w:val="00735DD3"/>
    <w:rsid w:val="007360FA"/>
    <w:rsid w:val="007362F4"/>
    <w:rsid w:val="007376B2"/>
    <w:rsid w:val="00740A1A"/>
    <w:rsid w:val="00740E30"/>
    <w:rsid w:val="00740F4E"/>
    <w:rsid w:val="00742511"/>
    <w:rsid w:val="00742656"/>
    <w:rsid w:val="00742793"/>
    <w:rsid w:val="007469CC"/>
    <w:rsid w:val="00746F04"/>
    <w:rsid w:val="00751D49"/>
    <w:rsid w:val="00761A14"/>
    <w:rsid w:val="007628E6"/>
    <w:rsid w:val="00762B68"/>
    <w:rsid w:val="00767A91"/>
    <w:rsid w:val="00773F86"/>
    <w:rsid w:val="007753C0"/>
    <w:rsid w:val="00775ECC"/>
    <w:rsid w:val="00781D21"/>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0EEC"/>
    <w:rsid w:val="007C2873"/>
    <w:rsid w:val="007C40C0"/>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013B"/>
    <w:rsid w:val="00812487"/>
    <w:rsid w:val="00813A3A"/>
    <w:rsid w:val="00816759"/>
    <w:rsid w:val="00821ACB"/>
    <w:rsid w:val="00821D2B"/>
    <w:rsid w:val="00822C32"/>
    <w:rsid w:val="00823872"/>
    <w:rsid w:val="00825CE7"/>
    <w:rsid w:val="008261EA"/>
    <w:rsid w:val="00830017"/>
    <w:rsid w:val="00831112"/>
    <w:rsid w:val="00832892"/>
    <w:rsid w:val="00832A57"/>
    <w:rsid w:val="00832FEA"/>
    <w:rsid w:val="00834274"/>
    <w:rsid w:val="0083462B"/>
    <w:rsid w:val="00835836"/>
    <w:rsid w:val="0084094A"/>
    <w:rsid w:val="00844725"/>
    <w:rsid w:val="00844861"/>
    <w:rsid w:val="008458D8"/>
    <w:rsid w:val="0084623C"/>
    <w:rsid w:val="008463CD"/>
    <w:rsid w:val="008478AB"/>
    <w:rsid w:val="00851803"/>
    <w:rsid w:val="00852366"/>
    <w:rsid w:val="00853BA3"/>
    <w:rsid w:val="0085438F"/>
    <w:rsid w:val="00854D68"/>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2180"/>
    <w:rsid w:val="008B3A4E"/>
    <w:rsid w:val="008B430B"/>
    <w:rsid w:val="008B50BC"/>
    <w:rsid w:val="008B5B34"/>
    <w:rsid w:val="008B6F89"/>
    <w:rsid w:val="008B718E"/>
    <w:rsid w:val="008C149D"/>
    <w:rsid w:val="008C442D"/>
    <w:rsid w:val="008C6B42"/>
    <w:rsid w:val="008D0AB5"/>
    <w:rsid w:val="008D0EB0"/>
    <w:rsid w:val="008D21F5"/>
    <w:rsid w:val="008D3F1D"/>
    <w:rsid w:val="008D5903"/>
    <w:rsid w:val="008E4101"/>
    <w:rsid w:val="008E4A9B"/>
    <w:rsid w:val="008E5C3C"/>
    <w:rsid w:val="008F5767"/>
    <w:rsid w:val="008F5A9C"/>
    <w:rsid w:val="00900505"/>
    <w:rsid w:val="0090075F"/>
    <w:rsid w:val="00903444"/>
    <w:rsid w:val="00904D4F"/>
    <w:rsid w:val="00912735"/>
    <w:rsid w:val="0091365A"/>
    <w:rsid w:val="00915540"/>
    <w:rsid w:val="00916BD9"/>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428B0"/>
    <w:rsid w:val="00943FB0"/>
    <w:rsid w:val="00950329"/>
    <w:rsid w:val="00951BA6"/>
    <w:rsid w:val="00954387"/>
    <w:rsid w:val="00954D08"/>
    <w:rsid w:val="00957564"/>
    <w:rsid w:val="009576A1"/>
    <w:rsid w:val="00960671"/>
    <w:rsid w:val="00961EA6"/>
    <w:rsid w:val="00962621"/>
    <w:rsid w:val="009644DF"/>
    <w:rsid w:val="00972530"/>
    <w:rsid w:val="00972787"/>
    <w:rsid w:val="009739C1"/>
    <w:rsid w:val="009747C7"/>
    <w:rsid w:val="00974962"/>
    <w:rsid w:val="00980A01"/>
    <w:rsid w:val="00981424"/>
    <w:rsid w:val="009832F0"/>
    <w:rsid w:val="009835D2"/>
    <w:rsid w:val="009853DC"/>
    <w:rsid w:val="00986277"/>
    <w:rsid w:val="009924A0"/>
    <w:rsid w:val="00993918"/>
    <w:rsid w:val="009959DE"/>
    <w:rsid w:val="009A1353"/>
    <w:rsid w:val="009A4270"/>
    <w:rsid w:val="009A4FD2"/>
    <w:rsid w:val="009B0929"/>
    <w:rsid w:val="009B5963"/>
    <w:rsid w:val="009B5D19"/>
    <w:rsid w:val="009C3112"/>
    <w:rsid w:val="009C4413"/>
    <w:rsid w:val="009C7245"/>
    <w:rsid w:val="009C73CD"/>
    <w:rsid w:val="009C7C8D"/>
    <w:rsid w:val="009D04E2"/>
    <w:rsid w:val="009D3D37"/>
    <w:rsid w:val="009E050C"/>
    <w:rsid w:val="009E17EB"/>
    <w:rsid w:val="009E5842"/>
    <w:rsid w:val="009E683B"/>
    <w:rsid w:val="009E766C"/>
    <w:rsid w:val="009F0C0D"/>
    <w:rsid w:val="009F0FFB"/>
    <w:rsid w:val="009F17AE"/>
    <w:rsid w:val="009F3E7A"/>
    <w:rsid w:val="009F4F6E"/>
    <w:rsid w:val="009F530D"/>
    <w:rsid w:val="009F5781"/>
    <w:rsid w:val="009F605A"/>
    <w:rsid w:val="00A045AE"/>
    <w:rsid w:val="00A05772"/>
    <w:rsid w:val="00A15719"/>
    <w:rsid w:val="00A159A6"/>
    <w:rsid w:val="00A200BD"/>
    <w:rsid w:val="00A23D3B"/>
    <w:rsid w:val="00A25051"/>
    <w:rsid w:val="00A26B89"/>
    <w:rsid w:val="00A27B0E"/>
    <w:rsid w:val="00A34102"/>
    <w:rsid w:val="00A35B9B"/>
    <w:rsid w:val="00A35C57"/>
    <w:rsid w:val="00A4455C"/>
    <w:rsid w:val="00A45FED"/>
    <w:rsid w:val="00A4607E"/>
    <w:rsid w:val="00A4728A"/>
    <w:rsid w:val="00A50342"/>
    <w:rsid w:val="00A50F70"/>
    <w:rsid w:val="00A510DE"/>
    <w:rsid w:val="00A5332D"/>
    <w:rsid w:val="00A56AC2"/>
    <w:rsid w:val="00A575E0"/>
    <w:rsid w:val="00A60C3A"/>
    <w:rsid w:val="00A60D2B"/>
    <w:rsid w:val="00A654B7"/>
    <w:rsid w:val="00A65586"/>
    <w:rsid w:val="00A666BC"/>
    <w:rsid w:val="00A679FD"/>
    <w:rsid w:val="00A729AA"/>
    <w:rsid w:val="00A82497"/>
    <w:rsid w:val="00A829DF"/>
    <w:rsid w:val="00A8342B"/>
    <w:rsid w:val="00A848AE"/>
    <w:rsid w:val="00A90A2F"/>
    <w:rsid w:val="00A92FC4"/>
    <w:rsid w:val="00A93234"/>
    <w:rsid w:val="00A95CA5"/>
    <w:rsid w:val="00A96202"/>
    <w:rsid w:val="00AA6D67"/>
    <w:rsid w:val="00AB2591"/>
    <w:rsid w:val="00AB25BC"/>
    <w:rsid w:val="00AB3768"/>
    <w:rsid w:val="00AB4558"/>
    <w:rsid w:val="00AC350B"/>
    <w:rsid w:val="00AC5A86"/>
    <w:rsid w:val="00AD18C0"/>
    <w:rsid w:val="00AD6585"/>
    <w:rsid w:val="00AE072B"/>
    <w:rsid w:val="00AE0847"/>
    <w:rsid w:val="00AE4B04"/>
    <w:rsid w:val="00AE563D"/>
    <w:rsid w:val="00AE5CDB"/>
    <w:rsid w:val="00AE6589"/>
    <w:rsid w:val="00AE6C34"/>
    <w:rsid w:val="00AF4A4E"/>
    <w:rsid w:val="00AF65D5"/>
    <w:rsid w:val="00B0304B"/>
    <w:rsid w:val="00B05787"/>
    <w:rsid w:val="00B05868"/>
    <w:rsid w:val="00B07D5A"/>
    <w:rsid w:val="00B10E01"/>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1E77"/>
    <w:rsid w:val="00B548BB"/>
    <w:rsid w:val="00B56240"/>
    <w:rsid w:val="00B57186"/>
    <w:rsid w:val="00B575D2"/>
    <w:rsid w:val="00B57CB5"/>
    <w:rsid w:val="00B57F8F"/>
    <w:rsid w:val="00B626C8"/>
    <w:rsid w:val="00B758C6"/>
    <w:rsid w:val="00B76344"/>
    <w:rsid w:val="00B7754D"/>
    <w:rsid w:val="00B776F9"/>
    <w:rsid w:val="00B86AAF"/>
    <w:rsid w:val="00B90A50"/>
    <w:rsid w:val="00B95A16"/>
    <w:rsid w:val="00B96DC9"/>
    <w:rsid w:val="00BA2E4A"/>
    <w:rsid w:val="00BA39A7"/>
    <w:rsid w:val="00BB15B2"/>
    <w:rsid w:val="00BB17C6"/>
    <w:rsid w:val="00BB1984"/>
    <w:rsid w:val="00BB2B7F"/>
    <w:rsid w:val="00BB34AC"/>
    <w:rsid w:val="00BB4E2E"/>
    <w:rsid w:val="00BB55FF"/>
    <w:rsid w:val="00BB5D87"/>
    <w:rsid w:val="00BC0469"/>
    <w:rsid w:val="00BC1F2D"/>
    <w:rsid w:val="00BC2118"/>
    <w:rsid w:val="00BC2365"/>
    <w:rsid w:val="00BC59AD"/>
    <w:rsid w:val="00BC66A3"/>
    <w:rsid w:val="00BC7DFF"/>
    <w:rsid w:val="00BD1550"/>
    <w:rsid w:val="00BD2843"/>
    <w:rsid w:val="00BD2E5E"/>
    <w:rsid w:val="00BD3B0D"/>
    <w:rsid w:val="00BD565A"/>
    <w:rsid w:val="00BD76D4"/>
    <w:rsid w:val="00BE09E2"/>
    <w:rsid w:val="00BE1447"/>
    <w:rsid w:val="00BE156E"/>
    <w:rsid w:val="00BE1AA9"/>
    <w:rsid w:val="00BE2D32"/>
    <w:rsid w:val="00BE3C75"/>
    <w:rsid w:val="00BE3DC7"/>
    <w:rsid w:val="00BE46EC"/>
    <w:rsid w:val="00BE7AFA"/>
    <w:rsid w:val="00BF0EF1"/>
    <w:rsid w:val="00BF250C"/>
    <w:rsid w:val="00BF3CF6"/>
    <w:rsid w:val="00BF770C"/>
    <w:rsid w:val="00C01ACC"/>
    <w:rsid w:val="00C03944"/>
    <w:rsid w:val="00C04C77"/>
    <w:rsid w:val="00C16897"/>
    <w:rsid w:val="00C1748B"/>
    <w:rsid w:val="00C1752A"/>
    <w:rsid w:val="00C17E86"/>
    <w:rsid w:val="00C2050C"/>
    <w:rsid w:val="00C21320"/>
    <w:rsid w:val="00C232AA"/>
    <w:rsid w:val="00C25531"/>
    <w:rsid w:val="00C2724F"/>
    <w:rsid w:val="00C31FBE"/>
    <w:rsid w:val="00C33F31"/>
    <w:rsid w:val="00C4018B"/>
    <w:rsid w:val="00C43B88"/>
    <w:rsid w:val="00C45ED1"/>
    <w:rsid w:val="00C47906"/>
    <w:rsid w:val="00C5105D"/>
    <w:rsid w:val="00C51785"/>
    <w:rsid w:val="00C61662"/>
    <w:rsid w:val="00C6289E"/>
    <w:rsid w:val="00C62C00"/>
    <w:rsid w:val="00C728F2"/>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A58D6"/>
    <w:rsid w:val="00CB15CC"/>
    <w:rsid w:val="00CC73D0"/>
    <w:rsid w:val="00CD2A41"/>
    <w:rsid w:val="00CD31D5"/>
    <w:rsid w:val="00CD51E5"/>
    <w:rsid w:val="00CE5FF1"/>
    <w:rsid w:val="00CE674A"/>
    <w:rsid w:val="00CE6EDA"/>
    <w:rsid w:val="00CE6F3D"/>
    <w:rsid w:val="00CE7E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08A1"/>
    <w:rsid w:val="00D22695"/>
    <w:rsid w:val="00D229E2"/>
    <w:rsid w:val="00D23EF7"/>
    <w:rsid w:val="00D241E5"/>
    <w:rsid w:val="00D25080"/>
    <w:rsid w:val="00D2716B"/>
    <w:rsid w:val="00D278AC"/>
    <w:rsid w:val="00D322D7"/>
    <w:rsid w:val="00D32BEF"/>
    <w:rsid w:val="00D35D65"/>
    <w:rsid w:val="00D361ED"/>
    <w:rsid w:val="00D368BB"/>
    <w:rsid w:val="00D37C75"/>
    <w:rsid w:val="00D41EB1"/>
    <w:rsid w:val="00D43251"/>
    <w:rsid w:val="00D4376C"/>
    <w:rsid w:val="00D46078"/>
    <w:rsid w:val="00D46407"/>
    <w:rsid w:val="00D47FDF"/>
    <w:rsid w:val="00D50C6B"/>
    <w:rsid w:val="00D6262F"/>
    <w:rsid w:val="00D65149"/>
    <w:rsid w:val="00D663E0"/>
    <w:rsid w:val="00D73CED"/>
    <w:rsid w:val="00D74EF3"/>
    <w:rsid w:val="00D75A65"/>
    <w:rsid w:val="00D761BB"/>
    <w:rsid w:val="00D77C5A"/>
    <w:rsid w:val="00D804C5"/>
    <w:rsid w:val="00D8214A"/>
    <w:rsid w:val="00D82187"/>
    <w:rsid w:val="00D86621"/>
    <w:rsid w:val="00D8706D"/>
    <w:rsid w:val="00D87938"/>
    <w:rsid w:val="00D879E7"/>
    <w:rsid w:val="00D90D7E"/>
    <w:rsid w:val="00D90F46"/>
    <w:rsid w:val="00D92D2F"/>
    <w:rsid w:val="00D945F9"/>
    <w:rsid w:val="00D96B44"/>
    <w:rsid w:val="00DA37D0"/>
    <w:rsid w:val="00DA50BF"/>
    <w:rsid w:val="00DA52B5"/>
    <w:rsid w:val="00DB14EB"/>
    <w:rsid w:val="00DB3A38"/>
    <w:rsid w:val="00DB51F8"/>
    <w:rsid w:val="00DC0499"/>
    <w:rsid w:val="00DC2057"/>
    <w:rsid w:val="00DD4683"/>
    <w:rsid w:val="00DD5196"/>
    <w:rsid w:val="00DD57C6"/>
    <w:rsid w:val="00DE33B1"/>
    <w:rsid w:val="00DE35D5"/>
    <w:rsid w:val="00DE4E3F"/>
    <w:rsid w:val="00DE6F0B"/>
    <w:rsid w:val="00DF295A"/>
    <w:rsid w:val="00DF3D8C"/>
    <w:rsid w:val="00DF4FA2"/>
    <w:rsid w:val="00E00F3C"/>
    <w:rsid w:val="00E01BB3"/>
    <w:rsid w:val="00E03931"/>
    <w:rsid w:val="00E05D89"/>
    <w:rsid w:val="00E10E9D"/>
    <w:rsid w:val="00E13243"/>
    <w:rsid w:val="00E13604"/>
    <w:rsid w:val="00E172B8"/>
    <w:rsid w:val="00E1788A"/>
    <w:rsid w:val="00E20F93"/>
    <w:rsid w:val="00E227AA"/>
    <w:rsid w:val="00E27453"/>
    <w:rsid w:val="00E30B9D"/>
    <w:rsid w:val="00E322DE"/>
    <w:rsid w:val="00E34361"/>
    <w:rsid w:val="00E348CE"/>
    <w:rsid w:val="00E3551D"/>
    <w:rsid w:val="00E36298"/>
    <w:rsid w:val="00E36F4A"/>
    <w:rsid w:val="00E37FE2"/>
    <w:rsid w:val="00E43690"/>
    <w:rsid w:val="00E44F7F"/>
    <w:rsid w:val="00E45212"/>
    <w:rsid w:val="00E47024"/>
    <w:rsid w:val="00E4768A"/>
    <w:rsid w:val="00E506C1"/>
    <w:rsid w:val="00E523C3"/>
    <w:rsid w:val="00E5408C"/>
    <w:rsid w:val="00E5549E"/>
    <w:rsid w:val="00E57AAA"/>
    <w:rsid w:val="00E6021C"/>
    <w:rsid w:val="00E63330"/>
    <w:rsid w:val="00E65AC7"/>
    <w:rsid w:val="00E66BC4"/>
    <w:rsid w:val="00E705D0"/>
    <w:rsid w:val="00E717F2"/>
    <w:rsid w:val="00E7358D"/>
    <w:rsid w:val="00E73719"/>
    <w:rsid w:val="00E76721"/>
    <w:rsid w:val="00E77F5A"/>
    <w:rsid w:val="00E84A00"/>
    <w:rsid w:val="00E863AB"/>
    <w:rsid w:val="00E876AA"/>
    <w:rsid w:val="00E907C4"/>
    <w:rsid w:val="00E959C9"/>
    <w:rsid w:val="00E97855"/>
    <w:rsid w:val="00E97999"/>
    <w:rsid w:val="00E97BBD"/>
    <w:rsid w:val="00EA1049"/>
    <w:rsid w:val="00EA1824"/>
    <w:rsid w:val="00EA569A"/>
    <w:rsid w:val="00EA71E3"/>
    <w:rsid w:val="00EB54FB"/>
    <w:rsid w:val="00EB5E2C"/>
    <w:rsid w:val="00EB778A"/>
    <w:rsid w:val="00EC269E"/>
    <w:rsid w:val="00EC4A87"/>
    <w:rsid w:val="00EC64D4"/>
    <w:rsid w:val="00EC6A2A"/>
    <w:rsid w:val="00EC6A31"/>
    <w:rsid w:val="00ED01D9"/>
    <w:rsid w:val="00ED0856"/>
    <w:rsid w:val="00ED0D30"/>
    <w:rsid w:val="00ED6276"/>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068E5"/>
    <w:rsid w:val="00F10D27"/>
    <w:rsid w:val="00F11DC7"/>
    <w:rsid w:val="00F125E3"/>
    <w:rsid w:val="00F13D37"/>
    <w:rsid w:val="00F13E0B"/>
    <w:rsid w:val="00F140EE"/>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3317"/>
    <w:rsid w:val="00F45090"/>
    <w:rsid w:val="00F504AD"/>
    <w:rsid w:val="00F548D0"/>
    <w:rsid w:val="00F55347"/>
    <w:rsid w:val="00F56EA2"/>
    <w:rsid w:val="00F614AD"/>
    <w:rsid w:val="00F642BC"/>
    <w:rsid w:val="00F70428"/>
    <w:rsid w:val="00F707C4"/>
    <w:rsid w:val="00F70A9E"/>
    <w:rsid w:val="00F70E3F"/>
    <w:rsid w:val="00F715C8"/>
    <w:rsid w:val="00F71CF4"/>
    <w:rsid w:val="00F75E16"/>
    <w:rsid w:val="00F76C2D"/>
    <w:rsid w:val="00F77444"/>
    <w:rsid w:val="00F77818"/>
    <w:rsid w:val="00F812A0"/>
    <w:rsid w:val="00F838AA"/>
    <w:rsid w:val="00F83942"/>
    <w:rsid w:val="00F85BC7"/>
    <w:rsid w:val="00F8638C"/>
    <w:rsid w:val="00F907DC"/>
    <w:rsid w:val="00F909FA"/>
    <w:rsid w:val="00F916A7"/>
    <w:rsid w:val="00F92944"/>
    <w:rsid w:val="00F9597B"/>
    <w:rsid w:val="00F969A4"/>
    <w:rsid w:val="00F96AB9"/>
    <w:rsid w:val="00FA0E2E"/>
    <w:rsid w:val="00FA1695"/>
    <w:rsid w:val="00FA2EDC"/>
    <w:rsid w:val="00FA3757"/>
    <w:rsid w:val="00FA597D"/>
    <w:rsid w:val="00FA5FC2"/>
    <w:rsid w:val="00FA6EED"/>
    <w:rsid w:val="00FA702F"/>
    <w:rsid w:val="00FA7613"/>
    <w:rsid w:val="00FB0338"/>
    <w:rsid w:val="00FB2694"/>
    <w:rsid w:val="00FB3286"/>
    <w:rsid w:val="00FB37F9"/>
    <w:rsid w:val="00FB450E"/>
    <w:rsid w:val="00FB4F1E"/>
    <w:rsid w:val="00FB5AA5"/>
    <w:rsid w:val="00FC3066"/>
    <w:rsid w:val="00FC3417"/>
    <w:rsid w:val="00FC3E7C"/>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icon">
    <w:name w:val="icon"/>
    <w:basedOn w:val="DefaultParagraphFont"/>
    <w:rsid w:val="00D049CA"/>
  </w:style>
  <w:style w:type="character" w:styleId="UnresolvedMention">
    <w:name w:val="Unresolved Mention"/>
    <w:basedOn w:val="DefaultParagraphFont"/>
    <w:uiPriority w:val="99"/>
    <w:semiHidden/>
    <w:unhideWhenUsed/>
    <w:rsid w:val="0051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74307">
      <w:bodyDiv w:val="1"/>
      <w:marLeft w:val="0"/>
      <w:marRight w:val="0"/>
      <w:marTop w:val="0"/>
      <w:marBottom w:val="0"/>
      <w:divBdr>
        <w:top w:val="none" w:sz="0" w:space="0" w:color="auto"/>
        <w:left w:val="none" w:sz="0" w:space="0" w:color="auto"/>
        <w:bottom w:val="none" w:sz="0" w:space="0" w:color="auto"/>
        <w:right w:val="none" w:sz="0" w:space="0" w:color="auto"/>
      </w:divBdr>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4943">
      <w:bodyDiv w:val="1"/>
      <w:marLeft w:val="0"/>
      <w:marRight w:val="0"/>
      <w:marTop w:val="0"/>
      <w:marBottom w:val="0"/>
      <w:divBdr>
        <w:top w:val="none" w:sz="0" w:space="0" w:color="auto"/>
        <w:left w:val="none" w:sz="0" w:space="0" w:color="auto"/>
        <w:bottom w:val="none" w:sz="0" w:space="0" w:color="auto"/>
        <w:right w:val="none" w:sz="0" w:space="0" w:color="auto"/>
      </w:divBdr>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5479">
      <w:bodyDiv w:val="1"/>
      <w:marLeft w:val="0"/>
      <w:marRight w:val="0"/>
      <w:marTop w:val="0"/>
      <w:marBottom w:val="0"/>
      <w:divBdr>
        <w:top w:val="none" w:sz="0" w:space="0" w:color="auto"/>
        <w:left w:val="none" w:sz="0" w:space="0" w:color="auto"/>
        <w:bottom w:val="none" w:sz="0" w:space="0" w:color="auto"/>
        <w:right w:val="none" w:sz="0" w:space="0" w:color="auto"/>
      </w:divBdr>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general-regul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access-arrangements-and-special-consideration/regulations-and-guidance" TargetMode="External"/><Relationship Id="rId5" Type="http://schemas.openxmlformats.org/officeDocument/2006/relationships/customXml" Target="../customXml/item5.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10D04188823345804E94CC7A3B6EFE" ma:contentTypeVersion="17" ma:contentTypeDescription="Create a new document." ma:contentTypeScope="" ma:versionID="36b5e8d9c69547d6ac1b77085196941b">
  <xsd:schema xmlns:xsd="http://www.w3.org/2001/XMLSchema" xmlns:xs="http://www.w3.org/2001/XMLSchema" xmlns:p="http://schemas.microsoft.com/office/2006/metadata/properties" xmlns:ns2="613c6066-93b1-46ea-825d-e361fafd7815" xmlns:ns3="6a19e214-ee66-49b5-9489-99575c5961cd" xmlns:ns4="3c6552ff-e203-492b-9a4a-86c2b1ce869f" targetNamespace="http://schemas.microsoft.com/office/2006/metadata/properties" ma:root="true" ma:fieldsID="85b13fcb76c0f35469499925f2a27859" ns2:_="" ns3:_="" ns4:_="">
    <xsd:import namespace="613c6066-93b1-46ea-825d-e361fafd7815"/>
    <xsd:import namespace="6a19e214-ee66-49b5-9489-99575c5961cd"/>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6066-93b1-46ea-825d-e361fafd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e214-ee66-49b5-9489-99575c5961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377A35B-7FC5-4162-8547-E7F1C86E1120}" ma:internalName="TaxCatchAll" ma:showField="CatchAllData" ma:web="{6a19e214-ee66-49b5-9489-99575c59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3c6066-93b1-46ea-825d-e361fafd7815">
      <Terms xmlns="http://schemas.microsoft.com/office/infopath/2007/PartnerControls"/>
    </lcf76f155ced4ddcb4097134ff3c332f>
    <TaxCatchAll xmlns="3c6552ff-e203-492b-9a4a-86c2b1ce869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C820BF-4ADE-43F0-90A5-7102C43DF77C}">
  <ds:schemaRefs>
    <ds:schemaRef ds:uri="http://schemas.openxmlformats.org/officeDocument/2006/bibliography"/>
  </ds:schemaRefs>
</ds:datastoreItem>
</file>

<file path=customXml/itemProps3.xml><?xml version="1.0" encoding="utf-8"?>
<ds:datastoreItem xmlns:ds="http://schemas.openxmlformats.org/officeDocument/2006/customXml" ds:itemID="{D0D77B0A-301E-4D49-8DB7-2945B0984221}"/>
</file>

<file path=customXml/itemProps4.xml><?xml version="1.0" encoding="utf-8"?>
<ds:datastoreItem xmlns:ds="http://schemas.openxmlformats.org/officeDocument/2006/customXml" ds:itemID="{85399AFB-6389-4859-A3B7-80B26DC5ED9F}">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3c6552ff-e203-492b-9a4a-86c2b1ce869f"/>
    <ds:schemaRef ds:uri="http://www.w3.org/XML/1998/namespace"/>
    <ds:schemaRef ds:uri="6a19e214-ee66-49b5-9489-99575c5961cd"/>
    <ds:schemaRef ds:uri="613c6066-93b1-46ea-825d-e361fafd7815"/>
    <ds:schemaRef ds:uri="http://schemas.microsoft.com/office/2006/metadata/properties"/>
  </ds:schemaRefs>
</ds:datastoreItem>
</file>

<file path=customXml/itemProps5.xml><?xml version="1.0" encoding="utf-8"?>
<ds:datastoreItem xmlns:ds="http://schemas.openxmlformats.org/officeDocument/2006/customXml" ds:itemID="{F17F4773-B673-4FB1-A8E2-74E4987B8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2936</Words>
  <Characters>16446</Characters>
  <Application>Microsoft Office Word</Application>
  <DocSecurity>0</DocSecurity>
  <Lines>391</Lines>
  <Paragraphs>248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Boden, Jessica (Burton Borough School)</cp:lastModifiedBy>
  <cp:revision>134</cp:revision>
  <cp:lastPrinted>2025-12-08T11:10:00Z</cp:lastPrinted>
  <dcterms:created xsi:type="dcterms:W3CDTF">2020-08-14T08:52:00Z</dcterms:created>
  <dcterms:modified xsi:type="dcterms:W3CDTF">2026-01-26T11:24:00Z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0x010100FD10D04188823345804E94CC7A3B6EFE</vt:lpwstr>
  </property>
  <property fmtid="{D5CDD505-2E9C-101B-9397-08002B2CF9AE}" pid="3" name="MediaServiceImageTags">
    <vt:lpwstr/>
  </property>
</Properties>
</file>