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9918"/>
        <w:gridCol w:w="1134"/>
        <w:gridCol w:w="1134"/>
        <w:gridCol w:w="1276"/>
        <w:gridCol w:w="1134"/>
      </w:tblGrid>
      <w:tr w:rsidR="000C1B57" w14:paraId="52F4BA9E" w14:textId="77777777" w:rsidTr="000944D7">
        <w:tc>
          <w:tcPr>
            <w:tcW w:w="9918" w:type="dxa"/>
          </w:tcPr>
          <w:p w14:paraId="43F68EF0" w14:textId="77777777" w:rsidR="000C1B57" w:rsidRDefault="000C1B57"/>
        </w:tc>
        <w:tc>
          <w:tcPr>
            <w:tcW w:w="1134" w:type="dxa"/>
            <w:shd w:val="clear" w:color="auto" w:fill="D9D9D9" w:themeFill="background1" w:themeFillShade="D9"/>
          </w:tcPr>
          <w:p w14:paraId="64D66A19" w14:textId="69FB9372" w:rsidR="000C1B57" w:rsidRPr="000944D7" w:rsidRDefault="000C1B57">
            <w:pPr>
              <w:rPr>
                <w:b/>
                <w:bCs/>
              </w:rPr>
            </w:pPr>
            <w:r w:rsidRPr="000944D7">
              <w:rPr>
                <w:b/>
                <w:bCs/>
              </w:rPr>
              <w:t>2019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0B123EA" w14:textId="39E3836C" w:rsidR="000C1B57" w:rsidRPr="000944D7" w:rsidRDefault="000C1B57">
            <w:pPr>
              <w:rPr>
                <w:b/>
                <w:bCs/>
              </w:rPr>
            </w:pPr>
            <w:r w:rsidRPr="000944D7">
              <w:rPr>
                <w:b/>
                <w:bCs/>
              </w:rPr>
              <w:t>2022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6BB91E2" w14:textId="30E80D31" w:rsidR="000C1B57" w:rsidRPr="000944D7" w:rsidRDefault="000C1B57">
            <w:pPr>
              <w:rPr>
                <w:b/>
                <w:bCs/>
              </w:rPr>
            </w:pPr>
            <w:r w:rsidRPr="000944D7">
              <w:rPr>
                <w:b/>
                <w:bCs/>
              </w:rPr>
              <w:t>2023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4D88F0E" w14:textId="6CC11600" w:rsidR="000C1B57" w:rsidRPr="000944D7" w:rsidRDefault="000C1B57">
            <w:pPr>
              <w:rPr>
                <w:b/>
                <w:bCs/>
              </w:rPr>
            </w:pPr>
            <w:r w:rsidRPr="000944D7">
              <w:rPr>
                <w:b/>
                <w:bCs/>
              </w:rPr>
              <w:t>2024</w:t>
            </w:r>
          </w:p>
        </w:tc>
      </w:tr>
      <w:tr w:rsidR="000C1B57" w14:paraId="0864E6C5" w14:textId="77777777" w:rsidTr="000C1B57">
        <w:tc>
          <w:tcPr>
            <w:tcW w:w="9918" w:type="dxa"/>
          </w:tcPr>
          <w:p w14:paraId="11A81186" w14:textId="2ADCF5F9" w:rsidR="000C1B57" w:rsidRDefault="000C1B57" w:rsidP="000C1B57">
            <w:r>
              <w:t>Progress 8</w:t>
            </w:r>
          </w:p>
        </w:tc>
        <w:tc>
          <w:tcPr>
            <w:tcW w:w="1134" w:type="dxa"/>
          </w:tcPr>
          <w:p w14:paraId="77B4F826" w14:textId="3EA174F1" w:rsidR="000C1B57" w:rsidRDefault="000C1B57">
            <w:r>
              <w:t>-0.15</w:t>
            </w:r>
          </w:p>
        </w:tc>
        <w:tc>
          <w:tcPr>
            <w:tcW w:w="1134" w:type="dxa"/>
          </w:tcPr>
          <w:p w14:paraId="74A0CC07" w14:textId="6BD9D7C1" w:rsidR="000C1B57" w:rsidRDefault="000C1B57">
            <w:r>
              <w:t>-0.55</w:t>
            </w:r>
          </w:p>
        </w:tc>
        <w:tc>
          <w:tcPr>
            <w:tcW w:w="1276" w:type="dxa"/>
          </w:tcPr>
          <w:p w14:paraId="57C01D0E" w14:textId="54FAF088" w:rsidR="000C1B57" w:rsidRDefault="000C1B57">
            <w:r>
              <w:t>-0.33</w:t>
            </w:r>
          </w:p>
        </w:tc>
        <w:tc>
          <w:tcPr>
            <w:tcW w:w="1134" w:type="dxa"/>
          </w:tcPr>
          <w:p w14:paraId="00278D50" w14:textId="2380200D" w:rsidR="000C1B57" w:rsidRDefault="000C1B57">
            <w:r>
              <w:t>-0.59</w:t>
            </w:r>
          </w:p>
        </w:tc>
      </w:tr>
      <w:tr w:rsidR="000C1B57" w14:paraId="1D7A5BE8" w14:textId="77777777" w:rsidTr="000C1B57">
        <w:tc>
          <w:tcPr>
            <w:tcW w:w="9918" w:type="dxa"/>
          </w:tcPr>
          <w:p w14:paraId="21F5C998" w14:textId="27EE5B08" w:rsidR="000C1B57" w:rsidRDefault="000C1B57">
            <w:r>
              <w:t>Attainment 8</w:t>
            </w:r>
          </w:p>
        </w:tc>
        <w:tc>
          <w:tcPr>
            <w:tcW w:w="1134" w:type="dxa"/>
          </w:tcPr>
          <w:p w14:paraId="6D438CA5" w14:textId="00B01339" w:rsidR="000C1B57" w:rsidRDefault="000C1B57">
            <w:r>
              <w:t>50.44</w:t>
            </w:r>
          </w:p>
        </w:tc>
        <w:tc>
          <w:tcPr>
            <w:tcW w:w="1134" w:type="dxa"/>
          </w:tcPr>
          <w:p w14:paraId="53778EFD" w14:textId="3BE619DA" w:rsidR="000C1B57" w:rsidRDefault="000C1B57">
            <w:r>
              <w:t>47.62</w:t>
            </w:r>
          </w:p>
        </w:tc>
        <w:tc>
          <w:tcPr>
            <w:tcW w:w="1276" w:type="dxa"/>
          </w:tcPr>
          <w:p w14:paraId="2CB55781" w14:textId="0172BA61" w:rsidR="000C1B57" w:rsidRDefault="000C1B57">
            <w:r>
              <w:t>45.</w:t>
            </w:r>
            <w:r w:rsidR="006941B6">
              <w:t>43</w:t>
            </w:r>
          </w:p>
        </w:tc>
        <w:tc>
          <w:tcPr>
            <w:tcW w:w="1134" w:type="dxa"/>
          </w:tcPr>
          <w:p w14:paraId="43EAB04D" w14:textId="6EFCE447" w:rsidR="000C1B57" w:rsidRDefault="000C1B57">
            <w:r>
              <w:t>40.77</w:t>
            </w:r>
          </w:p>
        </w:tc>
      </w:tr>
      <w:tr w:rsidR="000C1B57" w14:paraId="2BFB9872" w14:textId="77777777" w:rsidTr="000C1B57">
        <w:tc>
          <w:tcPr>
            <w:tcW w:w="9918" w:type="dxa"/>
          </w:tcPr>
          <w:p w14:paraId="7A249644" w14:textId="09A509B9" w:rsidR="000C1B57" w:rsidRDefault="000C1B57" w:rsidP="000C1B57">
            <w:r>
              <w:t>Percentage of students gaining a ‘strong pass’ (Grade 5 or more) in both English and Maths</w:t>
            </w:r>
          </w:p>
        </w:tc>
        <w:tc>
          <w:tcPr>
            <w:tcW w:w="1134" w:type="dxa"/>
          </w:tcPr>
          <w:p w14:paraId="68A59760" w14:textId="5974D84E" w:rsidR="000C1B57" w:rsidRDefault="000C1B57">
            <w:r>
              <w:t>54.9%</w:t>
            </w:r>
          </w:p>
        </w:tc>
        <w:tc>
          <w:tcPr>
            <w:tcW w:w="1134" w:type="dxa"/>
          </w:tcPr>
          <w:p w14:paraId="33AD34A3" w14:textId="36092C6F" w:rsidR="000C1B57" w:rsidRDefault="000C1B57">
            <w:r>
              <w:t>42.1%</w:t>
            </w:r>
          </w:p>
        </w:tc>
        <w:tc>
          <w:tcPr>
            <w:tcW w:w="1276" w:type="dxa"/>
          </w:tcPr>
          <w:p w14:paraId="16C9273C" w14:textId="3D349BB5" w:rsidR="000C1B57" w:rsidRDefault="000C1B57">
            <w:r>
              <w:t>39.5%</w:t>
            </w:r>
          </w:p>
        </w:tc>
        <w:tc>
          <w:tcPr>
            <w:tcW w:w="1134" w:type="dxa"/>
          </w:tcPr>
          <w:p w14:paraId="3DF2F05B" w14:textId="45CEE8E8" w:rsidR="000C1B57" w:rsidRDefault="00DC376E">
            <w:r>
              <w:t>31.6%</w:t>
            </w:r>
          </w:p>
        </w:tc>
      </w:tr>
      <w:tr w:rsidR="000C1B57" w14:paraId="4E3EE08A" w14:textId="77777777" w:rsidTr="000C1B57">
        <w:tc>
          <w:tcPr>
            <w:tcW w:w="9918" w:type="dxa"/>
          </w:tcPr>
          <w:p w14:paraId="6E140888" w14:textId="54F79469" w:rsidR="000C1B57" w:rsidRDefault="000C1B57">
            <w:r>
              <w:t>Percentage of students gaining a ‘st</w:t>
            </w:r>
            <w:r>
              <w:t>andard</w:t>
            </w:r>
            <w:r>
              <w:t xml:space="preserve"> pass’ (Grade </w:t>
            </w:r>
            <w:r>
              <w:t>4</w:t>
            </w:r>
            <w:r>
              <w:t xml:space="preserve"> or more) in both English and Maths</w:t>
            </w:r>
          </w:p>
        </w:tc>
        <w:tc>
          <w:tcPr>
            <w:tcW w:w="1134" w:type="dxa"/>
          </w:tcPr>
          <w:p w14:paraId="11982F50" w14:textId="0884775D" w:rsidR="000C1B57" w:rsidRDefault="000C1B57">
            <w:r>
              <w:t>78.4%</w:t>
            </w:r>
          </w:p>
        </w:tc>
        <w:tc>
          <w:tcPr>
            <w:tcW w:w="1134" w:type="dxa"/>
          </w:tcPr>
          <w:p w14:paraId="165BC4BD" w14:textId="1181ACB6" w:rsidR="000C1B57" w:rsidRDefault="000C1B57">
            <w:r>
              <w:t>73.8%</w:t>
            </w:r>
          </w:p>
        </w:tc>
        <w:tc>
          <w:tcPr>
            <w:tcW w:w="1276" w:type="dxa"/>
          </w:tcPr>
          <w:p w14:paraId="599754BC" w14:textId="5666CA2F" w:rsidR="000C1B57" w:rsidRDefault="000C1B57">
            <w:r>
              <w:t>6</w:t>
            </w:r>
            <w:r w:rsidR="006941B6">
              <w:t>4</w:t>
            </w:r>
            <w:r>
              <w:t>.3%</w:t>
            </w:r>
          </w:p>
        </w:tc>
        <w:tc>
          <w:tcPr>
            <w:tcW w:w="1134" w:type="dxa"/>
          </w:tcPr>
          <w:p w14:paraId="1D9A947A" w14:textId="2D828F81" w:rsidR="000C1B57" w:rsidRDefault="00DC376E">
            <w:r>
              <w:t>52.1%</w:t>
            </w:r>
          </w:p>
        </w:tc>
      </w:tr>
      <w:tr w:rsidR="000C1B57" w14:paraId="0977F08F" w14:textId="77777777" w:rsidTr="000C1B57">
        <w:tc>
          <w:tcPr>
            <w:tcW w:w="9918" w:type="dxa"/>
          </w:tcPr>
          <w:p w14:paraId="5D38EE44" w14:textId="09315671" w:rsidR="000C1B57" w:rsidRDefault="000C1B57" w:rsidP="000C1B57">
            <w:r>
              <w:t xml:space="preserve">Percentage of students </w:t>
            </w:r>
            <w:r>
              <w:t xml:space="preserve">achieving 5 </w:t>
            </w:r>
            <w:r>
              <w:t>st</w:t>
            </w:r>
            <w:r>
              <w:t xml:space="preserve">andard passes including </w:t>
            </w:r>
            <w:r>
              <w:t>English and Maths</w:t>
            </w:r>
          </w:p>
        </w:tc>
        <w:tc>
          <w:tcPr>
            <w:tcW w:w="1134" w:type="dxa"/>
          </w:tcPr>
          <w:p w14:paraId="6C198243" w14:textId="794D56BF" w:rsidR="000C1B57" w:rsidRDefault="000C1B57" w:rsidP="000C1B57">
            <w:r>
              <w:t>73%</w:t>
            </w:r>
          </w:p>
        </w:tc>
        <w:tc>
          <w:tcPr>
            <w:tcW w:w="1134" w:type="dxa"/>
          </w:tcPr>
          <w:p w14:paraId="29A74332" w14:textId="25AB40B3" w:rsidR="000C1B57" w:rsidRDefault="000C1B57" w:rsidP="000C1B57">
            <w:r>
              <w:t>67%</w:t>
            </w:r>
          </w:p>
        </w:tc>
        <w:tc>
          <w:tcPr>
            <w:tcW w:w="1276" w:type="dxa"/>
          </w:tcPr>
          <w:p w14:paraId="10C99C93" w14:textId="192D6D3F" w:rsidR="000C1B57" w:rsidRDefault="000C1B57" w:rsidP="000C1B57">
            <w:r>
              <w:t>55.</w:t>
            </w:r>
            <w:r w:rsidR="006941B6">
              <w:t>7</w:t>
            </w:r>
            <w:r>
              <w:t>%</w:t>
            </w:r>
          </w:p>
        </w:tc>
        <w:tc>
          <w:tcPr>
            <w:tcW w:w="1134" w:type="dxa"/>
          </w:tcPr>
          <w:p w14:paraId="21886ADA" w14:textId="76B1F0CA" w:rsidR="000C1B57" w:rsidRDefault="00DC376E" w:rsidP="000C1B57">
            <w:r>
              <w:t>44.9%</w:t>
            </w:r>
          </w:p>
        </w:tc>
      </w:tr>
      <w:tr w:rsidR="000C1B57" w14:paraId="38B7A16D" w14:textId="77777777" w:rsidTr="000C1B57">
        <w:tc>
          <w:tcPr>
            <w:tcW w:w="9918" w:type="dxa"/>
          </w:tcPr>
          <w:p w14:paraId="5D03BAE3" w14:textId="0A995CD6" w:rsidR="000C1B57" w:rsidRDefault="000C1B57" w:rsidP="000C1B57">
            <w:r>
              <w:t>Percentage of students entering the English Baccalaureate</w:t>
            </w:r>
          </w:p>
        </w:tc>
        <w:tc>
          <w:tcPr>
            <w:tcW w:w="1134" w:type="dxa"/>
          </w:tcPr>
          <w:p w14:paraId="73257ED6" w14:textId="42778456" w:rsidR="000C1B57" w:rsidRDefault="000C1B57" w:rsidP="000C1B57">
            <w:r>
              <w:t>14.7%</w:t>
            </w:r>
          </w:p>
        </w:tc>
        <w:tc>
          <w:tcPr>
            <w:tcW w:w="1134" w:type="dxa"/>
          </w:tcPr>
          <w:p w14:paraId="007FD8EC" w14:textId="1950FA1F" w:rsidR="000C1B57" w:rsidRDefault="000C1B57" w:rsidP="000C1B57">
            <w:r>
              <w:t>15.8</w:t>
            </w:r>
            <w:r w:rsidR="00DC376E">
              <w:t>%</w:t>
            </w:r>
          </w:p>
        </w:tc>
        <w:tc>
          <w:tcPr>
            <w:tcW w:w="1276" w:type="dxa"/>
          </w:tcPr>
          <w:p w14:paraId="43B18EE8" w14:textId="1DC9F635" w:rsidR="000C1B57" w:rsidRDefault="000C1B57" w:rsidP="000C1B57">
            <w:r>
              <w:t>15.2%</w:t>
            </w:r>
          </w:p>
        </w:tc>
        <w:tc>
          <w:tcPr>
            <w:tcW w:w="1134" w:type="dxa"/>
          </w:tcPr>
          <w:p w14:paraId="0DC42477" w14:textId="19EB9B68" w:rsidR="000C1B57" w:rsidRDefault="00DC376E" w:rsidP="000C1B57">
            <w:r>
              <w:t>13.2%</w:t>
            </w:r>
          </w:p>
        </w:tc>
      </w:tr>
      <w:tr w:rsidR="000C1B57" w14:paraId="23C82F48" w14:textId="77777777" w:rsidTr="000C1B57">
        <w:tc>
          <w:tcPr>
            <w:tcW w:w="9918" w:type="dxa"/>
          </w:tcPr>
          <w:p w14:paraId="5538AFA7" w14:textId="3BE3687B" w:rsidR="000C1B57" w:rsidRDefault="000C1B57" w:rsidP="000C1B57">
            <w:r>
              <w:t>English Baccalaureate point score (APS)</w:t>
            </w:r>
          </w:p>
        </w:tc>
        <w:tc>
          <w:tcPr>
            <w:tcW w:w="1134" w:type="dxa"/>
          </w:tcPr>
          <w:p w14:paraId="7AB77168" w14:textId="72A4D581" w:rsidR="000C1B57" w:rsidRDefault="000C1B57" w:rsidP="000C1B57">
            <w:r>
              <w:t>4.17</w:t>
            </w:r>
          </w:p>
        </w:tc>
        <w:tc>
          <w:tcPr>
            <w:tcW w:w="1134" w:type="dxa"/>
          </w:tcPr>
          <w:p w14:paraId="6A869784" w14:textId="50A809A8" w:rsidR="000C1B57" w:rsidRDefault="000C1B57" w:rsidP="000C1B57">
            <w:r>
              <w:t>4.01</w:t>
            </w:r>
          </w:p>
        </w:tc>
        <w:tc>
          <w:tcPr>
            <w:tcW w:w="1276" w:type="dxa"/>
          </w:tcPr>
          <w:p w14:paraId="486FA328" w14:textId="5D5DB1FC" w:rsidR="000C1B57" w:rsidRDefault="000C1B57" w:rsidP="000C1B57">
            <w:r>
              <w:t>3.8</w:t>
            </w:r>
            <w:r w:rsidR="006941B6">
              <w:t>6</w:t>
            </w:r>
          </w:p>
        </w:tc>
        <w:tc>
          <w:tcPr>
            <w:tcW w:w="1134" w:type="dxa"/>
          </w:tcPr>
          <w:p w14:paraId="7DD30733" w14:textId="533D9D30" w:rsidR="000C1B57" w:rsidRDefault="00DC376E" w:rsidP="000C1B57">
            <w:r>
              <w:t>3.4</w:t>
            </w:r>
          </w:p>
        </w:tc>
      </w:tr>
      <w:tr w:rsidR="000C1B57" w14:paraId="3000DB7B" w14:textId="77777777" w:rsidTr="000C1B57">
        <w:tc>
          <w:tcPr>
            <w:tcW w:w="9918" w:type="dxa"/>
          </w:tcPr>
          <w:p w14:paraId="0738637E" w14:textId="45D2A200" w:rsidR="000C1B57" w:rsidRDefault="000C1B57" w:rsidP="000C1B57">
            <w:r>
              <w:t xml:space="preserve">Percentage of students staying in education or employment after completing key stage 4  </w:t>
            </w:r>
          </w:p>
        </w:tc>
        <w:tc>
          <w:tcPr>
            <w:tcW w:w="1134" w:type="dxa"/>
          </w:tcPr>
          <w:p w14:paraId="194D7F5D" w14:textId="6462EF6F" w:rsidR="000C1B57" w:rsidRDefault="000C1B57" w:rsidP="000C1B57">
            <w:r>
              <w:t>99%</w:t>
            </w:r>
          </w:p>
        </w:tc>
        <w:tc>
          <w:tcPr>
            <w:tcW w:w="1134" w:type="dxa"/>
          </w:tcPr>
          <w:p w14:paraId="4D1BDB2A" w14:textId="42EFAD8A" w:rsidR="000C1B57" w:rsidRDefault="000C1B57" w:rsidP="000C1B57">
            <w:r>
              <w:t>98%</w:t>
            </w:r>
          </w:p>
        </w:tc>
        <w:tc>
          <w:tcPr>
            <w:tcW w:w="1276" w:type="dxa"/>
          </w:tcPr>
          <w:p w14:paraId="40B3C5EE" w14:textId="7799A1D9" w:rsidR="000C1B57" w:rsidRDefault="006941B6" w:rsidP="000C1B57">
            <w:r>
              <w:t>99%</w:t>
            </w:r>
          </w:p>
        </w:tc>
        <w:tc>
          <w:tcPr>
            <w:tcW w:w="1134" w:type="dxa"/>
          </w:tcPr>
          <w:p w14:paraId="4BBD15F9" w14:textId="43424821" w:rsidR="000C1B57" w:rsidRDefault="006941B6" w:rsidP="000C1B57">
            <w:r>
              <w:t>100%</w:t>
            </w:r>
          </w:p>
        </w:tc>
      </w:tr>
    </w:tbl>
    <w:p w14:paraId="1C5389AC" w14:textId="5A021E88" w:rsidR="00B16E34" w:rsidRDefault="00B16E34" w:rsidP="00DC376E"/>
    <w:sectPr w:rsidR="00B16E34" w:rsidSect="000C1B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57"/>
    <w:rsid w:val="000944D7"/>
    <w:rsid w:val="000C1B57"/>
    <w:rsid w:val="00234EE5"/>
    <w:rsid w:val="006941B6"/>
    <w:rsid w:val="00B16E34"/>
    <w:rsid w:val="00DC376E"/>
    <w:rsid w:val="00E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6FB83"/>
  <w15:chartTrackingRefBased/>
  <w15:docId w15:val="{F78CACD5-408E-469F-897D-82C85AC8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B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B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1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30A932B796F44AFBAF12FDB02D356" ma:contentTypeVersion="17" ma:contentTypeDescription="Create a new document." ma:contentTypeScope="" ma:versionID="3000801e79b113db9c34b2e2dd849e4e">
  <xsd:schema xmlns:xsd="http://www.w3.org/2001/XMLSchema" xmlns:xs="http://www.w3.org/2001/XMLSchema" xmlns:p="http://schemas.microsoft.com/office/2006/metadata/properties" xmlns:ns2="c6412ee8-4f88-4f58-bebb-22ef60faf8fe" xmlns:ns3="6a19e214-ee66-49b5-9489-99575c5961cd" xmlns:ns4="3c6552ff-e203-492b-9a4a-86c2b1ce869f" targetNamespace="http://schemas.microsoft.com/office/2006/metadata/properties" ma:root="true" ma:fieldsID="f913beda1867fc1263f6ae8893717eca" ns2:_="" ns3:_="" ns4:_="">
    <xsd:import namespace="c6412ee8-4f88-4f58-bebb-22ef60faf8fe"/>
    <xsd:import namespace="6a19e214-ee66-49b5-9489-99575c5961cd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2ee8-4f88-4f58-bebb-22ef60faf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9e214-ee66-49b5-9489-99575c596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377A35B-7FC5-4162-8547-E7F1C86E1120}" ma:internalName="TaxCatchAll" ma:showField="CatchAllData" ma:web="{6a19e214-ee66-49b5-9489-99575c5961c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12ee8-4f88-4f58-bebb-22ef60faf8fe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5AE0152F-74D3-49E9-B2D2-445CBDA99429}"/>
</file>

<file path=customXml/itemProps2.xml><?xml version="1.0" encoding="utf-8"?>
<ds:datastoreItem xmlns:ds="http://schemas.openxmlformats.org/officeDocument/2006/customXml" ds:itemID="{3164F2D7-F9E1-44FB-A044-AE3D3C8B863D}"/>
</file>

<file path=customXml/itemProps3.xml><?xml version="1.0" encoding="utf-8"?>
<ds:datastoreItem xmlns:ds="http://schemas.openxmlformats.org/officeDocument/2006/customXml" ds:itemID="{F2C728E2-41E3-4906-801F-AC70D81CFC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IDT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Lisa (Burton Borough School)</dc:creator>
  <cp:keywords/>
  <dc:description/>
  <cp:lastModifiedBy>Richardson, Lisa (Burton Borough School)</cp:lastModifiedBy>
  <cp:revision>2</cp:revision>
  <dcterms:created xsi:type="dcterms:W3CDTF">2025-09-19T08:51:00Z</dcterms:created>
  <dcterms:modified xsi:type="dcterms:W3CDTF">2025-09-19T09:15:00Z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0x01010032E30A932B796F44AFBAF12FDB02D356</vt:lpwstr>
  </property>
</Properties>
</file>