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1" w:rsidRDefault="00181901" w:rsidP="0018190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2E21FC">
        <w:rPr>
          <w:rFonts w:ascii="Calibri" w:eastAsia="Calibri" w:hAnsi="Calibri" w:cs="Times New Roman"/>
          <w:noProof/>
          <w:sz w:val="16"/>
          <w:szCs w:val="16"/>
          <w:lang w:eastAsia="en-GB"/>
        </w:rPr>
        <w:drawing>
          <wp:inline distT="0" distB="0" distL="0" distR="0" wp14:anchorId="407F35AD" wp14:editId="6B3B0609">
            <wp:extent cx="2819400" cy="933450"/>
            <wp:effectExtent l="0" t="0" r="0" b="0"/>
            <wp:docPr id="1" name="Picture 1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01" w:rsidRPr="00FE7AB1" w:rsidRDefault="00181901" w:rsidP="0018190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WHAT</w:t>
      </w:r>
      <w:r w:rsidR="00F86BB7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HAS BEEN THE IMPACT OF THE 2016/2017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PUPIL </w:t>
      </w:r>
      <w:bookmarkStart w:id="0" w:name="_GoBack"/>
      <w:bookmarkEnd w:id="0"/>
      <w:r w:rsidR="00AA2FFC">
        <w:rPr>
          <w:rFonts w:ascii="Arial" w:hAnsi="Arial" w:cs="Arial"/>
          <w:b/>
          <w:color w:val="548DD4" w:themeColor="text2" w:themeTint="99"/>
          <w:sz w:val="36"/>
          <w:szCs w:val="36"/>
        </w:rPr>
        <w:t>PREMIUM?</w:t>
      </w:r>
    </w:p>
    <w:p w:rsidR="00181901" w:rsidRDefault="00181901" w:rsidP="0018190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_____________________________________________________________________________</w:t>
      </w:r>
    </w:p>
    <w:p w:rsidR="00181901" w:rsidRPr="00FE7AB1" w:rsidRDefault="00181901" w:rsidP="00181901">
      <w:pPr>
        <w:rPr>
          <w:rFonts w:ascii="Arial" w:hAnsi="Arial" w:cs="Arial"/>
          <w:b/>
          <w:sz w:val="28"/>
          <w:szCs w:val="28"/>
        </w:rPr>
      </w:pPr>
      <w:r w:rsidRPr="00FE7AB1">
        <w:rPr>
          <w:rFonts w:ascii="Arial" w:hAnsi="Arial" w:cs="Arial"/>
          <w:b/>
          <w:sz w:val="28"/>
          <w:szCs w:val="28"/>
        </w:rPr>
        <w:t>Amount of Pup</w:t>
      </w:r>
      <w:r w:rsidR="00F86BB7">
        <w:rPr>
          <w:rFonts w:ascii="Arial" w:hAnsi="Arial" w:cs="Arial"/>
          <w:b/>
          <w:sz w:val="28"/>
          <w:szCs w:val="28"/>
        </w:rPr>
        <w:t>il Premium Funding received 2016/17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3"/>
        <w:gridCol w:w="6488"/>
      </w:tblGrid>
      <w:tr w:rsidR="00181901" w:rsidTr="00C81C1B">
        <w:tc>
          <w:tcPr>
            <w:tcW w:w="6553" w:type="dxa"/>
          </w:tcPr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901" w:rsidRPr="00FE7AB1" w:rsidRDefault="00181901" w:rsidP="00C8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eligible pupils</w:t>
            </w:r>
          </w:p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901" w:rsidRPr="00612E39" w:rsidRDefault="00F86BB7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181901" w:rsidRPr="0061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1901" w:rsidRPr="00FE7AB1" w:rsidRDefault="00F86BB7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5</w:t>
            </w:r>
            <w:r w:rsidR="00181901">
              <w:rPr>
                <w:rFonts w:ascii="Arial" w:hAnsi="Arial" w:cs="Arial"/>
                <w:b/>
                <w:sz w:val="24"/>
                <w:szCs w:val="24"/>
              </w:rPr>
              <w:t xml:space="preserve"> LAC and 1 Adopted from Care)</w:t>
            </w:r>
          </w:p>
        </w:tc>
      </w:tr>
      <w:tr w:rsidR="00181901" w:rsidTr="00C81C1B">
        <w:tc>
          <w:tcPr>
            <w:tcW w:w="6553" w:type="dxa"/>
          </w:tcPr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901" w:rsidRPr="00FE7AB1" w:rsidRDefault="00181901" w:rsidP="00C81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</w:t>
            </w:r>
            <w:r w:rsidR="00F86BB7">
              <w:rPr>
                <w:rFonts w:ascii="Arial" w:hAnsi="Arial" w:cs="Arial"/>
                <w:sz w:val="24"/>
                <w:szCs w:val="24"/>
              </w:rPr>
              <w:t>l Funding for academic year 2016/2017</w:t>
            </w:r>
          </w:p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181901" w:rsidRDefault="00181901" w:rsidP="00C81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901" w:rsidRDefault="00181901" w:rsidP="00F86B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F86BB7">
              <w:rPr>
                <w:rFonts w:ascii="Arial" w:hAnsi="Arial" w:cs="Arial"/>
                <w:b/>
                <w:sz w:val="24"/>
                <w:szCs w:val="24"/>
              </w:rPr>
              <w:t>79,320</w:t>
            </w:r>
          </w:p>
        </w:tc>
      </w:tr>
    </w:tbl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5B4B96" w:rsidRDefault="005B4B96" w:rsidP="00181901">
      <w:pPr>
        <w:rPr>
          <w:rFonts w:ascii="Arial" w:hAnsi="Arial" w:cs="Arial"/>
          <w:b/>
          <w:sz w:val="28"/>
          <w:szCs w:val="28"/>
          <w:u w:val="single"/>
        </w:rPr>
      </w:pPr>
    </w:p>
    <w:p w:rsidR="00181901" w:rsidRPr="00803895" w:rsidRDefault="00181901" w:rsidP="00181901">
      <w:pPr>
        <w:rPr>
          <w:rFonts w:ascii="Arial" w:hAnsi="Arial" w:cs="Arial"/>
          <w:b/>
          <w:sz w:val="28"/>
          <w:szCs w:val="28"/>
          <w:u w:val="single"/>
        </w:rPr>
      </w:pPr>
      <w:r w:rsidRPr="0080389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Key expenditure </w:t>
      </w:r>
    </w:p>
    <w:p w:rsidR="00181901" w:rsidRDefault="00181901" w:rsidP="0018190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Area of spend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Access to small focused intervention groups and additional Learning Support Assistants in class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Literacy and numeracy</w:t>
            </w:r>
          </w:p>
        </w:tc>
        <w:tc>
          <w:tcPr>
            <w:tcW w:w="4725" w:type="dxa"/>
          </w:tcPr>
          <w:p w:rsidR="00181901" w:rsidRPr="00803895" w:rsidRDefault="00A33859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£46,170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assessing progress small group work</w:t>
            </w:r>
          </w:p>
        </w:tc>
        <w:tc>
          <w:tcPr>
            <w:tcW w:w="4725" w:type="dxa"/>
          </w:tcPr>
          <w:p w:rsidR="00181901" w:rsidRPr="00803895" w:rsidRDefault="00A33859" w:rsidP="001819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</w:t>
            </w:r>
            <w:r w:rsidR="00181901">
              <w:rPr>
                <w:rFonts w:ascii="Arial" w:hAnsi="Arial" w:cs="Arial"/>
                <w:b/>
                <w:sz w:val="20"/>
                <w:szCs w:val="20"/>
              </w:rPr>
              <w:t>,400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Access to learning mentor and behaviour management sessions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£10,000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Funding for </w:t>
            </w:r>
            <w:proofErr w:type="spellStart"/>
            <w:r w:rsidRPr="00803895">
              <w:rPr>
                <w:rFonts w:ascii="Arial" w:hAnsi="Arial" w:cs="Arial"/>
                <w:sz w:val="20"/>
                <w:szCs w:val="20"/>
              </w:rPr>
              <w:t>extra curricular</w:t>
            </w:r>
            <w:proofErr w:type="spellEnd"/>
            <w:r w:rsidRPr="00803895">
              <w:rPr>
                <w:rFonts w:ascii="Arial" w:hAnsi="Arial" w:cs="Arial"/>
                <w:sz w:val="20"/>
                <w:szCs w:val="20"/>
              </w:rPr>
              <w:t xml:space="preserve"> music lessons and clubs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Personal and Social 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338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Milk and food  subsidy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181901" w:rsidRPr="00803895" w:rsidRDefault="00A33859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£500</w:t>
            </w:r>
            <w:r w:rsidR="001819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Uniform subsidy</w:t>
            </w:r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181901" w:rsidRPr="00480908" w:rsidRDefault="00A33859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£500</w:t>
            </w:r>
            <w:r w:rsidR="001819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Funding for school trips and </w:t>
            </w:r>
            <w:proofErr w:type="spellStart"/>
            <w:r w:rsidRPr="00803895">
              <w:rPr>
                <w:rFonts w:ascii="Arial" w:hAnsi="Arial" w:cs="Arial"/>
                <w:sz w:val="20"/>
                <w:szCs w:val="20"/>
              </w:rPr>
              <w:t>residentials</w:t>
            </w:r>
            <w:proofErr w:type="spellEnd"/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181901" w:rsidRPr="00480908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£2,200.00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Funding for breakfast club and after school club</w:t>
            </w:r>
          </w:p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£4,000.00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Additional learning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 IT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Literacy and numeracy</w:t>
            </w:r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£1,000.00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for all staff</w:t>
            </w:r>
          </w:p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181901" w:rsidRPr="00803895" w:rsidRDefault="00863D57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£1,0</w:t>
            </w:r>
            <w:r w:rsidR="00181901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Psychologist </w:t>
            </w:r>
          </w:p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£1,000.00</w:t>
            </w:r>
          </w:p>
        </w:tc>
      </w:tr>
      <w:tr w:rsidR="00181901" w:rsidRPr="00803895" w:rsidTr="00C81C1B">
        <w:tc>
          <w:tcPr>
            <w:tcW w:w="4724" w:type="dxa"/>
          </w:tcPr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181901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181901" w:rsidRPr="00803895" w:rsidRDefault="00181901" w:rsidP="00C81C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£150.00</w:t>
            </w:r>
          </w:p>
        </w:tc>
      </w:tr>
    </w:tbl>
    <w:p w:rsidR="005B4B96" w:rsidRDefault="005B4B96" w:rsidP="005B4B96"/>
    <w:p w:rsidR="005B4B96" w:rsidRDefault="005B4B96" w:rsidP="005B4B9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3859" w:rsidRDefault="00A33859" w:rsidP="00A338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08C1">
        <w:rPr>
          <w:rFonts w:ascii="Arial" w:hAnsi="Arial" w:cs="Arial"/>
          <w:b/>
          <w:sz w:val="28"/>
          <w:szCs w:val="28"/>
          <w:u w:val="single"/>
        </w:rPr>
        <w:lastRenderedPageBreak/>
        <w:t>CLOSING THE GAPS TREND PUPIL PREMIUM 2016/17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END OF SUMMER TERM</w:t>
      </w:r>
    </w:p>
    <w:p w:rsidR="00A33859" w:rsidRDefault="00A33859" w:rsidP="00A338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PERCENTAGE OF PUPILS MEETING AGE RELATED EXPECTATIONS – COHORT SPECIFIC</w:t>
      </w:r>
    </w:p>
    <w:p w:rsidR="00A33859" w:rsidRPr="009108C1" w:rsidRDefault="00A33859" w:rsidP="00A338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779"/>
        <w:gridCol w:w="1348"/>
        <w:gridCol w:w="1369"/>
        <w:gridCol w:w="1223"/>
        <w:gridCol w:w="1109"/>
        <w:gridCol w:w="1232"/>
        <w:gridCol w:w="1223"/>
        <w:gridCol w:w="1109"/>
        <w:gridCol w:w="1594"/>
        <w:gridCol w:w="1594"/>
        <w:gridCol w:w="1594"/>
      </w:tblGrid>
      <w:tr w:rsidR="00A33859" w:rsidTr="00CC6329">
        <w:tc>
          <w:tcPr>
            <w:tcW w:w="779" w:type="dxa"/>
          </w:tcPr>
          <w:p w:rsidR="00A33859" w:rsidRDefault="00A33859" w:rsidP="00CC6329"/>
          <w:p w:rsidR="00A33859" w:rsidRDefault="00A33859" w:rsidP="00CC6329"/>
        </w:tc>
        <w:tc>
          <w:tcPr>
            <w:tcW w:w="1348" w:type="dxa"/>
          </w:tcPr>
          <w:p w:rsidR="00A33859" w:rsidRDefault="00A33859" w:rsidP="00CC6329"/>
        </w:tc>
        <w:tc>
          <w:tcPr>
            <w:tcW w:w="3701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meeting ARE July 2016 when in Year 1</w:t>
            </w:r>
          </w:p>
          <w:p w:rsidR="00A33859" w:rsidRPr="0086072C" w:rsidRDefault="00A33859" w:rsidP="00CC6329">
            <w:pPr>
              <w:rPr>
                <w:b/>
              </w:rPr>
            </w:pPr>
          </w:p>
        </w:tc>
        <w:tc>
          <w:tcPr>
            <w:tcW w:w="3564" w:type="dxa"/>
            <w:gridSpan w:val="3"/>
          </w:tcPr>
          <w:p w:rsidR="00A33859" w:rsidRDefault="00A33859" w:rsidP="00CC6329">
            <w:pPr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 meeting ARE as at end of Summer  term 2017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Developing +</w:t>
            </w:r>
          </w:p>
        </w:tc>
        <w:tc>
          <w:tcPr>
            <w:tcW w:w="4782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 xml:space="preserve">% gain </w:t>
            </w:r>
          </w:p>
        </w:tc>
      </w:tr>
      <w:tr w:rsidR="00A33859" w:rsidTr="00CC6329">
        <w:tc>
          <w:tcPr>
            <w:tcW w:w="779" w:type="dxa"/>
            <w:vMerge w:val="restart"/>
          </w:tcPr>
          <w:p w:rsidR="00A33859" w:rsidRDefault="00A33859" w:rsidP="00CC6329"/>
          <w:p w:rsidR="00A33859" w:rsidRDefault="00A33859" w:rsidP="00CC6329">
            <w:r>
              <w:t>Year 2</w:t>
            </w:r>
          </w:p>
        </w:tc>
        <w:tc>
          <w:tcPr>
            <w:tcW w:w="1348" w:type="dxa"/>
          </w:tcPr>
          <w:p w:rsidR="00A33859" w:rsidRDefault="00A33859" w:rsidP="00CC6329"/>
        </w:tc>
        <w:tc>
          <w:tcPr>
            <w:tcW w:w="1369" w:type="dxa"/>
          </w:tcPr>
          <w:p w:rsidR="00A33859" w:rsidRDefault="00A33859" w:rsidP="00CC6329">
            <w:r>
              <w:t>READING</w:t>
            </w:r>
          </w:p>
        </w:tc>
        <w:tc>
          <w:tcPr>
            <w:tcW w:w="1223" w:type="dxa"/>
          </w:tcPr>
          <w:p w:rsidR="00A33859" w:rsidRDefault="00A33859" w:rsidP="00CC6329">
            <w:r>
              <w:t>WRITING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232" w:type="dxa"/>
          </w:tcPr>
          <w:p w:rsidR="00A33859" w:rsidRDefault="00A33859" w:rsidP="00CC6329">
            <w:r>
              <w:t xml:space="preserve">READING </w:t>
            </w:r>
          </w:p>
        </w:tc>
        <w:tc>
          <w:tcPr>
            <w:tcW w:w="1223" w:type="dxa"/>
          </w:tcPr>
          <w:p w:rsidR="00A33859" w:rsidRDefault="00A33859" w:rsidP="00CC6329">
            <w:r>
              <w:t xml:space="preserve">WRITING 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READING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WRITING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MATHS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50%</w:t>
            </w:r>
          </w:p>
        </w:tc>
        <w:tc>
          <w:tcPr>
            <w:tcW w:w="1223" w:type="dxa"/>
          </w:tcPr>
          <w:p w:rsidR="00A33859" w:rsidRDefault="00A33859" w:rsidP="00CC6329">
            <w:r>
              <w:t>50%</w:t>
            </w:r>
          </w:p>
        </w:tc>
        <w:tc>
          <w:tcPr>
            <w:tcW w:w="1109" w:type="dxa"/>
          </w:tcPr>
          <w:p w:rsidR="00A33859" w:rsidRDefault="00A33859" w:rsidP="00CC6329">
            <w:r>
              <w:t>50%</w:t>
            </w:r>
          </w:p>
        </w:tc>
        <w:tc>
          <w:tcPr>
            <w:tcW w:w="1232" w:type="dxa"/>
          </w:tcPr>
          <w:p w:rsidR="00A33859" w:rsidRDefault="00A33859" w:rsidP="00CC6329">
            <w:r>
              <w:t>50%</w:t>
            </w:r>
          </w:p>
        </w:tc>
        <w:tc>
          <w:tcPr>
            <w:tcW w:w="1223" w:type="dxa"/>
          </w:tcPr>
          <w:p w:rsidR="00A33859" w:rsidRDefault="00A33859" w:rsidP="00CC6329">
            <w:r>
              <w:t>50%</w:t>
            </w:r>
          </w:p>
        </w:tc>
        <w:tc>
          <w:tcPr>
            <w:tcW w:w="1109" w:type="dxa"/>
          </w:tcPr>
          <w:p w:rsidR="00A33859" w:rsidRDefault="00A33859" w:rsidP="00CC6329">
            <w:r>
              <w:t>50%</w:t>
            </w:r>
          </w:p>
        </w:tc>
        <w:tc>
          <w:tcPr>
            <w:tcW w:w="1594" w:type="dxa"/>
          </w:tcPr>
          <w:p w:rsidR="00A33859" w:rsidRDefault="00A33859" w:rsidP="00CC6329">
            <w:r>
              <w:t>0%</w:t>
            </w:r>
          </w:p>
        </w:tc>
        <w:tc>
          <w:tcPr>
            <w:tcW w:w="1594" w:type="dxa"/>
          </w:tcPr>
          <w:p w:rsidR="00A33859" w:rsidRDefault="00A33859" w:rsidP="00CC6329">
            <w:r>
              <w:t>0%</w:t>
            </w:r>
          </w:p>
        </w:tc>
        <w:tc>
          <w:tcPr>
            <w:tcW w:w="1594" w:type="dxa"/>
          </w:tcPr>
          <w:p w:rsidR="00A33859" w:rsidRDefault="00A33859" w:rsidP="00CC6329">
            <w:r>
              <w:t>0%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Non 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95.35%</w:t>
            </w:r>
          </w:p>
        </w:tc>
        <w:tc>
          <w:tcPr>
            <w:tcW w:w="1223" w:type="dxa"/>
          </w:tcPr>
          <w:p w:rsidR="00A33859" w:rsidRDefault="00A33859" w:rsidP="00CC6329">
            <w:r>
              <w:t>95.35%</w:t>
            </w:r>
          </w:p>
        </w:tc>
        <w:tc>
          <w:tcPr>
            <w:tcW w:w="1109" w:type="dxa"/>
          </w:tcPr>
          <w:p w:rsidR="00A33859" w:rsidRDefault="00A33859" w:rsidP="00CC6329">
            <w:r>
              <w:t>90.70%</w:t>
            </w:r>
          </w:p>
        </w:tc>
        <w:tc>
          <w:tcPr>
            <w:tcW w:w="1232" w:type="dxa"/>
          </w:tcPr>
          <w:p w:rsidR="00A33859" w:rsidRDefault="00A33859" w:rsidP="00CC6329">
            <w:r>
              <w:t>93%</w:t>
            </w:r>
          </w:p>
        </w:tc>
        <w:tc>
          <w:tcPr>
            <w:tcW w:w="1223" w:type="dxa"/>
          </w:tcPr>
          <w:p w:rsidR="00A33859" w:rsidRDefault="00A33859" w:rsidP="00CC6329">
            <w:r>
              <w:t>90%</w:t>
            </w:r>
          </w:p>
        </w:tc>
        <w:tc>
          <w:tcPr>
            <w:tcW w:w="1109" w:type="dxa"/>
          </w:tcPr>
          <w:p w:rsidR="00A33859" w:rsidRDefault="00A33859" w:rsidP="00CC6329">
            <w:r>
              <w:t>98.%</w:t>
            </w:r>
          </w:p>
        </w:tc>
        <w:tc>
          <w:tcPr>
            <w:tcW w:w="1594" w:type="dxa"/>
          </w:tcPr>
          <w:p w:rsidR="00A33859" w:rsidRDefault="00A33859" w:rsidP="00CC6329">
            <w:r>
              <w:t>-2.35%</w:t>
            </w:r>
          </w:p>
        </w:tc>
        <w:tc>
          <w:tcPr>
            <w:tcW w:w="1594" w:type="dxa"/>
          </w:tcPr>
          <w:p w:rsidR="00A33859" w:rsidRDefault="00A33859" w:rsidP="00CC6329">
            <w:r>
              <w:t>-5.35%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+7.30%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GAP</w:t>
            </w:r>
          </w:p>
        </w:tc>
        <w:tc>
          <w:tcPr>
            <w:tcW w:w="1369" w:type="dxa"/>
          </w:tcPr>
          <w:p w:rsidR="00A33859" w:rsidRDefault="00A33859" w:rsidP="00CC6329">
            <w:r>
              <w:t>-45.35%</w:t>
            </w:r>
          </w:p>
        </w:tc>
        <w:tc>
          <w:tcPr>
            <w:tcW w:w="1223" w:type="dxa"/>
          </w:tcPr>
          <w:p w:rsidR="00A33859" w:rsidRDefault="00A33859" w:rsidP="00CC6329">
            <w:r>
              <w:t>-40.16%</w:t>
            </w:r>
          </w:p>
        </w:tc>
        <w:tc>
          <w:tcPr>
            <w:tcW w:w="1109" w:type="dxa"/>
          </w:tcPr>
          <w:p w:rsidR="00A33859" w:rsidRDefault="00A33859" w:rsidP="00CC6329">
            <w:r>
              <w:t>-40.70%</w:t>
            </w:r>
          </w:p>
        </w:tc>
        <w:tc>
          <w:tcPr>
            <w:tcW w:w="1232" w:type="dxa"/>
            <w:shd w:val="clear" w:color="auto" w:fill="FFFF00"/>
          </w:tcPr>
          <w:p w:rsidR="00A33859" w:rsidRDefault="00A33859" w:rsidP="00CC6329">
            <w:r>
              <w:t>-43.00%</w:t>
            </w:r>
          </w:p>
        </w:tc>
        <w:tc>
          <w:tcPr>
            <w:tcW w:w="1223" w:type="dxa"/>
            <w:shd w:val="clear" w:color="auto" w:fill="FFFF00"/>
          </w:tcPr>
          <w:p w:rsidR="00A33859" w:rsidRDefault="00A33859" w:rsidP="00CC6329">
            <w:r>
              <w:t>-40.00%</w:t>
            </w:r>
          </w:p>
        </w:tc>
        <w:tc>
          <w:tcPr>
            <w:tcW w:w="1109" w:type="dxa"/>
            <w:shd w:val="clear" w:color="auto" w:fill="FFFFFF" w:themeFill="background1"/>
          </w:tcPr>
          <w:p w:rsidR="00A33859" w:rsidRDefault="00A33859" w:rsidP="00CC6329">
            <w:r>
              <w:t>-48.00%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</w:tr>
    </w:tbl>
    <w:p w:rsidR="00A33859" w:rsidRDefault="00A33859" w:rsidP="00A33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348"/>
        <w:gridCol w:w="1369"/>
        <w:gridCol w:w="1223"/>
        <w:gridCol w:w="1109"/>
        <w:gridCol w:w="1232"/>
        <w:gridCol w:w="1223"/>
        <w:gridCol w:w="1109"/>
        <w:gridCol w:w="1594"/>
        <w:gridCol w:w="1594"/>
        <w:gridCol w:w="1594"/>
      </w:tblGrid>
      <w:tr w:rsidR="00A33859" w:rsidTr="00CC6329">
        <w:tc>
          <w:tcPr>
            <w:tcW w:w="779" w:type="dxa"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/>
        </w:tc>
        <w:tc>
          <w:tcPr>
            <w:tcW w:w="3701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meeting ARE July 2016 when in Year 2</w:t>
            </w:r>
          </w:p>
          <w:p w:rsidR="00A33859" w:rsidRPr="0086072C" w:rsidRDefault="00A33859" w:rsidP="00CC6329">
            <w:pPr>
              <w:rPr>
                <w:b/>
              </w:rPr>
            </w:pPr>
          </w:p>
        </w:tc>
        <w:tc>
          <w:tcPr>
            <w:tcW w:w="3564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 meeting ARE as at end of Summer  term 2017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Developing +</w:t>
            </w:r>
          </w:p>
        </w:tc>
        <w:tc>
          <w:tcPr>
            <w:tcW w:w="4782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 xml:space="preserve">% gain </w:t>
            </w:r>
          </w:p>
        </w:tc>
      </w:tr>
      <w:tr w:rsidR="00A33859" w:rsidTr="00CC6329">
        <w:tc>
          <w:tcPr>
            <w:tcW w:w="779" w:type="dxa"/>
            <w:vMerge w:val="restart"/>
          </w:tcPr>
          <w:p w:rsidR="00A33859" w:rsidRDefault="00A33859" w:rsidP="00CC6329"/>
          <w:p w:rsidR="00A33859" w:rsidRDefault="00A33859" w:rsidP="00CC6329">
            <w:r>
              <w:t>Year 3</w:t>
            </w:r>
          </w:p>
        </w:tc>
        <w:tc>
          <w:tcPr>
            <w:tcW w:w="1348" w:type="dxa"/>
          </w:tcPr>
          <w:p w:rsidR="00A33859" w:rsidRDefault="00A33859" w:rsidP="00CC6329"/>
        </w:tc>
        <w:tc>
          <w:tcPr>
            <w:tcW w:w="1369" w:type="dxa"/>
          </w:tcPr>
          <w:p w:rsidR="00A33859" w:rsidRDefault="00A33859" w:rsidP="00CC6329">
            <w:r>
              <w:t>READING</w:t>
            </w:r>
          </w:p>
        </w:tc>
        <w:tc>
          <w:tcPr>
            <w:tcW w:w="1223" w:type="dxa"/>
          </w:tcPr>
          <w:p w:rsidR="00A33859" w:rsidRDefault="00A33859" w:rsidP="00CC6329">
            <w:r>
              <w:t>WRITING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232" w:type="dxa"/>
          </w:tcPr>
          <w:p w:rsidR="00A33859" w:rsidRDefault="00A33859" w:rsidP="00CC6329">
            <w:r>
              <w:t xml:space="preserve">READING </w:t>
            </w:r>
          </w:p>
        </w:tc>
        <w:tc>
          <w:tcPr>
            <w:tcW w:w="1223" w:type="dxa"/>
          </w:tcPr>
          <w:p w:rsidR="00A33859" w:rsidRDefault="00A33859" w:rsidP="00CC6329">
            <w:r>
              <w:t xml:space="preserve">WRITING 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READING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WRITING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MATHS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57%</w:t>
            </w:r>
          </w:p>
        </w:tc>
        <w:tc>
          <w:tcPr>
            <w:tcW w:w="1223" w:type="dxa"/>
          </w:tcPr>
          <w:p w:rsidR="00A33859" w:rsidRDefault="00A33859" w:rsidP="00CC6329">
            <w:r>
              <w:t>57.14%</w:t>
            </w:r>
          </w:p>
        </w:tc>
        <w:tc>
          <w:tcPr>
            <w:tcW w:w="1109" w:type="dxa"/>
          </w:tcPr>
          <w:p w:rsidR="00A33859" w:rsidRDefault="00A33859" w:rsidP="00CC6329">
            <w:r>
              <w:t>71.43%</w:t>
            </w:r>
          </w:p>
        </w:tc>
        <w:tc>
          <w:tcPr>
            <w:tcW w:w="1232" w:type="dxa"/>
          </w:tcPr>
          <w:p w:rsidR="00A33859" w:rsidRDefault="00A33859" w:rsidP="00CC6329">
            <w:r>
              <w:t>16.66%</w:t>
            </w:r>
          </w:p>
        </w:tc>
        <w:tc>
          <w:tcPr>
            <w:tcW w:w="1223" w:type="dxa"/>
          </w:tcPr>
          <w:p w:rsidR="00A33859" w:rsidRDefault="00A33859" w:rsidP="00CC6329">
            <w:r>
              <w:t>33.33%</w:t>
            </w:r>
          </w:p>
        </w:tc>
        <w:tc>
          <w:tcPr>
            <w:tcW w:w="1109" w:type="dxa"/>
          </w:tcPr>
          <w:p w:rsidR="00A33859" w:rsidRDefault="00A33859" w:rsidP="00CC6329">
            <w:r>
              <w:t>16.66%</w:t>
            </w:r>
          </w:p>
        </w:tc>
        <w:tc>
          <w:tcPr>
            <w:tcW w:w="1594" w:type="dxa"/>
          </w:tcPr>
          <w:p w:rsidR="00A33859" w:rsidRDefault="00A33859" w:rsidP="00CC6329">
            <w:r>
              <w:t>-40.34%</w:t>
            </w:r>
          </w:p>
        </w:tc>
        <w:tc>
          <w:tcPr>
            <w:tcW w:w="1594" w:type="dxa"/>
          </w:tcPr>
          <w:p w:rsidR="00A33859" w:rsidRDefault="00A33859" w:rsidP="00CC6329">
            <w:r>
              <w:t>-23.81%</w:t>
            </w:r>
          </w:p>
        </w:tc>
        <w:tc>
          <w:tcPr>
            <w:tcW w:w="1594" w:type="dxa"/>
          </w:tcPr>
          <w:p w:rsidR="00A33859" w:rsidRDefault="00A33859" w:rsidP="00CC6329">
            <w:r>
              <w:t>-40.48%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Non 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70.59%</w:t>
            </w:r>
          </w:p>
        </w:tc>
        <w:tc>
          <w:tcPr>
            <w:tcW w:w="1223" w:type="dxa"/>
          </w:tcPr>
          <w:p w:rsidR="00A33859" w:rsidRDefault="00A33859" w:rsidP="00CC6329">
            <w:r>
              <w:t>73.53%</w:t>
            </w:r>
          </w:p>
        </w:tc>
        <w:tc>
          <w:tcPr>
            <w:tcW w:w="1109" w:type="dxa"/>
          </w:tcPr>
          <w:p w:rsidR="00A33859" w:rsidRDefault="00A33859" w:rsidP="00CC6329">
            <w:r>
              <w:t>82.35%</w:t>
            </w:r>
          </w:p>
        </w:tc>
        <w:tc>
          <w:tcPr>
            <w:tcW w:w="1232" w:type="dxa"/>
          </w:tcPr>
          <w:p w:rsidR="00A33859" w:rsidRDefault="00A33859" w:rsidP="00CC6329">
            <w:r>
              <w:t>70.59%</w:t>
            </w:r>
          </w:p>
        </w:tc>
        <w:tc>
          <w:tcPr>
            <w:tcW w:w="1223" w:type="dxa"/>
          </w:tcPr>
          <w:p w:rsidR="00A33859" w:rsidRDefault="00A33859" w:rsidP="00CC6329">
            <w:r>
              <w:t>68.00%</w:t>
            </w:r>
          </w:p>
        </w:tc>
        <w:tc>
          <w:tcPr>
            <w:tcW w:w="1109" w:type="dxa"/>
          </w:tcPr>
          <w:p w:rsidR="00A33859" w:rsidRDefault="00A33859" w:rsidP="00CC6329">
            <w:r>
              <w:t>68.00%</w:t>
            </w:r>
          </w:p>
        </w:tc>
        <w:tc>
          <w:tcPr>
            <w:tcW w:w="1594" w:type="dxa"/>
            <w:shd w:val="clear" w:color="auto" w:fill="auto"/>
          </w:tcPr>
          <w:p w:rsidR="00A33859" w:rsidRDefault="00A33859" w:rsidP="00CC6329">
            <w:r>
              <w:t>0%</w:t>
            </w:r>
          </w:p>
        </w:tc>
        <w:tc>
          <w:tcPr>
            <w:tcW w:w="1594" w:type="dxa"/>
          </w:tcPr>
          <w:p w:rsidR="00A33859" w:rsidRDefault="00A33859" w:rsidP="00CC6329">
            <w:r>
              <w:t>-5.53%</w:t>
            </w:r>
          </w:p>
        </w:tc>
        <w:tc>
          <w:tcPr>
            <w:tcW w:w="1594" w:type="dxa"/>
          </w:tcPr>
          <w:p w:rsidR="00A33859" w:rsidRDefault="00A33859" w:rsidP="00CC6329">
            <w:r>
              <w:t>-14.35%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GAP</w:t>
            </w:r>
          </w:p>
        </w:tc>
        <w:tc>
          <w:tcPr>
            <w:tcW w:w="1369" w:type="dxa"/>
          </w:tcPr>
          <w:p w:rsidR="00A33859" w:rsidRDefault="00A33859" w:rsidP="00CC6329">
            <w:r>
              <w:t>-13.59%</w:t>
            </w:r>
          </w:p>
        </w:tc>
        <w:tc>
          <w:tcPr>
            <w:tcW w:w="1223" w:type="dxa"/>
          </w:tcPr>
          <w:p w:rsidR="00A33859" w:rsidRDefault="00A33859" w:rsidP="00CC6329">
            <w:r>
              <w:t>-16.39%</w:t>
            </w:r>
          </w:p>
        </w:tc>
        <w:tc>
          <w:tcPr>
            <w:tcW w:w="1109" w:type="dxa"/>
          </w:tcPr>
          <w:p w:rsidR="00A33859" w:rsidRDefault="00A33859" w:rsidP="00CC6329">
            <w:r>
              <w:t>-10.92%</w:t>
            </w:r>
          </w:p>
        </w:tc>
        <w:tc>
          <w:tcPr>
            <w:tcW w:w="1232" w:type="dxa"/>
            <w:shd w:val="clear" w:color="auto" w:fill="FFFFFF" w:themeFill="background1"/>
          </w:tcPr>
          <w:p w:rsidR="00A33859" w:rsidRDefault="00A33859" w:rsidP="00CC6329">
            <w:r>
              <w:t>-53.93%</w:t>
            </w:r>
          </w:p>
        </w:tc>
        <w:tc>
          <w:tcPr>
            <w:tcW w:w="1223" w:type="dxa"/>
            <w:shd w:val="clear" w:color="auto" w:fill="FFFFFF" w:themeFill="background1"/>
          </w:tcPr>
          <w:p w:rsidR="00A33859" w:rsidRDefault="00A33859" w:rsidP="00CC6329">
            <w:r>
              <w:t>-34.67%</w:t>
            </w:r>
          </w:p>
        </w:tc>
        <w:tc>
          <w:tcPr>
            <w:tcW w:w="1109" w:type="dxa"/>
            <w:shd w:val="clear" w:color="auto" w:fill="FFFFFF" w:themeFill="background1"/>
          </w:tcPr>
          <w:p w:rsidR="00A33859" w:rsidRDefault="00A33859" w:rsidP="00CC6329">
            <w:r>
              <w:t>-51.34%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</w:tr>
    </w:tbl>
    <w:p w:rsidR="00A33859" w:rsidRDefault="00A33859" w:rsidP="00A33859"/>
    <w:p w:rsidR="00A33859" w:rsidRDefault="00A33859" w:rsidP="00A33859"/>
    <w:p w:rsidR="00A33859" w:rsidRDefault="00A33859" w:rsidP="00A33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348"/>
        <w:gridCol w:w="1369"/>
        <w:gridCol w:w="1223"/>
        <w:gridCol w:w="1109"/>
        <w:gridCol w:w="1232"/>
        <w:gridCol w:w="1223"/>
        <w:gridCol w:w="1109"/>
        <w:gridCol w:w="1594"/>
        <w:gridCol w:w="1594"/>
        <w:gridCol w:w="1594"/>
      </w:tblGrid>
      <w:tr w:rsidR="00A33859" w:rsidTr="00CC6329">
        <w:tc>
          <w:tcPr>
            <w:tcW w:w="779" w:type="dxa"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/>
        </w:tc>
        <w:tc>
          <w:tcPr>
            <w:tcW w:w="3701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meeting ARE July 2016 when in Year 3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</w:p>
        </w:tc>
        <w:tc>
          <w:tcPr>
            <w:tcW w:w="3564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 meeting ARE as at end of Summer  term 2017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Developing +</w:t>
            </w:r>
          </w:p>
        </w:tc>
        <w:tc>
          <w:tcPr>
            <w:tcW w:w="4782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 xml:space="preserve">% gain </w:t>
            </w:r>
          </w:p>
        </w:tc>
      </w:tr>
      <w:tr w:rsidR="00A33859" w:rsidTr="00CC6329">
        <w:tc>
          <w:tcPr>
            <w:tcW w:w="779" w:type="dxa"/>
            <w:vMerge w:val="restart"/>
          </w:tcPr>
          <w:p w:rsidR="00A33859" w:rsidRDefault="00A33859" w:rsidP="00CC6329"/>
          <w:p w:rsidR="00A33859" w:rsidRDefault="00A33859" w:rsidP="00CC6329">
            <w:r>
              <w:t>Year 4</w:t>
            </w:r>
          </w:p>
        </w:tc>
        <w:tc>
          <w:tcPr>
            <w:tcW w:w="1348" w:type="dxa"/>
          </w:tcPr>
          <w:p w:rsidR="00A33859" w:rsidRDefault="00A33859" w:rsidP="00CC6329"/>
        </w:tc>
        <w:tc>
          <w:tcPr>
            <w:tcW w:w="1369" w:type="dxa"/>
          </w:tcPr>
          <w:p w:rsidR="00A33859" w:rsidRDefault="00A33859" w:rsidP="00CC6329">
            <w:r>
              <w:t>READING</w:t>
            </w:r>
          </w:p>
        </w:tc>
        <w:tc>
          <w:tcPr>
            <w:tcW w:w="1223" w:type="dxa"/>
          </w:tcPr>
          <w:p w:rsidR="00A33859" w:rsidRDefault="00A33859" w:rsidP="00CC6329">
            <w:r>
              <w:t>WRITING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232" w:type="dxa"/>
          </w:tcPr>
          <w:p w:rsidR="00A33859" w:rsidRDefault="00A33859" w:rsidP="00CC6329">
            <w:r>
              <w:t xml:space="preserve">READING </w:t>
            </w:r>
          </w:p>
        </w:tc>
        <w:tc>
          <w:tcPr>
            <w:tcW w:w="1223" w:type="dxa"/>
          </w:tcPr>
          <w:p w:rsidR="00A33859" w:rsidRDefault="00A33859" w:rsidP="00CC6329">
            <w:r>
              <w:t xml:space="preserve">WRITING 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READING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WRITING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MATHS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28.57%</w:t>
            </w:r>
          </w:p>
        </w:tc>
        <w:tc>
          <w:tcPr>
            <w:tcW w:w="1223" w:type="dxa"/>
          </w:tcPr>
          <w:p w:rsidR="00A33859" w:rsidRDefault="00A33859" w:rsidP="00CC6329">
            <w:r>
              <w:t>14.29%</w:t>
            </w:r>
          </w:p>
        </w:tc>
        <w:tc>
          <w:tcPr>
            <w:tcW w:w="1109" w:type="dxa"/>
          </w:tcPr>
          <w:p w:rsidR="00A33859" w:rsidRDefault="00A33859" w:rsidP="00CC6329">
            <w:r>
              <w:t>14.29%</w:t>
            </w:r>
          </w:p>
        </w:tc>
        <w:tc>
          <w:tcPr>
            <w:tcW w:w="1232" w:type="dxa"/>
          </w:tcPr>
          <w:p w:rsidR="00A33859" w:rsidRDefault="00A33859" w:rsidP="00CC6329">
            <w:r>
              <w:t>71.43%</w:t>
            </w:r>
          </w:p>
        </w:tc>
        <w:tc>
          <w:tcPr>
            <w:tcW w:w="1223" w:type="dxa"/>
          </w:tcPr>
          <w:p w:rsidR="00A33859" w:rsidRDefault="00A33859" w:rsidP="00CC6329">
            <w:r>
              <w:t>57.14%</w:t>
            </w:r>
          </w:p>
        </w:tc>
        <w:tc>
          <w:tcPr>
            <w:tcW w:w="1109" w:type="dxa"/>
          </w:tcPr>
          <w:p w:rsidR="00A33859" w:rsidRDefault="00A33859" w:rsidP="00CC6329">
            <w:r>
              <w:t>57.14%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+42.86%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+42.85%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+42.85%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Non 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82.05%</w:t>
            </w:r>
          </w:p>
        </w:tc>
        <w:tc>
          <w:tcPr>
            <w:tcW w:w="1223" w:type="dxa"/>
          </w:tcPr>
          <w:p w:rsidR="00A33859" w:rsidRDefault="00A33859" w:rsidP="00CC6329">
            <w:r>
              <w:t>69.23%</w:t>
            </w:r>
          </w:p>
        </w:tc>
        <w:tc>
          <w:tcPr>
            <w:tcW w:w="1109" w:type="dxa"/>
          </w:tcPr>
          <w:p w:rsidR="00A33859" w:rsidRDefault="00A33859" w:rsidP="00CC6329">
            <w:r>
              <w:t>69.23%</w:t>
            </w:r>
          </w:p>
        </w:tc>
        <w:tc>
          <w:tcPr>
            <w:tcW w:w="1232" w:type="dxa"/>
          </w:tcPr>
          <w:p w:rsidR="00A33859" w:rsidRDefault="00A33859" w:rsidP="00CC6329">
            <w:r>
              <w:t>79.00%</w:t>
            </w:r>
          </w:p>
        </w:tc>
        <w:tc>
          <w:tcPr>
            <w:tcW w:w="1223" w:type="dxa"/>
          </w:tcPr>
          <w:p w:rsidR="00A33859" w:rsidRDefault="00A33859" w:rsidP="00CC6329">
            <w:r>
              <w:t>77.00%</w:t>
            </w:r>
          </w:p>
        </w:tc>
        <w:tc>
          <w:tcPr>
            <w:tcW w:w="1109" w:type="dxa"/>
          </w:tcPr>
          <w:p w:rsidR="00A33859" w:rsidRDefault="00A33859" w:rsidP="00CC6329">
            <w:r>
              <w:t>74.00%</w:t>
            </w:r>
          </w:p>
        </w:tc>
        <w:tc>
          <w:tcPr>
            <w:tcW w:w="1594" w:type="dxa"/>
            <w:shd w:val="clear" w:color="auto" w:fill="FFFFFF" w:themeFill="background1"/>
          </w:tcPr>
          <w:p w:rsidR="00A33859" w:rsidRDefault="00A33859" w:rsidP="00CC6329">
            <w:r>
              <w:t>-3.05%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+7.77%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+4.77%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GAP</w:t>
            </w:r>
          </w:p>
        </w:tc>
        <w:tc>
          <w:tcPr>
            <w:tcW w:w="1369" w:type="dxa"/>
          </w:tcPr>
          <w:p w:rsidR="00A33859" w:rsidRDefault="00A33859" w:rsidP="00CC6329">
            <w:r>
              <w:t>-53.48%</w:t>
            </w:r>
          </w:p>
        </w:tc>
        <w:tc>
          <w:tcPr>
            <w:tcW w:w="1223" w:type="dxa"/>
          </w:tcPr>
          <w:p w:rsidR="00A33859" w:rsidRDefault="00A33859" w:rsidP="00CC6329">
            <w:r>
              <w:t>-54.94%</w:t>
            </w:r>
          </w:p>
        </w:tc>
        <w:tc>
          <w:tcPr>
            <w:tcW w:w="1109" w:type="dxa"/>
          </w:tcPr>
          <w:p w:rsidR="00A33859" w:rsidRDefault="00A33859" w:rsidP="00CC6329">
            <w:r>
              <w:t>-54.94%</w:t>
            </w:r>
          </w:p>
        </w:tc>
        <w:tc>
          <w:tcPr>
            <w:tcW w:w="1232" w:type="dxa"/>
            <w:shd w:val="clear" w:color="auto" w:fill="FFFF00"/>
          </w:tcPr>
          <w:p w:rsidR="00A33859" w:rsidRDefault="00A33859" w:rsidP="00CC6329">
            <w:r>
              <w:t>-7.57%</w:t>
            </w:r>
          </w:p>
        </w:tc>
        <w:tc>
          <w:tcPr>
            <w:tcW w:w="1223" w:type="dxa"/>
            <w:shd w:val="clear" w:color="auto" w:fill="FFFF00"/>
          </w:tcPr>
          <w:p w:rsidR="00A33859" w:rsidRDefault="00A33859" w:rsidP="00CC6329">
            <w:r>
              <w:t>-19.86%</w:t>
            </w:r>
          </w:p>
        </w:tc>
        <w:tc>
          <w:tcPr>
            <w:tcW w:w="1109" w:type="dxa"/>
            <w:shd w:val="clear" w:color="auto" w:fill="FFFF00"/>
          </w:tcPr>
          <w:p w:rsidR="00A33859" w:rsidRDefault="00A33859" w:rsidP="00CC6329">
            <w:r>
              <w:t>-16.86%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</w:tr>
    </w:tbl>
    <w:p w:rsidR="00A33859" w:rsidRDefault="00A33859" w:rsidP="00A33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348"/>
        <w:gridCol w:w="1369"/>
        <w:gridCol w:w="1223"/>
        <w:gridCol w:w="1109"/>
        <w:gridCol w:w="1232"/>
        <w:gridCol w:w="1223"/>
        <w:gridCol w:w="1109"/>
        <w:gridCol w:w="1594"/>
        <w:gridCol w:w="1594"/>
        <w:gridCol w:w="1594"/>
      </w:tblGrid>
      <w:tr w:rsidR="00A33859" w:rsidTr="00CC6329">
        <w:tc>
          <w:tcPr>
            <w:tcW w:w="779" w:type="dxa"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/>
        </w:tc>
        <w:tc>
          <w:tcPr>
            <w:tcW w:w="3701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meeting ARE July 2016 when in Year 4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</w:p>
        </w:tc>
        <w:tc>
          <w:tcPr>
            <w:tcW w:w="3564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 meeting ARE as at end of Summer  term 2017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Developing +</w:t>
            </w:r>
          </w:p>
        </w:tc>
        <w:tc>
          <w:tcPr>
            <w:tcW w:w="4782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 xml:space="preserve">% gain </w:t>
            </w:r>
          </w:p>
        </w:tc>
      </w:tr>
      <w:tr w:rsidR="00A33859" w:rsidTr="00CC6329">
        <w:tc>
          <w:tcPr>
            <w:tcW w:w="779" w:type="dxa"/>
            <w:vMerge w:val="restart"/>
          </w:tcPr>
          <w:p w:rsidR="00A33859" w:rsidRDefault="00A33859" w:rsidP="00CC6329"/>
          <w:p w:rsidR="00A33859" w:rsidRDefault="00A33859" w:rsidP="00CC6329">
            <w:r>
              <w:t>Year 5</w:t>
            </w:r>
          </w:p>
        </w:tc>
        <w:tc>
          <w:tcPr>
            <w:tcW w:w="1348" w:type="dxa"/>
          </w:tcPr>
          <w:p w:rsidR="00A33859" w:rsidRDefault="00A33859" w:rsidP="00CC6329"/>
        </w:tc>
        <w:tc>
          <w:tcPr>
            <w:tcW w:w="1369" w:type="dxa"/>
          </w:tcPr>
          <w:p w:rsidR="00A33859" w:rsidRDefault="00A33859" w:rsidP="00CC6329">
            <w:r>
              <w:t>READING</w:t>
            </w:r>
          </w:p>
        </w:tc>
        <w:tc>
          <w:tcPr>
            <w:tcW w:w="1223" w:type="dxa"/>
          </w:tcPr>
          <w:p w:rsidR="00A33859" w:rsidRDefault="00A33859" w:rsidP="00CC6329">
            <w:r>
              <w:t>WRITING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232" w:type="dxa"/>
          </w:tcPr>
          <w:p w:rsidR="00A33859" w:rsidRDefault="00A33859" w:rsidP="00CC6329">
            <w:r>
              <w:t xml:space="preserve">READING </w:t>
            </w:r>
          </w:p>
        </w:tc>
        <w:tc>
          <w:tcPr>
            <w:tcW w:w="1223" w:type="dxa"/>
          </w:tcPr>
          <w:p w:rsidR="00A33859" w:rsidRDefault="00A33859" w:rsidP="00CC6329">
            <w:r>
              <w:t xml:space="preserve">WRITING 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READING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WRITING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MATHS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41.67%</w:t>
            </w:r>
          </w:p>
        </w:tc>
        <w:tc>
          <w:tcPr>
            <w:tcW w:w="1223" w:type="dxa"/>
          </w:tcPr>
          <w:p w:rsidR="00A33859" w:rsidRDefault="00A33859" w:rsidP="00CC6329">
            <w:r>
              <w:t>41.67%</w:t>
            </w:r>
          </w:p>
        </w:tc>
        <w:tc>
          <w:tcPr>
            <w:tcW w:w="1109" w:type="dxa"/>
          </w:tcPr>
          <w:p w:rsidR="00A33859" w:rsidRDefault="00A33859" w:rsidP="00CC6329">
            <w:r>
              <w:t>41.67%</w:t>
            </w:r>
          </w:p>
        </w:tc>
        <w:tc>
          <w:tcPr>
            <w:tcW w:w="1232" w:type="dxa"/>
          </w:tcPr>
          <w:p w:rsidR="00A33859" w:rsidRDefault="00A33859" w:rsidP="00CC6329">
            <w:r>
              <w:t>38.46%</w:t>
            </w:r>
          </w:p>
        </w:tc>
        <w:tc>
          <w:tcPr>
            <w:tcW w:w="1223" w:type="dxa"/>
          </w:tcPr>
          <w:p w:rsidR="00A33859" w:rsidRDefault="00A33859" w:rsidP="00CC6329">
            <w:r>
              <w:t>38.46%</w:t>
            </w:r>
          </w:p>
        </w:tc>
        <w:tc>
          <w:tcPr>
            <w:tcW w:w="1109" w:type="dxa"/>
          </w:tcPr>
          <w:p w:rsidR="00A33859" w:rsidRDefault="00A33859" w:rsidP="00CC6329">
            <w:r>
              <w:t>38.46%</w:t>
            </w:r>
          </w:p>
        </w:tc>
        <w:tc>
          <w:tcPr>
            <w:tcW w:w="1594" w:type="dxa"/>
            <w:shd w:val="clear" w:color="auto" w:fill="auto"/>
          </w:tcPr>
          <w:p w:rsidR="00A33859" w:rsidRDefault="00A33859" w:rsidP="00CC6329">
            <w:r>
              <w:t>-3.21%</w:t>
            </w:r>
          </w:p>
        </w:tc>
        <w:tc>
          <w:tcPr>
            <w:tcW w:w="1594" w:type="dxa"/>
            <w:shd w:val="clear" w:color="auto" w:fill="auto"/>
          </w:tcPr>
          <w:p w:rsidR="00A33859" w:rsidRDefault="00A33859" w:rsidP="00CC6329">
            <w:r>
              <w:t>-3.21%</w:t>
            </w:r>
          </w:p>
        </w:tc>
        <w:tc>
          <w:tcPr>
            <w:tcW w:w="1594" w:type="dxa"/>
            <w:shd w:val="clear" w:color="auto" w:fill="auto"/>
          </w:tcPr>
          <w:p w:rsidR="00A33859" w:rsidRDefault="00A33859" w:rsidP="00CC6329">
            <w:r>
              <w:t>-3.21%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Non 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84.85%</w:t>
            </w:r>
          </w:p>
        </w:tc>
        <w:tc>
          <w:tcPr>
            <w:tcW w:w="1223" w:type="dxa"/>
          </w:tcPr>
          <w:p w:rsidR="00A33859" w:rsidRDefault="00A33859" w:rsidP="00CC6329">
            <w:r>
              <w:t>66.67%</w:t>
            </w:r>
          </w:p>
        </w:tc>
        <w:tc>
          <w:tcPr>
            <w:tcW w:w="1109" w:type="dxa"/>
          </w:tcPr>
          <w:p w:rsidR="00A33859" w:rsidRDefault="00A33859" w:rsidP="00CC6329">
            <w:r>
              <w:t>84.85%</w:t>
            </w:r>
          </w:p>
        </w:tc>
        <w:tc>
          <w:tcPr>
            <w:tcW w:w="1232" w:type="dxa"/>
          </w:tcPr>
          <w:p w:rsidR="00A33859" w:rsidRDefault="00A33859" w:rsidP="00CC6329">
            <w:r>
              <w:t>94.00%</w:t>
            </w:r>
          </w:p>
        </w:tc>
        <w:tc>
          <w:tcPr>
            <w:tcW w:w="1223" w:type="dxa"/>
          </w:tcPr>
          <w:p w:rsidR="00A33859" w:rsidRDefault="00A33859" w:rsidP="00CC6329">
            <w:r>
              <w:t>94.00%</w:t>
            </w:r>
          </w:p>
        </w:tc>
        <w:tc>
          <w:tcPr>
            <w:tcW w:w="1109" w:type="dxa"/>
          </w:tcPr>
          <w:p w:rsidR="00A33859" w:rsidRDefault="00A33859" w:rsidP="00CC6329">
            <w:r>
              <w:t>90.00%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+9.15%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+27.33%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+5.15%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GAP</w:t>
            </w:r>
          </w:p>
        </w:tc>
        <w:tc>
          <w:tcPr>
            <w:tcW w:w="1369" w:type="dxa"/>
          </w:tcPr>
          <w:p w:rsidR="00A33859" w:rsidRDefault="00A33859" w:rsidP="00CC6329">
            <w:r>
              <w:t>-43.18%</w:t>
            </w:r>
          </w:p>
        </w:tc>
        <w:tc>
          <w:tcPr>
            <w:tcW w:w="1223" w:type="dxa"/>
          </w:tcPr>
          <w:p w:rsidR="00A33859" w:rsidRDefault="00A33859" w:rsidP="00CC6329">
            <w:r>
              <w:t>-25%</w:t>
            </w:r>
          </w:p>
        </w:tc>
        <w:tc>
          <w:tcPr>
            <w:tcW w:w="1109" w:type="dxa"/>
          </w:tcPr>
          <w:p w:rsidR="00A33859" w:rsidRDefault="00A33859" w:rsidP="00CC6329">
            <w:r>
              <w:t>-43.18%</w:t>
            </w:r>
          </w:p>
        </w:tc>
        <w:tc>
          <w:tcPr>
            <w:tcW w:w="1232" w:type="dxa"/>
            <w:shd w:val="clear" w:color="auto" w:fill="auto"/>
          </w:tcPr>
          <w:p w:rsidR="00A33859" w:rsidRDefault="00A33859" w:rsidP="00CC6329">
            <w:r>
              <w:t>-55.54%</w:t>
            </w:r>
          </w:p>
        </w:tc>
        <w:tc>
          <w:tcPr>
            <w:tcW w:w="1223" w:type="dxa"/>
            <w:shd w:val="clear" w:color="auto" w:fill="auto"/>
          </w:tcPr>
          <w:p w:rsidR="00A33859" w:rsidRDefault="00A33859" w:rsidP="00CC6329">
            <w:r>
              <w:t>-55.54%</w:t>
            </w:r>
          </w:p>
        </w:tc>
        <w:tc>
          <w:tcPr>
            <w:tcW w:w="1109" w:type="dxa"/>
            <w:shd w:val="clear" w:color="auto" w:fill="auto"/>
          </w:tcPr>
          <w:p w:rsidR="00A33859" w:rsidRDefault="00A33859" w:rsidP="00CC6329">
            <w:r>
              <w:t>-53.22%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</w:tr>
    </w:tbl>
    <w:p w:rsidR="00A33859" w:rsidRDefault="00A33859" w:rsidP="00A33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348"/>
        <w:gridCol w:w="1369"/>
        <w:gridCol w:w="1223"/>
        <w:gridCol w:w="1109"/>
        <w:gridCol w:w="1232"/>
        <w:gridCol w:w="1223"/>
        <w:gridCol w:w="1109"/>
        <w:gridCol w:w="1594"/>
        <w:gridCol w:w="1594"/>
        <w:gridCol w:w="1594"/>
      </w:tblGrid>
      <w:tr w:rsidR="00A33859" w:rsidTr="00CC6329">
        <w:tc>
          <w:tcPr>
            <w:tcW w:w="779" w:type="dxa"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/>
        </w:tc>
        <w:tc>
          <w:tcPr>
            <w:tcW w:w="3701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meeting ARE July 2016 when in Year 5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</w:p>
        </w:tc>
        <w:tc>
          <w:tcPr>
            <w:tcW w:w="3564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</w:p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% pupils  meeting ARE as at end of Summer  term 2017</w:t>
            </w:r>
          </w:p>
          <w:p w:rsidR="00A33859" w:rsidRPr="0086072C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>Developing +</w:t>
            </w:r>
          </w:p>
        </w:tc>
        <w:tc>
          <w:tcPr>
            <w:tcW w:w="4782" w:type="dxa"/>
            <w:gridSpan w:val="3"/>
          </w:tcPr>
          <w:p w:rsidR="00A33859" w:rsidRDefault="00A33859" w:rsidP="00CC6329">
            <w:pPr>
              <w:jc w:val="center"/>
              <w:rPr>
                <w:b/>
              </w:rPr>
            </w:pPr>
            <w:r>
              <w:rPr>
                <w:b/>
              </w:rPr>
              <w:t xml:space="preserve">% gain </w:t>
            </w:r>
          </w:p>
        </w:tc>
      </w:tr>
      <w:tr w:rsidR="00A33859" w:rsidTr="00CC6329">
        <w:tc>
          <w:tcPr>
            <w:tcW w:w="779" w:type="dxa"/>
            <w:vMerge w:val="restart"/>
          </w:tcPr>
          <w:p w:rsidR="00A33859" w:rsidRDefault="00A33859" w:rsidP="00CC6329"/>
          <w:p w:rsidR="00A33859" w:rsidRDefault="00A33859" w:rsidP="00CC6329">
            <w:r>
              <w:t>Year 6</w:t>
            </w:r>
          </w:p>
        </w:tc>
        <w:tc>
          <w:tcPr>
            <w:tcW w:w="1348" w:type="dxa"/>
          </w:tcPr>
          <w:p w:rsidR="00A33859" w:rsidRDefault="00A33859" w:rsidP="00CC6329"/>
        </w:tc>
        <w:tc>
          <w:tcPr>
            <w:tcW w:w="1369" w:type="dxa"/>
          </w:tcPr>
          <w:p w:rsidR="00A33859" w:rsidRDefault="00A33859" w:rsidP="00CC6329">
            <w:r>
              <w:t>READING</w:t>
            </w:r>
          </w:p>
        </w:tc>
        <w:tc>
          <w:tcPr>
            <w:tcW w:w="1223" w:type="dxa"/>
          </w:tcPr>
          <w:p w:rsidR="00A33859" w:rsidRDefault="00A33859" w:rsidP="00CC6329">
            <w:r>
              <w:t>WRITING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232" w:type="dxa"/>
          </w:tcPr>
          <w:p w:rsidR="00A33859" w:rsidRDefault="00A33859" w:rsidP="00CC6329">
            <w:r>
              <w:t xml:space="preserve">READING </w:t>
            </w:r>
          </w:p>
        </w:tc>
        <w:tc>
          <w:tcPr>
            <w:tcW w:w="1223" w:type="dxa"/>
          </w:tcPr>
          <w:p w:rsidR="00A33859" w:rsidRDefault="00A33859" w:rsidP="00CC6329">
            <w:r>
              <w:t xml:space="preserve">WRITING </w:t>
            </w:r>
          </w:p>
        </w:tc>
        <w:tc>
          <w:tcPr>
            <w:tcW w:w="1109" w:type="dxa"/>
          </w:tcPr>
          <w:p w:rsidR="00A33859" w:rsidRDefault="00A33859" w:rsidP="00CC6329">
            <w:r>
              <w:t>MATHS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READING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WRITING</w:t>
            </w:r>
          </w:p>
        </w:tc>
        <w:tc>
          <w:tcPr>
            <w:tcW w:w="1594" w:type="dxa"/>
          </w:tcPr>
          <w:p w:rsidR="00A33859" w:rsidRDefault="00A33859" w:rsidP="00CC6329">
            <w:pPr>
              <w:jc w:val="center"/>
            </w:pPr>
            <w:r>
              <w:t>MATHS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57.14%</w:t>
            </w:r>
          </w:p>
        </w:tc>
        <w:tc>
          <w:tcPr>
            <w:tcW w:w="1223" w:type="dxa"/>
          </w:tcPr>
          <w:p w:rsidR="00A33859" w:rsidRDefault="00A33859" w:rsidP="00CC6329">
            <w:r>
              <w:t>57.14%</w:t>
            </w:r>
          </w:p>
        </w:tc>
        <w:tc>
          <w:tcPr>
            <w:tcW w:w="1109" w:type="dxa"/>
          </w:tcPr>
          <w:p w:rsidR="00A33859" w:rsidRDefault="00A33859" w:rsidP="00CC6329">
            <w:r>
              <w:t>50%</w:t>
            </w:r>
          </w:p>
        </w:tc>
        <w:tc>
          <w:tcPr>
            <w:tcW w:w="1232" w:type="dxa"/>
          </w:tcPr>
          <w:p w:rsidR="00A33859" w:rsidRDefault="00A33859" w:rsidP="00CC6329">
            <w:r>
              <w:t>71.42%</w:t>
            </w:r>
          </w:p>
        </w:tc>
        <w:tc>
          <w:tcPr>
            <w:tcW w:w="1223" w:type="dxa"/>
          </w:tcPr>
          <w:p w:rsidR="00A33859" w:rsidRDefault="00A33859" w:rsidP="00CC6329">
            <w:r>
              <w:t>64.28%</w:t>
            </w:r>
          </w:p>
        </w:tc>
        <w:tc>
          <w:tcPr>
            <w:tcW w:w="1109" w:type="dxa"/>
          </w:tcPr>
          <w:p w:rsidR="00A33859" w:rsidRDefault="00A33859" w:rsidP="00CC6329">
            <w:r>
              <w:t>71.42%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+14.28%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+7.14%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+21.42%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Non Pupil Premium</w:t>
            </w:r>
          </w:p>
        </w:tc>
        <w:tc>
          <w:tcPr>
            <w:tcW w:w="1369" w:type="dxa"/>
          </w:tcPr>
          <w:p w:rsidR="00A33859" w:rsidRDefault="00A33859" w:rsidP="00CC6329">
            <w:r>
              <w:t>73.33%</w:t>
            </w:r>
          </w:p>
        </w:tc>
        <w:tc>
          <w:tcPr>
            <w:tcW w:w="1223" w:type="dxa"/>
          </w:tcPr>
          <w:p w:rsidR="00A33859" w:rsidRDefault="00A33859" w:rsidP="00CC6329">
            <w:r>
              <w:t>80%</w:t>
            </w:r>
          </w:p>
        </w:tc>
        <w:tc>
          <w:tcPr>
            <w:tcW w:w="1109" w:type="dxa"/>
          </w:tcPr>
          <w:p w:rsidR="00A33859" w:rsidRDefault="00A33859" w:rsidP="00CC6329">
            <w:r>
              <w:t>76.67%</w:t>
            </w:r>
          </w:p>
        </w:tc>
        <w:tc>
          <w:tcPr>
            <w:tcW w:w="1232" w:type="dxa"/>
          </w:tcPr>
          <w:p w:rsidR="00A33859" w:rsidRDefault="00A33859" w:rsidP="00CC6329">
            <w:r>
              <w:t>83%</w:t>
            </w:r>
          </w:p>
        </w:tc>
        <w:tc>
          <w:tcPr>
            <w:tcW w:w="1223" w:type="dxa"/>
          </w:tcPr>
          <w:p w:rsidR="00A33859" w:rsidRDefault="00A33859" w:rsidP="00CC6329">
            <w:r>
              <w:t>83.00%</w:t>
            </w:r>
          </w:p>
        </w:tc>
        <w:tc>
          <w:tcPr>
            <w:tcW w:w="1109" w:type="dxa"/>
          </w:tcPr>
          <w:p w:rsidR="00A33859" w:rsidRDefault="00A33859" w:rsidP="00CC6329">
            <w:r>
              <w:t>80.00%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+9.67%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+3.00%</w:t>
            </w:r>
          </w:p>
        </w:tc>
        <w:tc>
          <w:tcPr>
            <w:tcW w:w="1594" w:type="dxa"/>
            <w:shd w:val="clear" w:color="auto" w:fill="FFFF00"/>
          </w:tcPr>
          <w:p w:rsidR="00A33859" w:rsidRDefault="00A33859" w:rsidP="00CC6329">
            <w:r>
              <w:t>+3.33%</w:t>
            </w:r>
          </w:p>
        </w:tc>
      </w:tr>
      <w:tr w:rsidR="00A33859" w:rsidTr="00CC6329">
        <w:tc>
          <w:tcPr>
            <w:tcW w:w="779" w:type="dxa"/>
            <w:vMerge/>
          </w:tcPr>
          <w:p w:rsidR="00A33859" w:rsidRDefault="00A33859" w:rsidP="00CC6329"/>
        </w:tc>
        <w:tc>
          <w:tcPr>
            <w:tcW w:w="1348" w:type="dxa"/>
          </w:tcPr>
          <w:p w:rsidR="00A33859" w:rsidRDefault="00A33859" w:rsidP="00CC6329">
            <w:r>
              <w:t>GAP</w:t>
            </w:r>
          </w:p>
        </w:tc>
        <w:tc>
          <w:tcPr>
            <w:tcW w:w="1369" w:type="dxa"/>
          </w:tcPr>
          <w:p w:rsidR="00A33859" w:rsidRDefault="00A33859" w:rsidP="00CC6329">
            <w:r>
              <w:t>-16.19%</w:t>
            </w:r>
          </w:p>
        </w:tc>
        <w:tc>
          <w:tcPr>
            <w:tcW w:w="1223" w:type="dxa"/>
          </w:tcPr>
          <w:p w:rsidR="00A33859" w:rsidRDefault="00A33859" w:rsidP="00CC6329">
            <w:r>
              <w:t>-22.86%</w:t>
            </w:r>
          </w:p>
        </w:tc>
        <w:tc>
          <w:tcPr>
            <w:tcW w:w="1109" w:type="dxa"/>
          </w:tcPr>
          <w:p w:rsidR="00A33859" w:rsidRDefault="00A33859" w:rsidP="00CC6329">
            <w:r>
              <w:t>-26.67%</w:t>
            </w:r>
          </w:p>
        </w:tc>
        <w:tc>
          <w:tcPr>
            <w:tcW w:w="1232" w:type="dxa"/>
            <w:shd w:val="clear" w:color="auto" w:fill="FFFF00"/>
          </w:tcPr>
          <w:p w:rsidR="00A33859" w:rsidRDefault="00A33859" w:rsidP="00CC6329">
            <w:r>
              <w:t>-11.58%</w:t>
            </w:r>
          </w:p>
        </w:tc>
        <w:tc>
          <w:tcPr>
            <w:tcW w:w="1223" w:type="dxa"/>
            <w:shd w:val="clear" w:color="auto" w:fill="FFFF00"/>
          </w:tcPr>
          <w:p w:rsidR="00A33859" w:rsidRDefault="00A33859" w:rsidP="00CC6329">
            <w:r>
              <w:t>-18.72%</w:t>
            </w:r>
          </w:p>
        </w:tc>
        <w:tc>
          <w:tcPr>
            <w:tcW w:w="1109" w:type="dxa"/>
            <w:shd w:val="clear" w:color="auto" w:fill="FFFF00"/>
          </w:tcPr>
          <w:p w:rsidR="00A33859" w:rsidRDefault="00A33859" w:rsidP="00CC6329">
            <w:r>
              <w:t>-8.58%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  <w:tc>
          <w:tcPr>
            <w:tcW w:w="1594" w:type="dxa"/>
            <w:shd w:val="clear" w:color="auto" w:fill="D9D9D9" w:themeFill="background1" w:themeFillShade="D9"/>
          </w:tcPr>
          <w:p w:rsidR="00A33859" w:rsidRDefault="00A33859" w:rsidP="00CC6329"/>
        </w:tc>
      </w:tr>
    </w:tbl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 w:rsidRPr="00C91843">
        <w:rPr>
          <w:rFonts w:ascii="Arial" w:hAnsi="Arial" w:cs="Arial"/>
          <w:b/>
          <w:sz w:val="24"/>
          <w:szCs w:val="24"/>
          <w:u w:val="single"/>
        </w:rPr>
        <w:lastRenderedPageBreak/>
        <w:t>SUMMARY</w:t>
      </w: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2</w:t>
      </w:r>
    </w:p>
    <w:p w:rsidR="00A33859" w:rsidRPr="007B48A5" w:rsidRDefault="00A33859" w:rsidP="00A3385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There are 2 pupil premium in Year 2 one of whom did not meet ARE at year end.</w:t>
      </w:r>
    </w:p>
    <w:p w:rsidR="00A33859" w:rsidRDefault="00A33859" w:rsidP="00A338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percentage of children achieving ARE has remained consistent for pupil premium children in Reading Writing and Maths but has fallen for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in Reading and Writing whilst increasing in Maths.</w:t>
      </w:r>
    </w:p>
    <w:p w:rsidR="00A33859" w:rsidRDefault="00A33859" w:rsidP="00A338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Gaps between pupil premium children and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in reading have narrowed slightly and have remained broadly similar in writing. The gap has increased in maths. </w:t>
      </w: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 w:rsidRPr="00C91843">
        <w:rPr>
          <w:rFonts w:ascii="Arial" w:hAnsi="Arial" w:cs="Arial"/>
          <w:b/>
          <w:sz w:val="24"/>
          <w:szCs w:val="24"/>
          <w:u w:val="single"/>
        </w:rPr>
        <w:t>Year 3</w:t>
      </w:r>
    </w:p>
    <w:p w:rsidR="00A33859" w:rsidRPr="005533B3" w:rsidRDefault="00A33859" w:rsidP="00A3385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Year 3 are</w:t>
      </w:r>
      <w:proofErr w:type="gramEnd"/>
      <w:r>
        <w:rPr>
          <w:rFonts w:ascii="Arial" w:hAnsi="Arial" w:cs="Arial"/>
          <w:sz w:val="24"/>
          <w:szCs w:val="24"/>
        </w:rPr>
        <w:t xml:space="preserve"> a low attaining cohort and this is evidenced in the non pupil premium children data.</w:t>
      </w:r>
    </w:p>
    <w:p w:rsidR="00A33859" w:rsidRPr="005533B3" w:rsidRDefault="00A33859" w:rsidP="00A3385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There are six children in receipt of pupil premium with one of those children having an EHCP and a further two children being on the SEN register.  One of these children is also a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Child.</w:t>
      </w:r>
    </w:p>
    <w:p w:rsidR="00A33859" w:rsidRDefault="00A33859" w:rsidP="00A3385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transition from Year 2 (KS1) to Year 3 (KS2) has resulted in the gap widening between pupil premium and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across the board.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 w:rsidRPr="00C91843">
        <w:rPr>
          <w:rFonts w:ascii="Arial" w:hAnsi="Arial" w:cs="Arial"/>
          <w:b/>
          <w:sz w:val="24"/>
          <w:szCs w:val="24"/>
          <w:u w:val="single"/>
        </w:rPr>
        <w:t>Year 4</w:t>
      </w:r>
    </w:p>
    <w:p w:rsidR="00A33859" w:rsidRPr="005533B3" w:rsidRDefault="00A33859" w:rsidP="00A338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seven children in receipt of pupil premium with one of those being on the SEN register and two being </w:t>
      </w:r>
      <w:proofErr w:type="gramStart"/>
      <w:r>
        <w:rPr>
          <w:rFonts w:ascii="Arial" w:hAnsi="Arial" w:cs="Arial"/>
          <w:sz w:val="24"/>
          <w:szCs w:val="24"/>
        </w:rPr>
        <w:t>Looked</w:t>
      </w:r>
      <w:proofErr w:type="gramEnd"/>
      <w:r>
        <w:rPr>
          <w:rFonts w:ascii="Arial" w:hAnsi="Arial" w:cs="Arial"/>
          <w:sz w:val="24"/>
          <w:szCs w:val="24"/>
        </w:rPr>
        <w:t xml:space="preserve"> After Children.</w:t>
      </w:r>
    </w:p>
    <w:p w:rsidR="00A33859" w:rsidRDefault="00A33859" w:rsidP="00A338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children have made gains at the end of the year with the exception of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in reading where there </w:t>
      </w:r>
      <w:proofErr w:type="gramStart"/>
      <w:r>
        <w:rPr>
          <w:rFonts w:ascii="Arial" w:hAnsi="Arial" w:cs="Arial"/>
          <w:sz w:val="24"/>
          <w:szCs w:val="24"/>
        </w:rPr>
        <w:t>is  a</w:t>
      </w:r>
      <w:proofErr w:type="gramEnd"/>
      <w:r>
        <w:rPr>
          <w:rFonts w:ascii="Arial" w:hAnsi="Arial" w:cs="Arial"/>
          <w:sz w:val="24"/>
          <w:szCs w:val="24"/>
        </w:rPr>
        <w:t xml:space="preserve"> slight loss.  Pupil premium children have made greater gains than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children.</w:t>
      </w:r>
    </w:p>
    <w:p w:rsidR="00A33859" w:rsidRDefault="00A33859" w:rsidP="00A338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gaps between pupil premium children and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have closed significantly.</w:t>
      </w: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 w:rsidRPr="00EC43EF">
        <w:rPr>
          <w:rFonts w:ascii="Arial" w:hAnsi="Arial" w:cs="Arial"/>
          <w:b/>
          <w:sz w:val="24"/>
          <w:szCs w:val="24"/>
          <w:u w:val="single"/>
        </w:rPr>
        <w:t>Year 5</w:t>
      </w:r>
    </w:p>
    <w:p w:rsidR="00A33859" w:rsidRPr="00E76048" w:rsidRDefault="00A33859" w:rsidP="00A3385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There are thirteen</w:t>
      </w:r>
      <w:r w:rsidRPr="00E76048">
        <w:rPr>
          <w:rFonts w:ascii="Arial" w:hAnsi="Arial" w:cs="Arial"/>
          <w:sz w:val="24"/>
          <w:szCs w:val="24"/>
        </w:rPr>
        <w:t xml:space="preserve"> children in</w:t>
      </w:r>
      <w:r>
        <w:rPr>
          <w:rFonts w:ascii="Arial" w:hAnsi="Arial" w:cs="Arial"/>
          <w:sz w:val="24"/>
          <w:szCs w:val="24"/>
        </w:rPr>
        <w:t xml:space="preserve"> receipt of pupil premium.  Five</w:t>
      </w:r>
      <w:r w:rsidRPr="00E76048">
        <w:rPr>
          <w:rFonts w:ascii="Arial" w:hAnsi="Arial" w:cs="Arial"/>
          <w:sz w:val="24"/>
          <w:szCs w:val="24"/>
        </w:rPr>
        <w:t xml:space="preserve"> of these are on the SEN register and </w:t>
      </w:r>
      <w:r>
        <w:rPr>
          <w:rFonts w:ascii="Arial" w:hAnsi="Arial" w:cs="Arial"/>
          <w:sz w:val="24"/>
          <w:szCs w:val="24"/>
        </w:rPr>
        <w:t xml:space="preserve">one child has an </w:t>
      </w:r>
      <w:r w:rsidRPr="00E76048">
        <w:rPr>
          <w:rFonts w:ascii="Arial" w:hAnsi="Arial" w:cs="Arial"/>
          <w:sz w:val="24"/>
          <w:szCs w:val="24"/>
        </w:rPr>
        <w:t xml:space="preserve">EHCP.  There are also two Looked </w:t>
      </w:r>
      <w:proofErr w:type="gramStart"/>
      <w:r w:rsidRPr="00E76048">
        <w:rPr>
          <w:rFonts w:ascii="Arial" w:hAnsi="Arial" w:cs="Arial"/>
          <w:sz w:val="24"/>
          <w:szCs w:val="24"/>
        </w:rPr>
        <w:t>After</w:t>
      </w:r>
      <w:proofErr w:type="gramEnd"/>
      <w:r w:rsidRPr="00E76048">
        <w:rPr>
          <w:rFonts w:ascii="Arial" w:hAnsi="Arial" w:cs="Arial"/>
          <w:sz w:val="24"/>
          <w:szCs w:val="24"/>
        </w:rPr>
        <w:t xml:space="preserve"> Children.</w:t>
      </w:r>
    </w:p>
    <w:p w:rsidR="00A33859" w:rsidRDefault="00A33859" w:rsidP="00A338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pupil premium children made small gains in Reading and Maths and more significant gains in Writing whilst there was a small loss (3.21%) across the board for pupil premium children.</w:t>
      </w:r>
    </w:p>
    <w:p w:rsidR="00A33859" w:rsidRDefault="00A33859" w:rsidP="00A338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Gaps between pupil premium children and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have increased slightly in Reading and Maths and more significantly in Writing.</w:t>
      </w:r>
    </w:p>
    <w:p w:rsidR="00A33859" w:rsidRDefault="00A33859" w:rsidP="00A33859">
      <w:pPr>
        <w:rPr>
          <w:rFonts w:ascii="Arial" w:hAnsi="Arial" w:cs="Arial"/>
          <w:b/>
          <w:sz w:val="24"/>
          <w:szCs w:val="24"/>
          <w:u w:val="single"/>
        </w:rPr>
      </w:pPr>
      <w:r w:rsidRPr="00EC43EF">
        <w:rPr>
          <w:rFonts w:ascii="Arial" w:hAnsi="Arial" w:cs="Arial"/>
          <w:b/>
          <w:sz w:val="24"/>
          <w:szCs w:val="24"/>
          <w:u w:val="single"/>
        </w:rPr>
        <w:t>Year 6</w:t>
      </w:r>
    </w:p>
    <w:p w:rsidR="00A33859" w:rsidRPr="00E76048" w:rsidRDefault="00A33859" w:rsidP="00A3385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There are fourteen children in receipt of pupil premium with six of those children being on the SEN register, one having an EHCP and one being a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Child.</w:t>
      </w:r>
    </w:p>
    <w:p w:rsidR="00A33859" w:rsidRDefault="00A33859" w:rsidP="00A338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children have made gains at the end of the year with pupil premium children making greater gains than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children.</w:t>
      </w:r>
    </w:p>
    <w:p w:rsidR="00A33859" w:rsidRPr="00EC43EF" w:rsidRDefault="00A33859" w:rsidP="00A338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gap between pupil premium children and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 has reduced in reading writing and maths.</w:t>
      </w:r>
    </w:p>
    <w:p w:rsidR="00A33859" w:rsidRDefault="00A33859" w:rsidP="00A33859"/>
    <w:p w:rsidR="00A33859" w:rsidRDefault="00A33859" w:rsidP="00A33859"/>
    <w:p w:rsidR="00A33859" w:rsidRDefault="00A33859" w:rsidP="00A33859"/>
    <w:p w:rsidR="00A33859" w:rsidRDefault="00A33859" w:rsidP="00A33859"/>
    <w:p w:rsidR="00A33859" w:rsidRDefault="00A33859" w:rsidP="00A33859"/>
    <w:p w:rsidR="00A33859" w:rsidRDefault="00A33859" w:rsidP="00A33859"/>
    <w:p w:rsidR="00A33859" w:rsidRDefault="00A33859" w:rsidP="00A33859"/>
    <w:p w:rsidR="00A33859" w:rsidRDefault="00A33859" w:rsidP="00A338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PUPIL PREMIUM PROGRESS 2016/2017</w:t>
      </w:r>
    </w:p>
    <w:p w:rsidR="00A33859" w:rsidRPr="006874F4" w:rsidRDefault="00A33859" w:rsidP="00A33859">
      <w:pPr>
        <w:rPr>
          <w:rFonts w:ascii="Arial" w:hAnsi="Arial" w:cs="Arial"/>
        </w:rPr>
      </w:pPr>
      <w:r w:rsidRPr="006874F4">
        <w:rPr>
          <w:rFonts w:ascii="Arial" w:hAnsi="Arial" w:cs="Arial"/>
        </w:rPr>
        <w:t>The data shows that although some of our Pupil Premium children did not achieve age related expectations they did make the required progress during the academic year 2016/2017 from their start point to end point.</w:t>
      </w:r>
      <w:r>
        <w:rPr>
          <w:rFonts w:ascii="Arial" w:hAnsi="Arial" w:cs="Arial"/>
        </w:rPr>
        <w:t xml:space="preserve">    Please see the chart below.</w:t>
      </w:r>
    </w:p>
    <w:p w:rsidR="00A33859" w:rsidRPr="006874F4" w:rsidRDefault="00A33859" w:rsidP="00A33859">
      <w:pPr>
        <w:rPr>
          <w:rFonts w:ascii="Arial" w:hAnsi="Arial" w:cs="Arial"/>
        </w:rPr>
      </w:pPr>
    </w:p>
    <w:p w:rsidR="00A33859" w:rsidRPr="006874F4" w:rsidRDefault="00A33859" w:rsidP="00A33859">
      <w:pPr>
        <w:rPr>
          <w:rFonts w:ascii="Arial" w:hAnsi="Arial" w:cs="Arial"/>
          <w:b/>
          <w:u w:val="single"/>
        </w:rPr>
      </w:pPr>
      <w:r w:rsidRPr="006874F4">
        <w:rPr>
          <w:rFonts w:ascii="Arial" w:hAnsi="Arial" w:cs="Arial"/>
          <w:b/>
          <w:u w:val="single"/>
        </w:rPr>
        <w:t>READING</w:t>
      </w:r>
    </w:p>
    <w:p w:rsidR="00A33859" w:rsidRPr="006874F4" w:rsidRDefault="00A33859" w:rsidP="00A3385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87% (47 pupils) of pupil premium children made the required progress with 15% of those children exceeding the expected progress.</w:t>
      </w:r>
    </w:p>
    <w:p w:rsidR="00A33859" w:rsidRPr="006874F4" w:rsidRDefault="00A33859" w:rsidP="00A33859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13% (7 pupils) of pupil premium did not make the required progress.</w:t>
      </w:r>
    </w:p>
    <w:p w:rsidR="00A33859" w:rsidRPr="006874F4" w:rsidRDefault="00A33859" w:rsidP="00A33859">
      <w:pPr>
        <w:pStyle w:val="ListParagraph"/>
        <w:rPr>
          <w:rFonts w:ascii="Arial" w:hAnsi="Arial" w:cs="Arial"/>
        </w:rPr>
      </w:pPr>
    </w:p>
    <w:p w:rsidR="00A33859" w:rsidRPr="006874F4" w:rsidRDefault="00A33859" w:rsidP="00A33859">
      <w:pPr>
        <w:pStyle w:val="ListParagraph"/>
        <w:rPr>
          <w:rFonts w:ascii="Arial" w:hAnsi="Arial" w:cs="Arial"/>
        </w:rPr>
      </w:pPr>
      <w:r w:rsidRPr="006874F4">
        <w:rPr>
          <w:rFonts w:ascii="Arial" w:hAnsi="Arial" w:cs="Arial"/>
        </w:rPr>
        <w:t xml:space="preserve">            </w:t>
      </w:r>
      <w:r w:rsidRPr="006874F4">
        <w:rPr>
          <w:rFonts w:ascii="Arial" w:hAnsi="Arial" w:cs="Arial"/>
        </w:rPr>
        <w:tab/>
      </w:r>
    </w:p>
    <w:p w:rsidR="00A33859" w:rsidRPr="006874F4" w:rsidRDefault="00A33859" w:rsidP="00A33859">
      <w:pPr>
        <w:rPr>
          <w:rFonts w:ascii="Arial" w:hAnsi="Arial" w:cs="Arial"/>
          <w:b/>
          <w:u w:val="single"/>
        </w:rPr>
      </w:pPr>
      <w:r w:rsidRPr="006874F4">
        <w:rPr>
          <w:rFonts w:ascii="Arial" w:hAnsi="Arial" w:cs="Arial"/>
          <w:b/>
          <w:u w:val="single"/>
        </w:rPr>
        <w:t>WRITING</w:t>
      </w:r>
    </w:p>
    <w:p w:rsidR="00A33859" w:rsidRPr="006874F4" w:rsidRDefault="00A33859" w:rsidP="00A33859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85% (46 pupils) of pupil premium children made the required progress with 20% of those children exceeding the expected progress</w:t>
      </w:r>
    </w:p>
    <w:p w:rsidR="00A33859" w:rsidRPr="006874F4" w:rsidRDefault="00A33859" w:rsidP="00A33859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14% (8 pupils) did not make the required progress</w:t>
      </w:r>
    </w:p>
    <w:p w:rsidR="00A33859" w:rsidRPr="006874F4" w:rsidRDefault="00A33859" w:rsidP="00A33859">
      <w:pPr>
        <w:pStyle w:val="ListParagraph"/>
        <w:rPr>
          <w:rFonts w:ascii="Arial" w:hAnsi="Arial" w:cs="Arial"/>
        </w:rPr>
      </w:pPr>
    </w:p>
    <w:p w:rsidR="00A33859" w:rsidRPr="006874F4" w:rsidRDefault="00A33859" w:rsidP="00A33859">
      <w:pPr>
        <w:rPr>
          <w:rFonts w:ascii="Arial" w:hAnsi="Arial" w:cs="Arial"/>
          <w:b/>
          <w:u w:val="single"/>
        </w:rPr>
      </w:pPr>
      <w:r w:rsidRPr="006874F4">
        <w:rPr>
          <w:rFonts w:ascii="Arial" w:hAnsi="Arial" w:cs="Arial"/>
          <w:b/>
          <w:u w:val="single"/>
        </w:rPr>
        <w:t>MATHS</w:t>
      </w:r>
    </w:p>
    <w:p w:rsidR="00A33859" w:rsidRPr="006874F4" w:rsidRDefault="00A33859" w:rsidP="00A338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83% (45 pupils) of pupil premium children made the required progress with 24% of those children exceeding the expected progress</w:t>
      </w:r>
    </w:p>
    <w:p w:rsidR="00A33859" w:rsidRPr="006874F4" w:rsidRDefault="00A33859" w:rsidP="00A338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>16 % (9 pupils) did not make the required progress.</w:t>
      </w:r>
    </w:p>
    <w:p w:rsidR="00A33859" w:rsidRPr="00E74AF0" w:rsidRDefault="00A33859" w:rsidP="00A33859">
      <w:pPr>
        <w:pStyle w:val="ListParagraph"/>
        <w:rPr>
          <w:rFonts w:ascii="Arial" w:hAnsi="Arial" w:cs="Arial"/>
          <w:sz w:val="24"/>
          <w:szCs w:val="24"/>
        </w:rPr>
      </w:pPr>
    </w:p>
    <w:p w:rsidR="00A33859" w:rsidRPr="00E74AF0" w:rsidRDefault="00A33859" w:rsidP="00A33859">
      <w:pPr>
        <w:rPr>
          <w:rFonts w:ascii="Arial" w:hAnsi="Arial" w:cs="Arial"/>
          <w:sz w:val="24"/>
          <w:szCs w:val="24"/>
        </w:rPr>
      </w:pPr>
    </w:p>
    <w:p w:rsidR="00A33859" w:rsidRDefault="00A33859" w:rsidP="00A33859">
      <w:pPr>
        <w:rPr>
          <w:rFonts w:ascii="Arial" w:hAnsi="Arial" w:cs="Arial"/>
        </w:rPr>
      </w:pPr>
      <w:r>
        <w:rPr>
          <w:rFonts w:ascii="Arial" w:hAnsi="Arial" w:cs="Arial"/>
        </w:rPr>
        <w:t>Children who did not make the required progress:</w:t>
      </w:r>
    </w:p>
    <w:p w:rsidR="00A33859" w:rsidRPr="006874F4" w:rsidRDefault="00A33859" w:rsidP="00A33859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74F4">
        <w:rPr>
          <w:rFonts w:ascii="Arial" w:hAnsi="Arial" w:cs="Arial"/>
        </w:rPr>
        <w:t>wo of these children have Education Health Care Plans with significant barriers to learning</w:t>
      </w:r>
    </w:p>
    <w:p w:rsidR="00A33859" w:rsidRDefault="00A33859" w:rsidP="00A33859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 xml:space="preserve">Four of these children are on the SEN register with two of them being Looked After </w:t>
      </w:r>
      <w:r>
        <w:rPr>
          <w:rFonts w:ascii="Arial" w:hAnsi="Arial" w:cs="Arial"/>
        </w:rPr>
        <w:t>children</w:t>
      </w:r>
    </w:p>
    <w:p w:rsidR="00A33859" w:rsidRPr="006874F4" w:rsidRDefault="00A33859" w:rsidP="00A33859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 xml:space="preserve">Educational Health Care plans </w:t>
      </w:r>
      <w:r>
        <w:rPr>
          <w:rFonts w:ascii="Arial" w:hAnsi="Arial" w:cs="Arial"/>
        </w:rPr>
        <w:t xml:space="preserve">are </w:t>
      </w:r>
      <w:r w:rsidRPr="006874F4">
        <w:rPr>
          <w:rFonts w:ascii="Arial" w:hAnsi="Arial" w:cs="Arial"/>
        </w:rPr>
        <w:t>expected for</w:t>
      </w:r>
      <w:r>
        <w:rPr>
          <w:rFonts w:ascii="Arial" w:hAnsi="Arial" w:cs="Arial"/>
        </w:rPr>
        <w:t xml:space="preserve"> a further</w:t>
      </w:r>
      <w:r w:rsidRPr="006874F4">
        <w:rPr>
          <w:rFonts w:ascii="Arial" w:hAnsi="Arial" w:cs="Arial"/>
        </w:rPr>
        <w:t xml:space="preserve"> two</w:t>
      </w:r>
      <w:r>
        <w:rPr>
          <w:rFonts w:ascii="Arial" w:hAnsi="Arial" w:cs="Arial"/>
        </w:rPr>
        <w:t xml:space="preserve"> of children</w:t>
      </w:r>
      <w:r w:rsidRPr="006874F4">
        <w:rPr>
          <w:rFonts w:ascii="Arial" w:hAnsi="Arial" w:cs="Arial"/>
        </w:rPr>
        <w:t xml:space="preserve">.  </w:t>
      </w:r>
    </w:p>
    <w:p w:rsidR="00A33859" w:rsidRPr="006874F4" w:rsidRDefault="00A33859" w:rsidP="00A33859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874F4">
        <w:rPr>
          <w:rFonts w:ascii="Arial" w:hAnsi="Arial" w:cs="Arial"/>
        </w:rPr>
        <w:t xml:space="preserve">One child has </w:t>
      </w:r>
      <w:proofErr w:type="gramStart"/>
      <w:r w:rsidRPr="006874F4">
        <w:rPr>
          <w:rFonts w:ascii="Arial" w:hAnsi="Arial" w:cs="Arial"/>
        </w:rPr>
        <w:t>attendance issues which has</w:t>
      </w:r>
      <w:proofErr w:type="gramEnd"/>
      <w:r w:rsidRPr="006874F4">
        <w:rPr>
          <w:rFonts w:ascii="Arial" w:hAnsi="Arial" w:cs="Arial"/>
        </w:rPr>
        <w:t xml:space="preserve"> impacted on his learning.</w:t>
      </w:r>
    </w:p>
    <w:p w:rsidR="00A33859" w:rsidRPr="00E74AF0" w:rsidRDefault="00A33859" w:rsidP="00A3385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EEFCA56" wp14:editId="30322048">
            <wp:extent cx="6896100" cy="51339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B96" w:rsidRDefault="005B4B96"/>
    <w:sectPr w:rsidR="005B4B96" w:rsidSect="005B4B96"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45"/>
    <w:multiLevelType w:val="hybridMultilevel"/>
    <w:tmpl w:val="F168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55E9"/>
    <w:multiLevelType w:val="hybridMultilevel"/>
    <w:tmpl w:val="291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8D3"/>
    <w:multiLevelType w:val="hybridMultilevel"/>
    <w:tmpl w:val="1C9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7267"/>
    <w:multiLevelType w:val="hybridMultilevel"/>
    <w:tmpl w:val="5656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7631"/>
    <w:multiLevelType w:val="hybridMultilevel"/>
    <w:tmpl w:val="2082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6D4F"/>
    <w:multiLevelType w:val="hybridMultilevel"/>
    <w:tmpl w:val="9F7C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46D84"/>
    <w:multiLevelType w:val="hybridMultilevel"/>
    <w:tmpl w:val="4708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1897"/>
    <w:multiLevelType w:val="hybridMultilevel"/>
    <w:tmpl w:val="BBA8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152F7"/>
    <w:multiLevelType w:val="hybridMultilevel"/>
    <w:tmpl w:val="2214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02572"/>
    <w:multiLevelType w:val="hybridMultilevel"/>
    <w:tmpl w:val="87CE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F21F2"/>
    <w:multiLevelType w:val="hybridMultilevel"/>
    <w:tmpl w:val="BEB0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17DCA"/>
    <w:multiLevelType w:val="hybridMultilevel"/>
    <w:tmpl w:val="F1FE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B0586"/>
    <w:multiLevelType w:val="hybridMultilevel"/>
    <w:tmpl w:val="2E04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74F8D"/>
    <w:multiLevelType w:val="hybridMultilevel"/>
    <w:tmpl w:val="3216042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E5C72E6"/>
    <w:multiLevelType w:val="hybridMultilevel"/>
    <w:tmpl w:val="4E22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1"/>
    <w:rsid w:val="00181901"/>
    <w:rsid w:val="005B4B96"/>
    <w:rsid w:val="00863D57"/>
    <w:rsid w:val="008B4287"/>
    <w:rsid w:val="00A33859"/>
    <w:rsid w:val="00AA2FFC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Pupil</a:t>
            </a:r>
            <a:r>
              <a:rPr lang="en-GB" baseline="0"/>
              <a:t> Premium Progress 2016/2017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B7-4363-9C86-236AC35277B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B7-4363-9C86-236AC35277B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B7-4363-9C86-236AC35277B5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B7-4363-9C86-236AC35277B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AB7-4363-9C86-236AC35277B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AB7-4363-9C86-236AC35277B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AB7-4363-9C86-236AC35277B5}"/>
              </c:ext>
            </c:extLst>
          </c:dPt>
          <c:dPt>
            <c:idx val="7"/>
            <c:invertIfNegative val="0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AB7-4363-9C86-236AC35277B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AB7-4363-9C86-236AC35277B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AB7-4363-9C86-236AC35277B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AB7-4363-9C86-236AC35277B5}"/>
              </c:ext>
            </c:extLst>
          </c:dPt>
          <c:dPt>
            <c:idx val="11"/>
            <c:invertIfNegative val="0"/>
            <c:bubble3D val="0"/>
            <c:spPr>
              <a:solidFill>
                <a:srgbClr val="66FF99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AB7-4363-9C86-236AC35277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Sheet1!$D$13:$D$24</c:f>
              <c:strCache>
                <c:ptCount val="12"/>
                <c:pt idx="0">
                  <c:v>READING BELOW EXPECTED</c:v>
                </c:pt>
                <c:pt idx="1">
                  <c:v>READING ON TRACK</c:v>
                </c:pt>
                <c:pt idx="2">
                  <c:v>READING EXCEEDING EXPECTED</c:v>
                </c:pt>
                <c:pt idx="3">
                  <c:v>READING EXPECTED</c:v>
                </c:pt>
                <c:pt idx="4">
                  <c:v>WRITING BELOW EXPECTED</c:v>
                </c:pt>
                <c:pt idx="5">
                  <c:v>WRITING ON TRACK</c:v>
                </c:pt>
                <c:pt idx="6">
                  <c:v>WRTING EXCEEDING EXPECTED</c:v>
                </c:pt>
                <c:pt idx="7">
                  <c:v>WRITING EXPECTED</c:v>
                </c:pt>
                <c:pt idx="8">
                  <c:v>MATHS BELOW EXPECTED</c:v>
                </c:pt>
                <c:pt idx="9">
                  <c:v>MATHS ON TRACK</c:v>
                </c:pt>
                <c:pt idx="10">
                  <c:v>MATHS EXCEEDING EXPECTED</c:v>
                </c:pt>
                <c:pt idx="11">
                  <c:v>MATHS EXPECTED</c:v>
                </c:pt>
              </c:strCache>
            </c:strRef>
          </c:cat>
          <c:val>
            <c:numRef>
              <c:f>Sheet1!$E$13:$E$24</c:f>
              <c:numCache>
                <c:formatCode>General</c:formatCode>
                <c:ptCount val="12"/>
                <c:pt idx="0">
                  <c:v>13</c:v>
                </c:pt>
                <c:pt idx="1">
                  <c:v>72</c:v>
                </c:pt>
                <c:pt idx="2">
                  <c:v>15</c:v>
                </c:pt>
                <c:pt idx="3">
                  <c:v>87</c:v>
                </c:pt>
                <c:pt idx="4">
                  <c:v>15</c:v>
                </c:pt>
                <c:pt idx="5">
                  <c:v>65</c:v>
                </c:pt>
                <c:pt idx="6">
                  <c:v>20</c:v>
                </c:pt>
                <c:pt idx="7">
                  <c:v>85</c:v>
                </c:pt>
                <c:pt idx="8">
                  <c:v>16</c:v>
                </c:pt>
                <c:pt idx="9">
                  <c:v>60</c:v>
                </c:pt>
                <c:pt idx="10">
                  <c:v>24</c:v>
                </c:pt>
                <c:pt idx="11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7AB7-4363-9C86-236AC35277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426432"/>
        <c:axId val="119442432"/>
        <c:axId val="0"/>
      </c:bar3DChart>
      <c:catAx>
        <c:axId val="11942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442432"/>
        <c:crosses val="autoZero"/>
        <c:auto val="1"/>
        <c:lblAlgn val="ctr"/>
        <c:lblOffset val="100"/>
        <c:noMultiLvlLbl val="0"/>
      </c:catAx>
      <c:valAx>
        <c:axId val="1194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progress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42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Stephen Boyd</cp:lastModifiedBy>
  <cp:revision>2</cp:revision>
  <dcterms:created xsi:type="dcterms:W3CDTF">2017-11-28T11:11:00Z</dcterms:created>
  <dcterms:modified xsi:type="dcterms:W3CDTF">2017-11-28T11:11:00Z</dcterms:modified>
</cp:coreProperties>
</file>