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72567875" w:rsidR="00B075A2" w:rsidRPr="00B4340D" w:rsidRDefault="00017CC8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7D3733" wp14:editId="7F41B074">
            <wp:simplePos x="0" y="0"/>
            <wp:positionH relativeFrom="column">
              <wp:posOffset>2311507</wp:posOffset>
            </wp:positionH>
            <wp:positionV relativeFrom="paragraph">
              <wp:posOffset>388980</wp:posOffset>
            </wp:positionV>
            <wp:extent cx="1134110" cy="857250"/>
            <wp:effectExtent l="0" t="0" r="8890" b="0"/>
            <wp:wrapTight wrapText="bothSides">
              <wp:wrapPolygon edited="0">
                <wp:start x="0" y="0"/>
                <wp:lineTo x="0" y="21120"/>
                <wp:lineTo x="21406" y="21120"/>
                <wp:lineTo x="21406" y="0"/>
                <wp:lineTo x="0" y="0"/>
              </wp:wrapPolygon>
            </wp:wrapTight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1341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0CF">
        <w:rPr>
          <w:b/>
          <w:color w:val="4F81BD" w:themeColor="accent1"/>
          <w:sz w:val="32"/>
        </w:rPr>
        <w:t>24</w:t>
      </w:r>
      <w:r w:rsidR="004A7FD3" w:rsidRPr="004A7FD3">
        <w:rPr>
          <w:b/>
          <w:color w:val="4F81BD" w:themeColor="accent1"/>
          <w:sz w:val="32"/>
          <w:vertAlign w:val="superscript"/>
        </w:rPr>
        <w:t>th</w:t>
      </w:r>
      <w:r w:rsidR="004A7FD3">
        <w:rPr>
          <w:b/>
          <w:color w:val="4F81BD" w:themeColor="accent1"/>
          <w:sz w:val="32"/>
        </w:rPr>
        <w:t xml:space="preserve"> </w:t>
      </w:r>
      <w:r w:rsidR="00CC4C24">
        <w:rPr>
          <w:b/>
          <w:color w:val="4F81BD" w:themeColor="accent1"/>
          <w:sz w:val="32"/>
        </w:rPr>
        <w:t>March</w:t>
      </w:r>
      <w:r w:rsidR="007237B8">
        <w:rPr>
          <w:b/>
          <w:color w:val="4F81BD" w:themeColor="accent1"/>
          <w:sz w:val="32"/>
        </w:rPr>
        <w:t xml:space="preserve"> 2023</w:t>
      </w:r>
    </w:p>
    <w:p w14:paraId="300CB995" w14:textId="00CA4342" w:rsidR="00CA6FE9" w:rsidRDefault="00CA6FE9" w:rsidP="00B075A2">
      <w:pPr>
        <w:jc w:val="center"/>
      </w:pPr>
    </w:p>
    <w:p w14:paraId="011F64B3" w14:textId="219F97A0" w:rsidR="004A7FD3" w:rsidRDefault="004A7FD3" w:rsidP="00B075A2">
      <w:pPr>
        <w:jc w:val="center"/>
      </w:pPr>
    </w:p>
    <w:p w14:paraId="64D186A2" w14:textId="4D095358" w:rsidR="004A7FD3" w:rsidRDefault="00017CC8" w:rsidP="00B075A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2D6C4" wp14:editId="1CB3CDB6">
                <wp:simplePos x="0" y="0"/>
                <wp:positionH relativeFrom="margin">
                  <wp:posOffset>-17252</wp:posOffset>
                </wp:positionH>
                <wp:positionV relativeFrom="paragraph">
                  <wp:posOffset>115318</wp:posOffset>
                </wp:positionV>
                <wp:extent cx="4162425" cy="896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9640C" w14:textId="77777777" w:rsidR="004A7FD3" w:rsidRPr="004A7FD3" w:rsidRDefault="004A7FD3" w:rsidP="004A7FD3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4A7FD3">
                              <w:rPr>
                                <w:b/>
                                <w:color w:val="FF0000"/>
                                <w:u w:val="single"/>
                              </w:rPr>
                              <w:t>Reminders:</w:t>
                            </w:r>
                          </w:p>
                          <w:p w14:paraId="4CE001D7" w14:textId="04265021" w:rsidR="004A7FD3" w:rsidRDefault="004A7FD3" w:rsidP="004A7FD3">
                            <w:r>
                              <w:t xml:space="preserve">Please remember </w:t>
                            </w:r>
                            <w:r w:rsidR="00536381">
                              <w:t>the open afternoon on Friday 31</w:t>
                            </w:r>
                            <w:r w:rsidR="00536381" w:rsidRPr="00536381">
                              <w:rPr>
                                <w:vertAlign w:val="superscript"/>
                              </w:rPr>
                              <w:t>st</w:t>
                            </w:r>
                            <w:r w:rsidR="00536381">
                              <w:t xml:space="preserve"> March at 14:30- Access via the playground.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2D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9.1pt;width:327.75pt;height:7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93IgIAAEYEAAAOAAAAZHJzL2Uyb0RvYy54bWysU8tu2zAQvBfoPxC817IE24mFyEHq1EWB&#10;9AEk/YA1RVlEKS5L0pbcr++SclwjLXooygPBx3I4O7N7czt0mh2k8wpNxfPJlDNpBNbK7Cr+9Wnz&#10;5pozH8DUoNHIih+l57er169uelvKAlvUtXSMQIwve1vxNgRbZpkXrezAT9BKQ5cNug4Cbd0uqx30&#10;hN7prJhOF1mPrrYOhfSeTu/HS75K+E0jRfjcNF4GpitO3EKaXZq3cc5WN1DuHNhWiRMN+AcWHShD&#10;n56h7iEA2zv1G1SnhEOPTZgI7DJsGiVkyoGyyacvsnlswcqUC4nj7Vkm//9gxafDF8dUXfEiv+LM&#10;QEcmPckhsLc4sCLq01tfUtijpcAw0DH5nHL19gHFN88MrlswO3nnHPathJr45fFldvF0xPERZNt/&#10;xJq+gX3ABDQ0rovikRyM0Mmn49mbSEXQ4SxfFLNizpmgu+vlYlEk8zIon19b58N7iR2Li4o78j6h&#10;w+HBh8gGyueQ+JlHreqN0jpt3G671o4dgOpkk0ZK4EWYNqyv+HJOPP4OMU3jTxCdClTwWnWUxTkI&#10;yijbO1Oncgyg9LgmytqcdIzSjSKGYTucfNlifSRFHY6FTY1IixbdD856KuqK++97cJIz/cGQK8t8&#10;NotdkDaz+RVpyNzlzfbyBowgqIoHzsblOqTOiakbvCP3GpWEjTaPTE5cqViT3qfGit1wuU9Rv9p/&#10;9RMAAP//AwBQSwMEFAAGAAgAAAAhANB0Gf/fAAAACQEAAA8AAABkcnMvZG93bnJldi54bWxMj8FO&#10;wzAQRO9I/IO1SFxQ6xDaNA1xKoQEojcoCK5uvE0i7HWI3TT8PcsJjjszmn1TbiZnxYhD6DwpuJ4n&#10;IJBqbzpqFLy9PsxyECFqMtp6QgXfGGBTnZ+VujD+RC847mIjuIRCoRW0MfaFlKFu0ekw9z0Sewc/&#10;OB35HBppBn3icmdlmiSZdLoj/tDqHu9brD93R6cgXzyNH2F78/xeZwe7jler8fFrUOryYrq7BRFx&#10;in9h+MVndKiYae+PZIKwCmbpipOs5ykI9rNlylP2LCzXC5BVKf8vqH4AAAD//wMAUEsBAi0AFAAG&#10;AAgAAAAhALaDOJL+AAAA4QEAABMAAAAAAAAAAAAAAAAAAAAAAFtDb250ZW50X1R5cGVzXS54bWxQ&#10;SwECLQAUAAYACAAAACEAOP0h/9YAAACUAQAACwAAAAAAAAAAAAAAAAAvAQAAX3JlbHMvLnJlbHNQ&#10;SwECLQAUAAYACAAAACEAfTivdyICAABGBAAADgAAAAAAAAAAAAAAAAAuAgAAZHJzL2Uyb0RvYy54&#10;bWxQSwECLQAUAAYACAAAACEA0HQZ/98AAAAJAQAADwAAAAAAAAAAAAAAAAB8BAAAZHJzL2Rvd25y&#10;ZXYueG1sUEsFBgAAAAAEAAQA8wAAAIgFAAAAAA==&#10;">
                <v:textbox>
                  <w:txbxContent>
                    <w:p w14:paraId="36D9640C" w14:textId="77777777" w:rsidR="004A7FD3" w:rsidRPr="004A7FD3" w:rsidRDefault="004A7FD3" w:rsidP="004A7FD3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4A7FD3">
                        <w:rPr>
                          <w:b/>
                          <w:color w:val="FF0000"/>
                          <w:u w:val="single"/>
                        </w:rPr>
                        <w:t>Reminders:</w:t>
                      </w:r>
                    </w:p>
                    <w:p w14:paraId="4CE001D7" w14:textId="04265021" w:rsidR="004A7FD3" w:rsidRDefault="004A7FD3" w:rsidP="004A7FD3">
                      <w:r>
                        <w:t xml:space="preserve">Please remember </w:t>
                      </w:r>
                      <w:r w:rsidR="00536381">
                        <w:t>the open afternoon on Friday 31</w:t>
                      </w:r>
                      <w:r w:rsidR="00536381" w:rsidRPr="00536381">
                        <w:rPr>
                          <w:vertAlign w:val="superscript"/>
                        </w:rPr>
                        <w:t>st</w:t>
                      </w:r>
                      <w:r w:rsidR="00536381">
                        <w:t xml:space="preserve"> March at 14:30- Access via the playground.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37A92F" w14:textId="58E8B80E" w:rsidR="00017CC8" w:rsidRDefault="00017CC8" w:rsidP="00B075A2">
      <w:pPr>
        <w:jc w:val="center"/>
      </w:pPr>
    </w:p>
    <w:p w14:paraId="018EF29B" w14:textId="77777777" w:rsidR="00017CC8" w:rsidRDefault="00017CC8" w:rsidP="00B075A2">
      <w:pPr>
        <w:jc w:val="center"/>
      </w:pPr>
    </w:p>
    <w:p w14:paraId="4DB743C1" w14:textId="25190CB5" w:rsidR="004A7FD3" w:rsidRDefault="004A7FD3" w:rsidP="00B075A2">
      <w:pPr>
        <w:jc w:val="center"/>
      </w:pPr>
      <w:bookmarkStart w:id="0" w:name="_GoBack"/>
      <w:bookmarkEnd w:id="0"/>
    </w:p>
    <w:p w14:paraId="574E28FA" w14:textId="0D9C8AF6" w:rsidR="00536381" w:rsidRPr="00536381" w:rsidRDefault="00536381" w:rsidP="0053638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color w:val="00B0F0"/>
          <w:sz w:val="24"/>
        </w:rPr>
      </w:pPr>
      <w:r w:rsidRPr="00536381">
        <w:rPr>
          <w:color w:val="00B0F0"/>
          <w:sz w:val="24"/>
        </w:rPr>
        <w:t>This week in Robins, it has been assessment week; the children have worked extremely hard. Year twos have been practising some SATS papers</w:t>
      </w:r>
      <w:r>
        <w:rPr>
          <w:color w:val="00B0F0"/>
          <w:sz w:val="24"/>
        </w:rPr>
        <w:t>,</w:t>
      </w:r>
      <w:r w:rsidRPr="00536381">
        <w:rPr>
          <w:color w:val="00B0F0"/>
          <w:sz w:val="24"/>
        </w:rPr>
        <w:t xml:space="preserve"> and year ones have had their phonics assessment. The children have loved baking some biscuits in DT, PE (our skill is bouncing and rolling a ball) and using scratch on the computers.</w:t>
      </w:r>
    </w:p>
    <w:p w14:paraId="636DF50C" w14:textId="6C86F5F4" w:rsidR="00736B91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color w:val="00B050"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4BECA5FC" w14:textId="1222144E" w:rsidR="00294BD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561663AC" w14:textId="55F859F7" w:rsidR="00132F9A" w:rsidRDefault="00132F9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>If you do not have access to a printer for education City, you can write the answers on a blank piece of paper and get your grown up to check your answers. They can then write in your reading record that you have completed the work.</w:t>
      </w:r>
    </w:p>
    <w:p w14:paraId="722C7C08" w14:textId="1E67E148" w:rsidR="00736B91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7" w:history="1">
        <w:r w:rsidR="004563F2" w:rsidRPr="004563F2">
          <w:rPr>
            <w:rStyle w:val="Hyperlink"/>
            <w:bCs/>
          </w:rPr>
          <w:t>Education City</w:t>
        </w:r>
      </w:hyperlink>
      <w:r w:rsidR="00720C44">
        <w:rPr>
          <w:rStyle w:val="Hyperlink"/>
          <w:bCs/>
        </w:rPr>
        <w:t xml:space="preserve">. </w:t>
      </w:r>
    </w:p>
    <w:p w14:paraId="123A4BA5" w14:textId="76C77EFA" w:rsidR="00E250CF" w:rsidRDefault="00E250CF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 w:rsidRPr="00E250CF">
        <w:rPr>
          <w:rStyle w:val="Hyperlink"/>
          <w:b/>
          <w:bCs/>
          <w:color w:val="00B050"/>
          <w:u w:val="none"/>
        </w:rPr>
        <w:t>SPAG-</w:t>
      </w:r>
      <w:r w:rsidRPr="00E250CF">
        <w:rPr>
          <w:rStyle w:val="Hyperlink"/>
          <w:bCs/>
          <w:color w:val="00B050"/>
        </w:rPr>
        <w:t xml:space="preserve"> </w:t>
      </w:r>
      <w:r>
        <w:rPr>
          <w:rStyle w:val="Hyperlink"/>
          <w:bCs/>
        </w:rPr>
        <w:t>Education City.</w:t>
      </w:r>
    </w:p>
    <w:p w14:paraId="7A0817DB" w14:textId="69A0912C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1EF6B806" w14:textId="77777777" w:rsidR="00017CC8" w:rsidRDefault="00212270" w:rsidP="008F4428">
      <w:pPr>
        <w:rPr>
          <w:b/>
        </w:rPr>
      </w:pPr>
      <w:r w:rsidRPr="00035E99">
        <w:rPr>
          <w:b/>
        </w:rPr>
        <w:t xml:space="preserve">Spelling test will be every Friday </w:t>
      </w:r>
    </w:p>
    <w:p w14:paraId="1D4EC56E" w14:textId="5550FC95" w:rsidR="00E250CF" w:rsidRPr="00E250CF" w:rsidRDefault="00E250CF" w:rsidP="008F4428">
      <w:r w:rsidRPr="00E250CF">
        <w:rPr>
          <w:u w:val="single"/>
        </w:rPr>
        <w:t>Group 3 spelling rule:</w:t>
      </w:r>
      <w:r w:rsidRPr="00E250CF">
        <w:t xml:space="preserve"> Adding the suffix </w:t>
      </w:r>
      <w:proofErr w:type="spellStart"/>
      <w:r w:rsidRPr="00E250CF">
        <w:t>ly</w:t>
      </w:r>
      <w:proofErr w:type="spellEnd"/>
      <w:r w:rsidRPr="00E250CF">
        <w:t>, turns an adjective into an adverb.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60C77302" w:rsidR="00D5698C" w:rsidRPr="00DA754E" w:rsidRDefault="00E250CF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Moon, hoot, boot, cool, soon, spoon, school, all, they, you.</w:t>
            </w:r>
          </w:p>
        </w:tc>
        <w:tc>
          <w:tcPr>
            <w:tcW w:w="2268" w:type="dxa"/>
          </w:tcPr>
          <w:p w14:paraId="0D670478" w14:textId="7673E008" w:rsidR="003E045F" w:rsidRPr="00DA754E" w:rsidRDefault="00E250CF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Could, would, should, soup, group, try, dry, fry, this, just.</w:t>
            </w:r>
          </w:p>
        </w:tc>
        <w:tc>
          <w:tcPr>
            <w:tcW w:w="2552" w:type="dxa"/>
          </w:tcPr>
          <w:p w14:paraId="44231C8D" w14:textId="649C3F38" w:rsidR="00701572" w:rsidRPr="00DA754E" w:rsidRDefault="00E250CF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Bad, badly, dead, deadly, deep, deeply, safe, safely, wise, wisely. </w:t>
            </w:r>
            <w:r w:rsidR="00E76E75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4D0D95DC" w14:textId="4E57F121" w:rsidR="00D9746F" w:rsidRDefault="00D9746F" w:rsidP="00017CC8"/>
    <w:sectPr w:rsidR="00D9746F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4DF5"/>
    <w:rsid w:val="00017CC8"/>
    <w:rsid w:val="00035E99"/>
    <w:rsid w:val="0004631E"/>
    <w:rsid w:val="0006542A"/>
    <w:rsid w:val="00080FFD"/>
    <w:rsid w:val="00084ED6"/>
    <w:rsid w:val="00086D36"/>
    <w:rsid w:val="00086DA9"/>
    <w:rsid w:val="00093FDA"/>
    <w:rsid w:val="000B0A1B"/>
    <w:rsid w:val="000B15D8"/>
    <w:rsid w:val="000C1648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87C10"/>
    <w:rsid w:val="001A66BA"/>
    <w:rsid w:val="001B6AB6"/>
    <w:rsid w:val="001C346B"/>
    <w:rsid w:val="001D0478"/>
    <w:rsid w:val="001D54C6"/>
    <w:rsid w:val="001D6AA5"/>
    <w:rsid w:val="001F459E"/>
    <w:rsid w:val="001F5DAF"/>
    <w:rsid w:val="0020434E"/>
    <w:rsid w:val="00207A8A"/>
    <w:rsid w:val="00212270"/>
    <w:rsid w:val="002368FB"/>
    <w:rsid w:val="002701F2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43B7"/>
    <w:rsid w:val="00345853"/>
    <w:rsid w:val="00362431"/>
    <w:rsid w:val="0036331A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AE4"/>
    <w:rsid w:val="00475BB3"/>
    <w:rsid w:val="00477160"/>
    <w:rsid w:val="0048699A"/>
    <w:rsid w:val="0049774E"/>
    <w:rsid w:val="004A7FD3"/>
    <w:rsid w:val="004E61B0"/>
    <w:rsid w:val="00503DBF"/>
    <w:rsid w:val="00525FC7"/>
    <w:rsid w:val="0052785B"/>
    <w:rsid w:val="00533689"/>
    <w:rsid w:val="00536381"/>
    <w:rsid w:val="00550F98"/>
    <w:rsid w:val="0055423A"/>
    <w:rsid w:val="00566348"/>
    <w:rsid w:val="005721AD"/>
    <w:rsid w:val="005951E8"/>
    <w:rsid w:val="005A0E1F"/>
    <w:rsid w:val="005A4C71"/>
    <w:rsid w:val="005B094E"/>
    <w:rsid w:val="005B340D"/>
    <w:rsid w:val="005B3981"/>
    <w:rsid w:val="005C0C04"/>
    <w:rsid w:val="005D0353"/>
    <w:rsid w:val="005D328C"/>
    <w:rsid w:val="005E272D"/>
    <w:rsid w:val="005E512B"/>
    <w:rsid w:val="005F7856"/>
    <w:rsid w:val="006313CF"/>
    <w:rsid w:val="00631558"/>
    <w:rsid w:val="00635596"/>
    <w:rsid w:val="00656B55"/>
    <w:rsid w:val="006614A7"/>
    <w:rsid w:val="00672F0C"/>
    <w:rsid w:val="00673178"/>
    <w:rsid w:val="006A153F"/>
    <w:rsid w:val="006C58DC"/>
    <w:rsid w:val="006C5CE3"/>
    <w:rsid w:val="006E04A7"/>
    <w:rsid w:val="006E5AF6"/>
    <w:rsid w:val="00701572"/>
    <w:rsid w:val="007020D6"/>
    <w:rsid w:val="00720C44"/>
    <w:rsid w:val="007237B8"/>
    <w:rsid w:val="00723A98"/>
    <w:rsid w:val="00734910"/>
    <w:rsid w:val="00736B91"/>
    <w:rsid w:val="00737F17"/>
    <w:rsid w:val="007418F3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66EFE"/>
    <w:rsid w:val="0087155F"/>
    <w:rsid w:val="0087425A"/>
    <w:rsid w:val="008B446A"/>
    <w:rsid w:val="008B4530"/>
    <w:rsid w:val="008B5ADF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A14"/>
    <w:rsid w:val="00A1008C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8211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13D03"/>
    <w:rsid w:val="00B25ECC"/>
    <w:rsid w:val="00B4340D"/>
    <w:rsid w:val="00B50C57"/>
    <w:rsid w:val="00B609DC"/>
    <w:rsid w:val="00BC264F"/>
    <w:rsid w:val="00BF0D24"/>
    <w:rsid w:val="00C00BE1"/>
    <w:rsid w:val="00C01645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C4C24"/>
    <w:rsid w:val="00CC51B1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0C53"/>
    <w:rsid w:val="00DB2583"/>
    <w:rsid w:val="00DC5CC3"/>
    <w:rsid w:val="00DF1050"/>
    <w:rsid w:val="00DF7B42"/>
    <w:rsid w:val="00E250CF"/>
    <w:rsid w:val="00E55DF9"/>
    <w:rsid w:val="00E64C91"/>
    <w:rsid w:val="00E76E75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4</cp:revision>
  <cp:lastPrinted>2023-03-16T07:53:00Z</cp:lastPrinted>
  <dcterms:created xsi:type="dcterms:W3CDTF">2023-03-21T18:54:00Z</dcterms:created>
  <dcterms:modified xsi:type="dcterms:W3CDTF">2023-03-21T19:01:00Z</dcterms:modified>
</cp:coreProperties>
</file>