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16="http://schemas.microsoft.com/office/drawing/2014/main" mc:Ignorable="w14 w15 w16se w16cid w16 w16cex w16sdtdh w16sdtfl w16du wp14">
  <w:body>
    <w:p w:rsidR="00E66558" w:rsidP="00EE5679" w:rsidRDefault="00C11EB4" w14:paraId="43A07B1A" w14:textId="10A8A283">
      <w:pPr>
        <w:pStyle w:val="Heading1"/>
        <w:spacing w:after="0"/>
        <w:jc w:val="both"/>
        <w:rPr>
          <w:bCs/>
        </w:rPr>
      </w:pPr>
      <w:bookmarkStart w:name="_Toc400361362" w:id="0"/>
      <w:bookmarkStart w:name="_Toc443397153" w:id="1"/>
      <w:bookmarkStart w:name="_Toc357771638" w:id="2"/>
      <w:bookmarkStart w:name="_Toc346793416" w:id="3"/>
      <w:bookmarkStart w:name="_Toc328122777" w:id="4"/>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rsidRPr="00D348C0" w:rsidR="00B572C4" w:rsidP="009539E3" w:rsidRDefault="00B572C4" w14:paraId="2EED2A16" w14:textId="4F5B333E">
                            <w:pPr>
                              <w:rPr>
                                <w:bCs/>
                                <w:color w:val="auto"/>
                              </w:rPr>
                            </w:pPr>
                            <w:r w:rsidRPr="00D348C0">
                              <w:rPr>
                                <w:bCs/>
                                <w:color w:val="auto"/>
                              </w:rPr>
                              <w:t xml:space="preserve">Before completing this template, </w:t>
                            </w:r>
                            <w:r w:rsidRPr="00D348C0" w:rsidR="00F63E9E">
                              <w:rPr>
                                <w:bCs/>
                                <w:color w:val="auto"/>
                              </w:rPr>
                              <w:t xml:space="preserve">read </w:t>
                            </w:r>
                            <w:r w:rsidRPr="00D348C0">
                              <w:rPr>
                                <w:bCs/>
                                <w:color w:val="auto"/>
                              </w:rPr>
                              <w:t>the E</w:t>
                            </w:r>
                            <w:r w:rsidRPr="00D348C0" w:rsidR="00D3578A">
                              <w:rPr>
                                <w:bCs/>
                                <w:color w:val="auto"/>
                              </w:rPr>
                              <w:t xml:space="preserve">ducation </w:t>
                            </w:r>
                            <w:r w:rsidRPr="00D348C0">
                              <w:rPr>
                                <w:bCs/>
                                <w:color w:val="auto"/>
                              </w:rPr>
                              <w:t>E</w:t>
                            </w:r>
                            <w:r w:rsidRPr="00D348C0" w:rsidR="00D3578A">
                              <w:rPr>
                                <w:bCs/>
                                <w:color w:val="auto"/>
                              </w:rPr>
                              <w:t xml:space="preserve">ndowment </w:t>
                            </w:r>
                            <w:r w:rsidRPr="00D348C0">
                              <w:rPr>
                                <w:bCs/>
                                <w:color w:val="auto"/>
                              </w:rPr>
                              <w:t>F</w:t>
                            </w:r>
                            <w:r w:rsidRPr="00D348C0" w:rsidR="00D3578A">
                              <w:rPr>
                                <w:bCs/>
                                <w:color w:val="auto"/>
                              </w:rPr>
                              <w:t>oundation’s</w:t>
                            </w:r>
                            <w:r w:rsidRPr="00D348C0">
                              <w:rPr>
                                <w:bCs/>
                                <w:color w:val="auto"/>
                              </w:rPr>
                              <w:t xml:space="preserve"> </w:t>
                            </w:r>
                            <w:hyperlink w:history="1" r:id="rId10">
                              <w:r w:rsidRPr="00FF2000" w:rsidR="00FF2000">
                                <w:rPr>
                                  <w:rStyle w:val="Hyperlink"/>
                                  <w:bCs/>
                                </w:rPr>
                                <w:t>guide to the pupil premium</w:t>
                              </w:r>
                            </w:hyperlink>
                            <w:r w:rsidR="00FF2000">
                              <w:rPr>
                                <w:bCs/>
                                <w:color w:val="auto"/>
                              </w:rPr>
                              <w:t xml:space="preserve"> </w:t>
                            </w:r>
                            <w:r w:rsidRPr="00D348C0">
                              <w:rPr>
                                <w:bCs/>
                                <w:color w:val="auto"/>
                              </w:rPr>
                              <w:t xml:space="preserve">and DfE’s </w:t>
                            </w:r>
                            <w:hyperlink w:history="1" r:id="rId11">
                              <w:r w:rsidRPr="005646FA" w:rsidR="00D3578A">
                                <w:rPr>
                                  <w:rStyle w:val="Hyperlink"/>
                                </w:rPr>
                                <w:t>pupil premium guidanc</w:t>
                              </w:r>
                              <w:r w:rsidRPr="005646FA" w:rsid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rsidRPr="00D348C0" w:rsidR="00993CFC" w:rsidP="00F33DC0" w:rsidRDefault="00993CFC" w14:paraId="67CAB2FC" w14:textId="55CE2AFA">
                            <w:bookmarkStart w:name="_Hlk117600237" w:id="5"/>
                            <w:r w:rsidRPr="00D348C0">
                              <w:t>All schools that receive pupil premium</w:t>
                            </w:r>
                            <w:r w:rsidRPr="00CE7E1B">
                              <w:t xml:space="preserve"> </w:t>
                            </w:r>
                            <w:r w:rsidRPr="00D348C0">
                              <w:t xml:space="preserve">are required to use this template to complete and publish </w:t>
                            </w:r>
                            <w:r w:rsidRPr="00D348C0" w:rsidR="00306CB7">
                              <w:t>a</w:t>
                            </w:r>
                            <w:r w:rsidRPr="00D348C0">
                              <w:t xml:space="preserve"> pupil premium statement on their school website by 31 December</w:t>
                            </w:r>
                            <w:r w:rsidRPr="00D348C0" w:rsidR="00060A62">
                              <w:t xml:space="preserve"> every academic year</w:t>
                            </w:r>
                            <w:r w:rsidRPr="00D348C0">
                              <w:t>.</w:t>
                            </w:r>
                          </w:p>
                          <w:p w:rsidRPr="00D348C0" w:rsidR="00D877D0" w:rsidP="00D877D0" w:rsidRDefault="005750E2" w14:paraId="5C77A3F6" w14:textId="4E035382">
                            <w:r w:rsidRPr="00D348C0">
                              <w:t>If you are starting a new pupil premium strategy plan, use this</w:t>
                            </w:r>
                            <w:r w:rsidRPr="00D348C0" w:rsidR="004A4C45">
                              <w:t xml:space="preserve"> </w:t>
                            </w:r>
                            <w:r w:rsidRPr="00D348C0" w:rsidR="003C4C27">
                              <w:t>blank template</w:t>
                            </w:r>
                            <w:r w:rsidRPr="00D348C0">
                              <w:t xml:space="preserve">. If you are continuing a strategy </w:t>
                            </w:r>
                            <w:r w:rsidRPr="00D348C0" w:rsidR="004E1D73">
                              <w:t>plan from</w:t>
                            </w:r>
                            <w:r w:rsidRPr="00D348C0" w:rsidR="00D877D0">
                              <w:t xml:space="preserve"> </w:t>
                            </w:r>
                            <w:r w:rsidRPr="00D348C0" w:rsidR="00904A66">
                              <w:t>last</w:t>
                            </w:r>
                            <w:r w:rsidRPr="00D348C0">
                              <w:t xml:space="preserve"> academic year, you may </w:t>
                            </w:r>
                            <w:r w:rsidRPr="00D348C0" w:rsidR="00A50104">
                              <w:t>prefer</w:t>
                            </w:r>
                            <w:r w:rsidRPr="00D348C0">
                              <w:t xml:space="preserve"> to edit your </w:t>
                            </w:r>
                            <w:bookmarkEnd w:id="5"/>
                            <w:r w:rsidRPr="00D348C0" w:rsidR="00D877D0">
                              <w:t>existing statement</w:t>
                            </w:r>
                            <w:r w:rsidRPr="00D348C0" w:rsidR="00D72C08">
                              <w:t xml:space="preserve">, </w:t>
                            </w:r>
                            <w:r w:rsidRPr="00D348C0" w:rsidR="005E18CB">
                              <w:t>if</w:t>
                            </w:r>
                            <w:r w:rsidRPr="00D348C0" w:rsidR="007610B5">
                              <w:t xml:space="preserve"> that version was published using the template</w:t>
                            </w:r>
                            <w:r w:rsidRPr="00D348C0" w:rsidR="00D877D0">
                              <w:t>.</w:t>
                            </w:r>
                            <w:r w:rsidRPr="00D348C0" w:rsidR="00CB24A4">
                              <w:t xml:space="preserve"> </w:t>
                            </w:r>
                          </w:p>
                          <w:p w:rsidRPr="00D348C0" w:rsidR="00E66558" w:rsidRDefault="009D71E8" w14:paraId="2A7D54B6" w14:textId="6B6F3880">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7D54B2">
                <v:stroke joinstyle="miter"/>
                <v:path gradientshapeok="t" o:connecttype="rect"/>
              </v:shapetype>
              <v:shape id="Text Box 1" style="position:absolute;left:0;text-align:left;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lt="&quot;&quot;" o:spid="_x0000_s1026" fillcolor="#f2f2f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v:textbox>
                  <w:txbxContent>
                    <w:p w:rsidRPr="00D348C0" w:rsidR="00B572C4" w:rsidP="009539E3" w:rsidRDefault="00B572C4" w14:paraId="2EED2A16" w14:textId="4F5B333E">
                      <w:pPr>
                        <w:rPr>
                          <w:bCs/>
                          <w:color w:val="auto"/>
                        </w:rPr>
                      </w:pPr>
                      <w:r w:rsidRPr="00D348C0">
                        <w:rPr>
                          <w:bCs/>
                          <w:color w:val="auto"/>
                        </w:rPr>
                        <w:t xml:space="preserve">Before completing this template, </w:t>
                      </w:r>
                      <w:r w:rsidRPr="00D348C0" w:rsidR="00F63E9E">
                        <w:rPr>
                          <w:bCs/>
                          <w:color w:val="auto"/>
                        </w:rPr>
                        <w:t xml:space="preserve">read </w:t>
                      </w:r>
                      <w:r w:rsidRPr="00D348C0">
                        <w:rPr>
                          <w:bCs/>
                          <w:color w:val="auto"/>
                        </w:rPr>
                        <w:t>the E</w:t>
                      </w:r>
                      <w:r w:rsidRPr="00D348C0" w:rsidR="00D3578A">
                        <w:rPr>
                          <w:bCs/>
                          <w:color w:val="auto"/>
                        </w:rPr>
                        <w:t xml:space="preserve">ducation </w:t>
                      </w:r>
                      <w:r w:rsidRPr="00D348C0">
                        <w:rPr>
                          <w:bCs/>
                          <w:color w:val="auto"/>
                        </w:rPr>
                        <w:t>E</w:t>
                      </w:r>
                      <w:r w:rsidRPr="00D348C0" w:rsidR="00D3578A">
                        <w:rPr>
                          <w:bCs/>
                          <w:color w:val="auto"/>
                        </w:rPr>
                        <w:t xml:space="preserve">ndowment </w:t>
                      </w:r>
                      <w:r w:rsidRPr="00D348C0">
                        <w:rPr>
                          <w:bCs/>
                          <w:color w:val="auto"/>
                        </w:rPr>
                        <w:t>F</w:t>
                      </w:r>
                      <w:r w:rsidRPr="00D348C0" w:rsidR="00D3578A">
                        <w:rPr>
                          <w:bCs/>
                          <w:color w:val="auto"/>
                        </w:rPr>
                        <w:t>oundation’s</w:t>
                      </w:r>
                      <w:r w:rsidRPr="00D348C0">
                        <w:rPr>
                          <w:bCs/>
                          <w:color w:val="auto"/>
                        </w:rPr>
                        <w:t xml:space="preserve"> </w:t>
                      </w:r>
                      <w:hyperlink w:history="1" r:id="rId12">
                        <w:r w:rsidRPr="00FF2000" w:rsidR="00FF2000">
                          <w:rPr>
                            <w:rStyle w:val="Hyperlink"/>
                            <w:bCs/>
                          </w:rPr>
                          <w:t>guide to the pupil premium</w:t>
                        </w:r>
                      </w:hyperlink>
                      <w:r w:rsidR="00FF2000">
                        <w:rPr>
                          <w:bCs/>
                          <w:color w:val="auto"/>
                        </w:rPr>
                        <w:t xml:space="preserve"> </w:t>
                      </w:r>
                      <w:r w:rsidRPr="00D348C0">
                        <w:rPr>
                          <w:bCs/>
                          <w:color w:val="auto"/>
                        </w:rPr>
                        <w:t xml:space="preserve">and DfE’s </w:t>
                      </w:r>
                      <w:hyperlink w:history="1" r:id="rId13">
                        <w:r w:rsidRPr="005646FA" w:rsidR="00D3578A">
                          <w:rPr>
                            <w:rStyle w:val="Hyperlink"/>
                          </w:rPr>
                          <w:t>pupil premium guidanc</w:t>
                        </w:r>
                        <w:r w:rsidRPr="005646FA" w:rsid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rsidRPr="00D348C0" w:rsidR="00993CFC" w:rsidP="00F33DC0" w:rsidRDefault="00993CFC" w14:paraId="67CAB2FC" w14:textId="55CE2AFA">
                      <w:r w:rsidRPr="00D348C0">
                        <w:t>All schools that receive pupil premium</w:t>
                      </w:r>
                      <w:r w:rsidRPr="00CE7E1B">
                        <w:t xml:space="preserve"> </w:t>
                      </w:r>
                      <w:r w:rsidRPr="00D348C0">
                        <w:t xml:space="preserve">are required to use this template to complete and publish </w:t>
                      </w:r>
                      <w:r w:rsidRPr="00D348C0" w:rsidR="00306CB7">
                        <w:t>a</w:t>
                      </w:r>
                      <w:r w:rsidRPr="00D348C0">
                        <w:t xml:space="preserve"> pupil premium statement on their school website by 31 December</w:t>
                      </w:r>
                      <w:r w:rsidRPr="00D348C0" w:rsidR="00060A62">
                        <w:t xml:space="preserve"> every academic year</w:t>
                      </w:r>
                      <w:r w:rsidRPr="00D348C0">
                        <w:t>.</w:t>
                      </w:r>
                    </w:p>
                    <w:p w:rsidRPr="00D348C0" w:rsidR="00D877D0" w:rsidP="00D877D0" w:rsidRDefault="005750E2" w14:paraId="5C77A3F6" w14:textId="4E035382">
                      <w:r w:rsidRPr="00D348C0">
                        <w:t>If you are starting a new pupil premium strategy plan, use this</w:t>
                      </w:r>
                      <w:r w:rsidRPr="00D348C0" w:rsidR="004A4C45">
                        <w:t xml:space="preserve"> </w:t>
                      </w:r>
                      <w:r w:rsidRPr="00D348C0" w:rsidR="003C4C27">
                        <w:t>blank template</w:t>
                      </w:r>
                      <w:r w:rsidRPr="00D348C0">
                        <w:t xml:space="preserve">. If you are continuing a strategy </w:t>
                      </w:r>
                      <w:r w:rsidRPr="00D348C0" w:rsidR="004E1D73">
                        <w:t>plan from</w:t>
                      </w:r>
                      <w:r w:rsidRPr="00D348C0" w:rsidR="00D877D0">
                        <w:t xml:space="preserve"> </w:t>
                      </w:r>
                      <w:r w:rsidRPr="00D348C0" w:rsidR="00904A66">
                        <w:t>last</w:t>
                      </w:r>
                      <w:r w:rsidRPr="00D348C0">
                        <w:t xml:space="preserve"> academic year, you may </w:t>
                      </w:r>
                      <w:r w:rsidRPr="00D348C0" w:rsidR="00A50104">
                        <w:t>prefer</w:t>
                      </w:r>
                      <w:r w:rsidRPr="00D348C0">
                        <w:t xml:space="preserve"> to edit your </w:t>
                      </w:r>
                      <w:r w:rsidRPr="00D348C0" w:rsidR="00D877D0">
                        <w:t>existing statement</w:t>
                      </w:r>
                      <w:r w:rsidRPr="00D348C0" w:rsidR="00D72C08">
                        <w:t xml:space="preserve">, </w:t>
                      </w:r>
                      <w:r w:rsidRPr="00D348C0" w:rsidR="005E18CB">
                        <w:t>if</w:t>
                      </w:r>
                      <w:r w:rsidRPr="00D348C0" w:rsidR="007610B5">
                        <w:t xml:space="preserve"> that version was published using the template</w:t>
                      </w:r>
                      <w:r w:rsidRPr="00D348C0" w:rsidR="00D877D0">
                        <w:t>.</w:t>
                      </w:r>
                      <w:r w:rsidRPr="00D348C0" w:rsidR="00CB24A4">
                        <w:t xml:space="preserve"> </w:t>
                      </w:r>
                    </w:p>
                    <w:p w:rsidRPr="00D348C0" w:rsidR="00E66558" w:rsidRDefault="009D71E8" w14:paraId="2A7D54B6" w14:textId="6B6F3880">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name="_Toc338167830" w:id="7"/>
      <w:bookmarkStart w:name="_Toc361136403" w:id="8"/>
      <w:bookmarkStart w:name="_Toc364235708" w:id="9"/>
      <w:bookmarkStart w:name="_Toc364235752" w:id="10"/>
      <w:bookmarkStart w:name="_Toc364235834" w:id="11"/>
      <w:bookmarkStart w:name="_Toc364840099" w:id="12"/>
      <w:bookmarkStart w:name="_Toc364864309" w:id="13"/>
      <w:bookmarkStart w:name="_Toc400361364" w:id="14"/>
      <w:bookmarkStart w:name="_Toc443397154" w:id="15"/>
      <w:bookmarkEnd w:id="0"/>
      <w:bookmarkEnd w:id="1"/>
      <w:r w:rsidR="132AB016">
        <w:t xml:space="preserve"> – </w:t>
      </w:r>
      <w:r w:rsidR="05BAC379">
        <w:t>Carmel College</w:t>
      </w:r>
    </w:p>
    <w:p w:rsidR="00E66558" w:rsidP="00EE5679" w:rsidRDefault="009D71E8" w14:paraId="16B48015" w14:textId="122ED8CF">
      <w:pPr>
        <w:pStyle w:val="Heading1"/>
        <w:spacing w:after="0"/>
        <w:jc w:val="both"/>
        <w:rPr>
          <w:bCs/>
        </w:rPr>
      </w:pPr>
      <w:r>
        <w:lastRenderedPageBreak/>
        <w:t>This statement details our school’s use of pupil premium funding</w:t>
      </w:r>
      <w:r w:rsidR="6BC863EB">
        <w:t xml:space="preserve"> </w:t>
      </w:r>
      <w:r w:rsidRPr="434887CA" w:rsidR="6BC863EB">
        <w:rPr>
          <w:bCs/>
          <w:color w:val="auto"/>
          <w:u w:val="single"/>
        </w:rPr>
        <w:t>for the 2025 to 2026 academic year</w:t>
      </w:r>
      <w:r>
        <w:t xml:space="preserve"> to help improve the attainment of our disadvantaged pupils. </w:t>
      </w:r>
    </w:p>
    <w:p w:rsidR="00E66558" w:rsidP="00EE5679" w:rsidRDefault="009D71E8" w14:paraId="2A7D54B3" w14:textId="730F2E71">
      <w:pPr>
        <w:spacing w:after="0"/>
        <w:jc w:val="both"/>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P="00EE5679" w:rsidRDefault="009D71E8" w14:paraId="2A7D54B4" w14:textId="2CAB096C">
      <w:pPr>
        <w:pStyle w:val="Heading2"/>
        <w:spacing w:before="0" w:after="0"/>
        <w:jc w:val="both"/>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157"/>
        <w:gridCol w:w="2859"/>
      </w:tblGrid>
      <w:tr w:rsidR="00E66558" w:rsidTr="3AE65F12"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4B5" w14:textId="77777777">
            <w:pPr>
              <w:pStyle w:val="TableHeader"/>
              <w:spacing w:before="0" w:after="0"/>
              <w:ind w:left="0" w:right="0"/>
              <w:jc w:val="both"/>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51A59785" w14:textId="77777777">
            <w:pPr>
              <w:pStyle w:val="TableHeader"/>
              <w:spacing w:before="0" w:after="0"/>
              <w:ind w:left="0" w:right="0"/>
              <w:jc w:val="both"/>
            </w:pPr>
            <w:r>
              <w:t>Data</w:t>
            </w:r>
          </w:p>
        </w:tc>
      </w:tr>
      <w:tr w:rsidR="002940F3" w:rsidTr="3AE65F12"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2940F3" w14:paraId="2A7D54B8" w14:textId="56337796">
            <w:pPr>
              <w:pStyle w:val="TableRow"/>
              <w:spacing w:before="0" w:after="0"/>
              <w:ind w:left="0" w:right="0"/>
              <w:jc w:val="both"/>
            </w:pPr>
            <w:r>
              <w:t>Number of pupils in school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3169D3" w14:paraId="2A7D54B9" w14:textId="14DF3A83">
            <w:pPr>
              <w:pStyle w:val="TableRow"/>
              <w:spacing w:before="0" w:after="0"/>
              <w:ind w:left="0" w:right="0"/>
              <w:jc w:val="both"/>
            </w:pPr>
            <w:r>
              <w:t>1367</w:t>
            </w:r>
          </w:p>
        </w:tc>
      </w:tr>
      <w:tr w:rsidR="002940F3" w:rsidTr="3AE65F12"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2940F3" w14:paraId="2A7D54BB" w14:textId="04774D67">
            <w:pPr>
              <w:pStyle w:val="TableRow"/>
              <w:spacing w:before="0" w:after="0"/>
              <w:ind w:left="0" w:right="0"/>
              <w:jc w:val="both"/>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2940F3" w14:paraId="2A7D54BC" w14:textId="4D59C6FA">
            <w:pPr>
              <w:pStyle w:val="TableRow"/>
              <w:spacing w:before="0" w:after="0"/>
              <w:ind w:left="0" w:right="0"/>
              <w:jc w:val="both"/>
            </w:pPr>
          </w:p>
        </w:tc>
      </w:tr>
      <w:tr w:rsidR="002940F3" w:rsidTr="3AE65F12"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2940F3" w14:paraId="2A7D54BE" w14:textId="1F0E979E">
            <w:pPr>
              <w:pStyle w:val="TableRow"/>
              <w:spacing w:before="0" w:after="0"/>
              <w:ind w:left="0" w:right="0"/>
              <w:jc w:val="both"/>
            </w:pPr>
            <w:r>
              <w:fldChar w:fldCharType="begin"/>
            </w:r>
            <w:r>
              <w:instrText xml:space="preserve"> PAGE </w:instrText>
            </w:r>
            <w:r>
              <w:fldChar w:fldCharType="separate"/>
            </w:r>
            <w:r w:rsidR="3AE65F12">
              <w:t>9</w:t>
            </w:r>
            <w:r>
              <w:fldChar w:fldCharType="end"/>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F22049" w14:paraId="2125E7A2" w14:textId="77777777">
            <w:pPr>
              <w:pStyle w:val="TableRow"/>
              <w:spacing w:before="0" w:after="0"/>
              <w:ind w:left="0" w:right="0"/>
              <w:jc w:val="both"/>
            </w:pPr>
            <w:r>
              <w:t>25/26</w:t>
            </w:r>
          </w:p>
          <w:p w:rsidR="00F22049" w:rsidP="00EE5679" w:rsidRDefault="00F22049" w14:paraId="6DDBC44E" w14:textId="77777777">
            <w:pPr>
              <w:pStyle w:val="TableRow"/>
              <w:spacing w:before="0" w:after="0"/>
              <w:ind w:left="0" w:right="0"/>
              <w:jc w:val="both"/>
            </w:pPr>
            <w:r>
              <w:t>26/27</w:t>
            </w:r>
          </w:p>
          <w:p w:rsidR="00F22049" w:rsidP="00EE5679" w:rsidRDefault="00F22049" w14:paraId="2A7D54BF" w14:textId="5D2AF772">
            <w:pPr>
              <w:pStyle w:val="TableRow"/>
              <w:spacing w:before="0" w:after="0"/>
              <w:ind w:left="0" w:right="0"/>
              <w:jc w:val="both"/>
            </w:pPr>
            <w:r>
              <w:t>28/29</w:t>
            </w:r>
          </w:p>
        </w:tc>
      </w:tr>
      <w:tr w:rsidR="002940F3" w:rsidTr="3AE65F12"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2940F3" w14:paraId="2A7D54C1" w14:textId="0F472705">
            <w:pPr>
              <w:pStyle w:val="TableRow"/>
              <w:spacing w:before="0" w:after="0"/>
              <w:ind w:left="0" w:right="0"/>
              <w:jc w:val="both"/>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F22049" w14:paraId="2A7D54C2" w14:textId="4F3C6852">
            <w:pPr>
              <w:pStyle w:val="TableRow"/>
              <w:spacing w:before="0" w:after="0"/>
              <w:ind w:left="0" w:right="0"/>
              <w:jc w:val="both"/>
            </w:pPr>
            <w:r>
              <w:t>October 2025</w:t>
            </w:r>
          </w:p>
        </w:tc>
      </w:tr>
      <w:tr w:rsidR="002940F3" w:rsidTr="3AE65F12"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2940F3" w14:paraId="2A7D54C4" w14:textId="0C766347">
            <w:pPr>
              <w:pStyle w:val="TableRow"/>
              <w:spacing w:before="0" w:after="0"/>
              <w:ind w:left="0" w:right="0"/>
              <w:jc w:val="both"/>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F22049" w14:paraId="2A7D54C5" w14:textId="6B32FFF2">
            <w:pPr>
              <w:pStyle w:val="TableRow"/>
              <w:spacing w:before="0" w:after="0"/>
              <w:ind w:left="0" w:right="0"/>
              <w:jc w:val="both"/>
            </w:pPr>
            <w:r>
              <w:t>September 2026</w:t>
            </w:r>
          </w:p>
        </w:tc>
      </w:tr>
      <w:tr w:rsidR="002940F3" w:rsidTr="3AE65F12"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2940F3" w14:paraId="2A7D54C7" w14:textId="7605248E">
            <w:pPr>
              <w:pStyle w:val="TableRow"/>
              <w:spacing w:before="0" w:after="0"/>
              <w:ind w:left="0" w:right="0"/>
              <w:jc w:val="both"/>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F22049" w14:paraId="2A7D54C8" w14:textId="015446B1">
            <w:pPr>
              <w:pStyle w:val="TableRow"/>
              <w:spacing w:before="0" w:after="0"/>
              <w:ind w:left="0" w:right="0"/>
              <w:jc w:val="both"/>
            </w:pPr>
            <w:r>
              <w:t>Melanie Kane</w:t>
            </w:r>
          </w:p>
        </w:tc>
      </w:tr>
      <w:tr w:rsidR="002940F3" w:rsidTr="3AE65F12"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2940F3" w14:paraId="2A7D54CA" w14:textId="5DC091D2">
            <w:pPr>
              <w:pStyle w:val="TableRow"/>
              <w:spacing w:before="0" w:after="0"/>
              <w:ind w:left="0" w:right="0"/>
              <w:jc w:val="both"/>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F22049" w14:paraId="2A7D54CB" w14:textId="614F7037">
            <w:pPr>
              <w:pStyle w:val="TableRow"/>
              <w:spacing w:before="0" w:after="0"/>
              <w:ind w:left="0" w:right="0"/>
              <w:jc w:val="both"/>
            </w:pPr>
            <w:r>
              <w:t>Melanie Kane</w:t>
            </w:r>
          </w:p>
        </w:tc>
      </w:tr>
      <w:tr w:rsidR="002940F3" w:rsidTr="3AE65F12"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2940F3" w14:paraId="2A7D54CD" w14:textId="08FA5419">
            <w:pPr>
              <w:pStyle w:val="TableRow"/>
              <w:spacing w:before="0" w:after="0"/>
              <w:ind w:left="0" w:right="0"/>
              <w:jc w:val="both"/>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940F3" w:rsidP="00EE5679" w:rsidRDefault="00F22049" w14:paraId="2A7D54CE" w14:textId="16D7E41D">
            <w:pPr>
              <w:pStyle w:val="TableRow"/>
              <w:spacing w:before="0" w:after="0"/>
              <w:ind w:left="0" w:right="0"/>
              <w:jc w:val="both"/>
            </w:pPr>
            <w:r>
              <w:t>Lisa Thom</w:t>
            </w:r>
          </w:p>
        </w:tc>
      </w:tr>
    </w:tbl>
    <w:bookmarkEnd w:id="2"/>
    <w:bookmarkEnd w:id="3"/>
    <w:bookmarkEnd w:id="4"/>
    <w:p w:rsidRPr="005464A1" w:rsidR="00E66558" w:rsidP="00EE5679" w:rsidRDefault="009D71E8" w14:paraId="2A7D54D3" w14:textId="77777777">
      <w:pPr>
        <w:pStyle w:val="Heading2"/>
        <w:spacing w:before="0" w:after="0"/>
        <w:jc w:val="both"/>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00D004C2"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EE5679" w:rsidRDefault="009D71E8" w14:paraId="2A7D54D4" w14:textId="77777777">
            <w:pPr>
              <w:pStyle w:val="TableRow"/>
              <w:spacing w:before="0" w:after="0"/>
              <w:ind w:left="0" w:right="0"/>
              <w:jc w:val="both"/>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EE5679" w:rsidRDefault="009D71E8" w14:paraId="2A7D54D5" w14:textId="77777777">
            <w:pPr>
              <w:pStyle w:val="TableRow"/>
              <w:spacing w:before="0" w:after="0"/>
              <w:ind w:left="0" w:right="0"/>
              <w:jc w:val="both"/>
            </w:pPr>
            <w:r>
              <w:rPr>
                <w:b/>
              </w:rPr>
              <w:t>Amount</w:t>
            </w:r>
          </w:p>
        </w:tc>
      </w:tr>
      <w:tr w:rsidR="00E66558" w:rsidTr="00D004C2"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E66558" w:rsidP="00EE5679" w:rsidRDefault="009D71E8" w14:paraId="2A7D54D7" w14:textId="77777777">
            <w:pPr>
              <w:pStyle w:val="TableRow"/>
              <w:spacing w:before="0" w:after="0"/>
              <w:ind w:left="0" w:right="0"/>
              <w:jc w:val="both"/>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009D71E8" w14:paraId="2A7D54D8" w14:textId="410D189D">
            <w:pPr>
              <w:pStyle w:val="TableRow"/>
              <w:spacing w:before="0" w:after="0"/>
              <w:ind w:left="0" w:right="0"/>
              <w:jc w:val="both"/>
            </w:pPr>
            <w:r>
              <w:t>£</w:t>
            </w:r>
            <w:r w:rsidR="006F674D">
              <w:t>252,767</w:t>
            </w:r>
          </w:p>
        </w:tc>
      </w:tr>
      <w:tr w:rsidR="00E66558" w:rsidTr="00D004C2"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F16B6" w:rsidR="007109F6" w:rsidP="00EE5679" w:rsidRDefault="009D71E8" w14:paraId="2A7D54DD" w14:textId="74690F68">
            <w:pPr>
              <w:pStyle w:val="TableRow"/>
              <w:spacing w:before="0" w:after="0"/>
              <w:ind w:left="0" w:right="0"/>
              <w:jc w:val="both"/>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009D71E8" w14:paraId="2A7D54DE" w14:textId="638E392E">
            <w:pPr>
              <w:pStyle w:val="TableRow"/>
              <w:spacing w:before="0" w:after="0"/>
              <w:ind w:left="0" w:right="0"/>
              <w:jc w:val="both"/>
            </w:pPr>
            <w:r>
              <w:t>£</w:t>
            </w:r>
            <w:r w:rsidR="245D0940">
              <w:t>0</w:t>
            </w:r>
          </w:p>
        </w:tc>
      </w:tr>
      <w:tr w:rsidR="00E66558" w:rsidTr="00D004C2"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009D71E8" w14:paraId="2A7D54E0" w14:textId="77777777">
            <w:pPr>
              <w:pStyle w:val="TableRow"/>
              <w:spacing w:before="0" w:after="0"/>
              <w:ind w:left="0" w:right="0"/>
              <w:jc w:val="both"/>
              <w:rPr>
                <w:b/>
              </w:rPr>
            </w:pPr>
            <w:r>
              <w:rPr>
                <w:b/>
              </w:rPr>
              <w:t>Total budget for this academic year</w:t>
            </w:r>
          </w:p>
          <w:p w:rsidRPr="003C4388" w:rsidR="00E66558" w:rsidP="00EE5679" w:rsidRDefault="009D71E8" w14:paraId="2A7D54E1" w14:textId="77777777">
            <w:pPr>
              <w:pStyle w:val="TableRow"/>
              <w:spacing w:before="0" w:after="0"/>
              <w:ind w:left="0" w:right="0"/>
              <w:jc w:val="both"/>
              <w:rPr>
                <w:i/>
                <w:iCs/>
              </w:rPr>
            </w:pPr>
            <w:r w:rsidRPr="003C4388">
              <w:rPr>
                <w:i/>
                <w:iCs/>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009D71E8" w14:paraId="2A7D54E2" w14:textId="77777777">
            <w:pPr>
              <w:pStyle w:val="TableRow"/>
              <w:spacing w:before="0" w:after="0"/>
              <w:ind w:left="0" w:right="0"/>
              <w:jc w:val="both"/>
            </w:pPr>
            <w:r>
              <w:t>£</w:t>
            </w:r>
          </w:p>
        </w:tc>
      </w:tr>
    </w:tbl>
    <w:p w:rsidR="00E66558" w:rsidP="00EE5679" w:rsidRDefault="009D71E8" w14:paraId="2A7D54E5" w14:textId="7629526F">
      <w:pPr>
        <w:pStyle w:val="Heading1"/>
        <w:spacing w:after="0"/>
        <w:jc w:val="both"/>
      </w:pPr>
      <w:r>
        <w:lastRenderedPageBreak/>
        <w:t>Part A: Pupil premium strategy pla</w:t>
      </w:r>
      <w:r w:rsidR="009B0581">
        <w:t>n</w:t>
      </w:r>
      <w:r w:rsidR="107D48A3">
        <w:t xml:space="preserve">                  </w:t>
      </w:r>
      <w:bookmarkStart w:name="_Toc357771640" w:id="16"/>
      <w:bookmarkStart w:name="_Toc346793418" w:id="17"/>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434887CA"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A426E" w:rsidR="00E66558" w:rsidP="00EE5679" w:rsidRDefault="1F4764C0" w14:paraId="3B5F38F2" w14:textId="38F55C14">
            <w:pPr>
              <w:spacing w:after="0"/>
              <w:jc w:val="both"/>
              <w:rPr>
                <w:rFonts w:eastAsiaTheme="minorEastAsia"/>
                <w:b/>
                <w:bCs/>
                <w:sz w:val="20"/>
                <w:szCs w:val="20"/>
              </w:rPr>
            </w:pPr>
            <w:r w:rsidRPr="00CA426E">
              <w:rPr>
                <w:rFonts w:eastAsiaTheme="minorEastAsia"/>
                <w:b/>
                <w:bCs/>
                <w:sz w:val="20"/>
                <w:szCs w:val="20"/>
                <w:lang w:val="en-US"/>
              </w:rPr>
              <w:t>Life to the Full’ John 10.10</w:t>
            </w:r>
          </w:p>
          <w:p w:rsidRPr="00B37505" w:rsidR="00E66558" w:rsidP="00EE5679" w:rsidRDefault="1F4764C0" w14:paraId="2E6A2DBC" w14:textId="7C545E14">
            <w:pPr>
              <w:spacing w:after="0"/>
              <w:jc w:val="both"/>
              <w:rPr>
                <w:rFonts w:eastAsiaTheme="minorEastAsia"/>
                <w:b/>
                <w:bCs/>
                <w:sz w:val="20"/>
                <w:szCs w:val="20"/>
              </w:rPr>
            </w:pPr>
            <w:r w:rsidRPr="00B37505">
              <w:rPr>
                <w:rFonts w:eastAsiaTheme="minorEastAsia"/>
                <w:b/>
                <w:bCs/>
                <w:sz w:val="20"/>
                <w:szCs w:val="20"/>
                <w:lang w:val="en-US"/>
              </w:rPr>
              <w:t>Strategic Commitment: Disadvantage Comes First</w:t>
            </w:r>
          </w:p>
          <w:p w:rsidR="00E66558" w:rsidP="00EE5679" w:rsidRDefault="1F4764C0" w14:paraId="6C7B1779" w14:textId="3CF97442">
            <w:pPr>
              <w:spacing w:after="0"/>
              <w:jc w:val="both"/>
              <w:rPr>
                <w:rFonts w:eastAsiaTheme="minorEastAsia"/>
                <w:sz w:val="20"/>
                <w:szCs w:val="20"/>
                <w:lang w:val="en-US"/>
              </w:rPr>
            </w:pPr>
            <w:r w:rsidRPr="00091270">
              <w:rPr>
                <w:rFonts w:eastAsiaTheme="minorEastAsia"/>
                <w:sz w:val="20"/>
                <w:szCs w:val="20"/>
                <w:lang w:val="en-US"/>
              </w:rPr>
              <w:t>At Carmel College, we place disadvantaged students at the heart of every decision. Our mission is to ensure they accumulate advantage</w:t>
            </w:r>
            <w:r w:rsidRPr="65CE040F" w:rsidR="7174F023">
              <w:rPr>
                <w:rFonts w:eastAsiaTheme="minorEastAsia"/>
                <w:sz w:val="20"/>
                <w:szCs w:val="20"/>
                <w:lang w:val="en-US"/>
              </w:rPr>
              <w:t xml:space="preserve"> </w:t>
            </w:r>
            <w:r w:rsidRPr="00091270">
              <w:rPr>
                <w:rFonts w:eastAsiaTheme="minorEastAsia"/>
                <w:sz w:val="20"/>
                <w:szCs w:val="20"/>
                <w:lang w:val="en-US"/>
              </w:rPr>
              <w:t>—gaining the personal resources, confidence, and access needed to fully participate in the additional opportunities we prioritise for them.</w:t>
            </w:r>
            <w:r w:rsidR="00B37505">
              <w:rPr>
                <w:rFonts w:eastAsiaTheme="minorEastAsia"/>
                <w:sz w:val="20"/>
                <w:szCs w:val="20"/>
                <w:lang w:val="en-US"/>
              </w:rPr>
              <w:t xml:space="preserve"> </w:t>
            </w:r>
            <w:r w:rsidRPr="00091270">
              <w:rPr>
                <w:rFonts w:eastAsiaTheme="minorEastAsia"/>
                <w:sz w:val="20"/>
                <w:szCs w:val="20"/>
                <w:lang w:val="en-US"/>
              </w:rPr>
              <w:t>This philosophy is embedded across our provision, aligned with Maslow’s Hierarchy of Needs, ensuring that every student’s journey is supported from foundational wellbeing to aspirational achievement.</w:t>
            </w:r>
          </w:p>
          <w:p w:rsidRPr="00091270" w:rsidR="00A75821" w:rsidP="00EE5679" w:rsidRDefault="00A75821" w14:paraId="18359BDA" w14:textId="5BA8B277">
            <w:pPr>
              <w:spacing w:after="0"/>
              <w:jc w:val="both"/>
              <w:rPr>
                <w:rFonts w:eastAsiaTheme="minorEastAsia"/>
                <w:sz w:val="20"/>
                <w:szCs w:val="20"/>
              </w:rPr>
            </w:pPr>
            <w:r>
              <w:rPr>
                <w:noProof/>
              </w:rPr>
              <w:drawing>
                <wp:inline distT="0" distB="0" distL="0" distR="0" wp14:anchorId="71D368E0" wp14:editId="566B5DEC">
                  <wp:extent cx="5181600" cy="2895600"/>
                  <wp:effectExtent l="0" t="0" r="0" b="0"/>
                  <wp:docPr id="628163323" name="drawing"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83114" name=""/>
                          <pic:cNvPicPr/>
                        </pic:nvPicPr>
                        <pic:blipFill>
                          <a:blip r:embed="rId14">
                            <a:extLst>
                              <a:ext uri="{28A0092B-C50C-407E-A947-70E740481C1C}">
                                <a14:useLocalDpi xmlns:a14="http://schemas.microsoft.com/office/drawing/2010/main" val="0"/>
                              </a:ext>
                            </a:extLst>
                          </a:blip>
                          <a:stretch>
                            <a:fillRect/>
                          </a:stretch>
                        </pic:blipFill>
                        <pic:spPr>
                          <a:xfrm>
                            <a:off x="0" y="0"/>
                            <a:ext cx="5181600" cy="2895600"/>
                          </a:xfrm>
                          <a:prstGeom prst="rect">
                            <a:avLst/>
                          </a:prstGeom>
                        </pic:spPr>
                      </pic:pic>
                    </a:graphicData>
                  </a:graphic>
                </wp:inline>
              </w:drawing>
            </w:r>
          </w:p>
          <w:p w:rsidRPr="00740465" w:rsidR="00740465" w:rsidP="00EE5679" w:rsidRDefault="00740465" w14:paraId="787427EA" w14:textId="674F6D50">
            <w:pPr>
              <w:spacing w:after="0"/>
              <w:jc w:val="both"/>
              <w:rPr>
                <w:rFonts w:eastAsiaTheme="minorEastAsia"/>
                <w:b/>
                <w:bCs/>
                <w:sz w:val="20"/>
                <w:szCs w:val="20"/>
                <w:lang w:val="en-US"/>
              </w:rPr>
            </w:pPr>
            <w:r w:rsidRPr="00740465">
              <w:rPr>
                <w:rFonts w:eastAsiaTheme="minorEastAsia"/>
                <w:b/>
                <w:bCs/>
                <w:sz w:val="20"/>
                <w:szCs w:val="20"/>
                <w:lang w:val="en-US"/>
              </w:rPr>
              <w:t>Strategic Objectives for Disadvantaged Pupils</w:t>
            </w:r>
            <w:r w:rsidR="00DA2A02">
              <w:rPr>
                <w:rFonts w:eastAsiaTheme="minorEastAsia"/>
                <w:b/>
                <w:bCs/>
                <w:sz w:val="20"/>
                <w:szCs w:val="20"/>
                <w:lang w:val="en-US"/>
              </w:rPr>
              <w:t xml:space="preserve">. </w:t>
            </w:r>
            <w:r w:rsidRPr="00740465">
              <w:rPr>
                <w:rFonts w:eastAsiaTheme="minorEastAsia"/>
                <w:b/>
                <w:bCs/>
                <w:sz w:val="20"/>
                <w:szCs w:val="20"/>
                <w:lang w:val="en-US"/>
              </w:rPr>
              <w:t>We aim to:</w:t>
            </w:r>
          </w:p>
          <w:p w:rsidRPr="00091270" w:rsidR="00740465" w:rsidP="00EE5679" w:rsidRDefault="00740465" w14:paraId="1B2C413C" w14:textId="77777777">
            <w:pPr>
              <w:spacing w:after="0"/>
              <w:jc w:val="both"/>
              <w:rPr>
                <w:rFonts w:eastAsiaTheme="minorEastAsia"/>
                <w:sz w:val="20"/>
                <w:szCs w:val="20"/>
              </w:rPr>
            </w:pPr>
            <w:r w:rsidRPr="00740465">
              <w:rPr>
                <w:rFonts w:eastAsiaTheme="minorEastAsia"/>
                <w:b/>
                <w:bCs/>
                <w:sz w:val="20"/>
                <w:szCs w:val="20"/>
              </w:rPr>
              <w:t>Equity and Inclusion</w:t>
            </w:r>
            <w:r>
              <w:rPr>
                <w:rFonts w:eastAsiaTheme="minorEastAsia"/>
                <w:sz w:val="20"/>
                <w:szCs w:val="20"/>
              </w:rPr>
              <w:t xml:space="preserve">: </w:t>
            </w:r>
            <w:r w:rsidRPr="00091270">
              <w:rPr>
                <w:rFonts w:eastAsiaTheme="minorEastAsia"/>
                <w:sz w:val="20"/>
                <w:szCs w:val="20"/>
              </w:rPr>
              <w:t>Embed the principles of the Darlington Inclusion Charter—Presence, Engagement, Achievement, and Belonging—into all aspects of provision for disadvantaged students.</w:t>
            </w:r>
          </w:p>
          <w:p w:rsidRPr="00091270" w:rsidR="00740465" w:rsidP="00EE5679" w:rsidRDefault="00740465" w14:paraId="0BCF4CC7" w14:textId="5F465578">
            <w:pPr>
              <w:spacing w:after="0"/>
              <w:jc w:val="both"/>
              <w:rPr>
                <w:rFonts w:eastAsiaTheme="minorEastAsia"/>
                <w:sz w:val="20"/>
                <w:szCs w:val="20"/>
              </w:rPr>
            </w:pPr>
            <w:r w:rsidRPr="00740465">
              <w:rPr>
                <w:rFonts w:eastAsiaTheme="minorEastAsia"/>
                <w:b/>
                <w:bCs/>
                <w:sz w:val="20"/>
                <w:szCs w:val="20"/>
              </w:rPr>
              <w:t>Quality First Teaching</w:t>
            </w:r>
            <w:r>
              <w:rPr>
                <w:rFonts w:eastAsiaTheme="minorEastAsia"/>
                <w:sz w:val="20"/>
                <w:szCs w:val="20"/>
              </w:rPr>
              <w:t xml:space="preserve">: </w:t>
            </w:r>
            <w:r w:rsidRPr="00091270">
              <w:rPr>
                <w:rFonts w:eastAsiaTheme="minorEastAsia"/>
                <w:sz w:val="20"/>
                <w:szCs w:val="20"/>
              </w:rPr>
              <w:t>Ensure consistently high-quality, tailored teaching that meets individual learning needs and closes attainment gaps.</w:t>
            </w:r>
          </w:p>
          <w:p w:rsidRPr="00091270" w:rsidR="00740465" w:rsidP="00EE5679" w:rsidRDefault="00740465" w14:paraId="2AC127B1" w14:textId="2A75809F">
            <w:pPr>
              <w:spacing w:after="0"/>
              <w:jc w:val="both"/>
              <w:rPr>
                <w:rFonts w:eastAsiaTheme="minorEastAsia"/>
                <w:sz w:val="20"/>
                <w:szCs w:val="20"/>
              </w:rPr>
            </w:pPr>
            <w:r w:rsidRPr="00740465">
              <w:rPr>
                <w:rFonts w:eastAsiaTheme="minorEastAsia"/>
                <w:b/>
                <w:bCs/>
                <w:sz w:val="20"/>
                <w:szCs w:val="20"/>
              </w:rPr>
              <w:t>Targeted Academic and Pastoral Support</w:t>
            </w:r>
            <w:r>
              <w:rPr>
                <w:rFonts w:eastAsiaTheme="minorEastAsia"/>
                <w:sz w:val="20"/>
                <w:szCs w:val="20"/>
              </w:rPr>
              <w:t xml:space="preserve">: </w:t>
            </w:r>
            <w:r w:rsidRPr="00091270">
              <w:rPr>
                <w:rFonts w:eastAsiaTheme="minorEastAsia"/>
                <w:sz w:val="20"/>
                <w:szCs w:val="20"/>
              </w:rPr>
              <w:t>Prioritise personalised interventions including mentoring, feedback, seating plans, and leadership opportunities to support both academic and emotional development.</w:t>
            </w:r>
          </w:p>
          <w:p w:rsidRPr="00091270" w:rsidR="00740465" w:rsidP="00EE5679" w:rsidRDefault="00740465" w14:paraId="4F1C6A05" w14:textId="707D2C01">
            <w:pPr>
              <w:spacing w:after="0"/>
              <w:jc w:val="both"/>
              <w:rPr>
                <w:rFonts w:eastAsiaTheme="minorEastAsia"/>
                <w:sz w:val="20"/>
                <w:szCs w:val="20"/>
              </w:rPr>
            </w:pPr>
            <w:r w:rsidRPr="00091270">
              <w:rPr>
                <w:rFonts w:eastAsiaTheme="minorEastAsia"/>
                <w:sz w:val="20"/>
                <w:szCs w:val="20"/>
              </w:rPr>
              <w:t xml:space="preserve"> </w:t>
            </w:r>
            <w:r w:rsidRPr="00740465">
              <w:rPr>
                <w:rFonts w:eastAsiaTheme="minorEastAsia"/>
                <w:b/>
                <w:bCs/>
                <w:sz w:val="20"/>
                <w:szCs w:val="20"/>
              </w:rPr>
              <w:t>Curriculum Access and Literacy Development</w:t>
            </w:r>
            <w:r w:rsidRPr="04493004">
              <w:rPr>
                <w:rFonts w:eastAsiaTheme="minorEastAsia"/>
                <w:sz w:val="20"/>
                <w:szCs w:val="20"/>
              </w:rPr>
              <w:t>:</w:t>
            </w:r>
            <w:r w:rsidRPr="04493004" w:rsidR="1FF2404C">
              <w:rPr>
                <w:rFonts w:eastAsiaTheme="minorEastAsia"/>
                <w:sz w:val="20"/>
                <w:szCs w:val="20"/>
              </w:rPr>
              <w:t xml:space="preserve"> </w:t>
            </w:r>
            <w:r w:rsidRPr="00091270">
              <w:rPr>
                <w:rFonts w:eastAsiaTheme="minorEastAsia"/>
                <w:sz w:val="20"/>
                <w:szCs w:val="20"/>
              </w:rPr>
              <w:t>Deliver a robust curriculum with tailored literacy and reading pathways to raise attainment above national averages for disadvantaged students.</w:t>
            </w:r>
          </w:p>
          <w:p w:rsidRPr="00091270" w:rsidR="00740465" w:rsidP="00EE5679" w:rsidRDefault="00740465" w14:paraId="101C2EEA" w14:textId="57516485">
            <w:pPr>
              <w:spacing w:after="0"/>
              <w:jc w:val="both"/>
              <w:rPr>
                <w:rFonts w:eastAsiaTheme="minorEastAsia"/>
                <w:sz w:val="20"/>
                <w:szCs w:val="20"/>
              </w:rPr>
            </w:pPr>
            <w:r w:rsidRPr="00091270">
              <w:rPr>
                <w:rFonts w:eastAsiaTheme="minorEastAsia"/>
                <w:sz w:val="20"/>
                <w:szCs w:val="20"/>
              </w:rPr>
              <w:t xml:space="preserve"> </w:t>
            </w:r>
            <w:r w:rsidRPr="00740465">
              <w:rPr>
                <w:rFonts w:eastAsiaTheme="minorEastAsia"/>
                <w:b/>
                <w:bCs/>
                <w:sz w:val="20"/>
                <w:szCs w:val="20"/>
              </w:rPr>
              <w:t>Attendance and Engagement</w:t>
            </w:r>
            <w:r>
              <w:rPr>
                <w:rFonts w:eastAsiaTheme="minorEastAsia"/>
                <w:sz w:val="20"/>
                <w:szCs w:val="20"/>
              </w:rPr>
              <w:t xml:space="preserve">: </w:t>
            </w:r>
            <w:r w:rsidRPr="00091270">
              <w:rPr>
                <w:rFonts w:eastAsiaTheme="minorEastAsia"/>
                <w:sz w:val="20"/>
                <w:szCs w:val="20"/>
              </w:rPr>
              <w:t>Implement relentless attendance support through daily monitoring, mentoring, and family engagement to improve presence, participation, achievement and belonging</w:t>
            </w:r>
          </w:p>
          <w:p w:rsidRPr="00091270" w:rsidR="00740465" w:rsidP="00EE5679" w:rsidRDefault="00740465" w14:paraId="24408C78" w14:textId="0D1EA616">
            <w:pPr>
              <w:spacing w:after="0"/>
              <w:jc w:val="both"/>
              <w:rPr>
                <w:rFonts w:eastAsiaTheme="minorEastAsia"/>
                <w:sz w:val="20"/>
                <w:szCs w:val="20"/>
              </w:rPr>
            </w:pPr>
            <w:r w:rsidRPr="00740465">
              <w:rPr>
                <w:rFonts w:eastAsiaTheme="minorEastAsia"/>
                <w:b/>
                <w:bCs/>
                <w:sz w:val="20"/>
                <w:szCs w:val="20"/>
              </w:rPr>
              <w:t>Cultural Capital and Enrichment</w:t>
            </w:r>
            <w:r>
              <w:rPr>
                <w:rFonts w:eastAsiaTheme="minorEastAsia"/>
                <w:b/>
                <w:bCs/>
                <w:sz w:val="20"/>
                <w:szCs w:val="20"/>
              </w:rPr>
              <w:t xml:space="preserve">: </w:t>
            </w:r>
            <w:r w:rsidRPr="00091270">
              <w:rPr>
                <w:rFonts w:eastAsiaTheme="minorEastAsia"/>
                <w:sz w:val="20"/>
                <w:szCs w:val="20"/>
              </w:rPr>
              <w:t>Remove barriers to opportunity by offering a broad enrichment programme and careers support that fosters confidence, identity, and future success.</w:t>
            </w:r>
          </w:p>
          <w:p w:rsidRPr="00091270" w:rsidR="00740465" w:rsidP="00EE5679" w:rsidRDefault="00740465" w14:paraId="5B5999AE" w14:textId="29DDE243">
            <w:pPr>
              <w:spacing w:after="0"/>
              <w:jc w:val="both"/>
              <w:rPr>
                <w:rFonts w:eastAsiaTheme="minorEastAsia"/>
                <w:sz w:val="20"/>
                <w:szCs w:val="20"/>
              </w:rPr>
            </w:pPr>
            <w:r w:rsidRPr="00740465">
              <w:rPr>
                <w:rFonts w:eastAsiaTheme="minorEastAsia"/>
                <w:b/>
                <w:bCs/>
                <w:sz w:val="20"/>
                <w:szCs w:val="20"/>
              </w:rPr>
              <w:t>Data-Driven Monitoring</w:t>
            </w:r>
            <w:r>
              <w:rPr>
                <w:rFonts w:eastAsiaTheme="minorEastAsia"/>
                <w:sz w:val="20"/>
                <w:szCs w:val="20"/>
              </w:rPr>
              <w:t xml:space="preserve">: </w:t>
            </w:r>
            <w:r w:rsidRPr="00091270">
              <w:rPr>
                <w:rFonts w:eastAsiaTheme="minorEastAsia"/>
                <w:sz w:val="20"/>
                <w:szCs w:val="20"/>
              </w:rPr>
              <w:t>Use robust data analysis to track progress, behaviour, safeguarding, and engagement, ensuring responsive and effective provision.</w:t>
            </w:r>
          </w:p>
          <w:p w:rsidRPr="00A75821" w:rsidR="00E66558" w:rsidP="00EE5679" w:rsidRDefault="1F4764C0" w14:paraId="3173BEAF" w14:textId="101390AE">
            <w:pPr>
              <w:spacing w:after="0"/>
              <w:jc w:val="both"/>
              <w:rPr>
                <w:rFonts w:eastAsiaTheme="minorEastAsia"/>
                <w:b/>
                <w:bCs/>
                <w:sz w:val="20"/>
                <w:szCs w:val="20"/>
              </w:rPr>
            </w:pPr>
            <w:r w:rsidRPr="00A75821">
              <w:rPr>
                <w:rFonts w:eastAsiaTheme="minorEastAsia"/>
                <w:b/>
                <w:bCs/>
                <w:sz w:val="20"/>
                <w:szCs w:val="20"/>
                <w:lang w:val="en-US"/>
              </w:rPr>
              <w:t>Quality First Teaching and Strategy</w:t>
            </w:r>
          </w:p>
          <w:p w:rsidRPr="00091270" w:rsidR="00E66558" w:rsidP="00EE5679" w:rsidRDefault="1F4764C0" w14:paraId="4975353C" w14:textId="7C1ED7E2">
            <w:pPr>
              <w:spacing w:after="0"/>
              <w:jc w:val="both"/>
              <w:rPr>
                <w:rFonts w:eastAsiaTheme="minorEastAsia"/>
                <w:sz w:val="20"/>
                <w:szCs w:val="20"/>
              </w:rPr>
            </w:pPr>
            <w:r w:rsidRPr="00091270">
              <w:rPr>
                <w:rFonts w:eastAsiaTheme="minorEastAsia"/>
                <w:sz w:val="20"/>
                <w:szCs w:val="20"/>
                <w:lang w:val="en-US"/>
              </w:rPr>
              <w:t>We aim and aspire for all students to have quality first teaching which is consistently tailored to their needs and accessible for their individual learning points so that they can fulfil their potential. Carmel has a systematic approach to narrowing the gap of disadvantaged students focusing on the needs of the individual child through prioritizing their provision both pastorally and academically in a number of ways including: resources, intervention, mentoring, feedback, questioning, seating plans, trips and leadership opportunities.</w:t>
            </w:r>
          </w:p>
          <w:p w:rsidRPr="00A75821" w:rsidR="00E66558" w:rsidP="00EE5679" w:rsidRDefault="1F4764C0" w14:paraId="038158F2" w14:textId="61C4AB96">
            <w:pPr>
              <w:spacing w:after="0"/>
              <w:jc w:val="both"/>
              <w:rPr>
                <w:rFonts w:eastAsiaTheme="minorEastAsia"/>
                <w:b/>
                <w:bCs/>
                <w:sz w:val="20"/>
                <w:szCs w:val="20"/>
              </w:rPr>
            </w:pPr>
            <w:r w:rsidRPr="00A75821">
              <w:rPr>
                <w:rFonts w:eastAsiaTheme="minorEastAsia"/>
                <w:b/>
                <w:bCs/>
                <w:sz w:val="20"/>
                <w:szCs w:val="20"/>
                <w:lang w:val="en-US"/>
              </w:rPr>
              <w:lastRenderedPageBreak/>
              <w:t>Curriculum and Inclusion System</w:t>
            </w:r>
          </w:p>
          <w:p w:rsidRPr="00091270" w:rsidR="00E66558" w:rsidP="00EE5679" w:rsidRDefault="1F4764C0" w14:paraId="2B3E7CD8" w14:textId="4997A348">
            <w:pPr>
              <w:spacing w:after="0"/>
              <w:jc w:val="both"/>
              <w:rPr>
                <w:rFonts w:eastAsiaTheme="minorEastAsia"/>
                <w:sz w:val="20"/>
                <w:szCs w:val="20"/>
              </w:rPr>
            </w:pPr>
            <w:r w:rsidRPr="00091270">
              <w:rPr>
                <w:rFonts w:eastAsiaTheme="minorEastAsia"/>
                <w:sz w:val="20"/>
                <w:szCs w:val="20"/>
                <w:lang w:val="en-US"/>
              </w:rPr>
              <w:t xml:space="preserve">We have a strong curriculum design along with a nurturing, supportive pastoral and inclusion system which </w:t>
            </w:r>
            <w:r w:rsidRPr="6A8BFD7B" w:rsidR="52CA3501">
              <w:rPr>
                <w:rFonts w:eastAsiaTheme="minorEastAsia"/>
                <w:sz w:val="20"/>
                <w:szCs w:val="20"/>
                <w:lang w:val="en-US"/>
              </w:rPr>
              <w:t>allow</w:t>
            </w:r>
            <w:r w:rsidRPr="6A8BFD7B" w:rsidR="02922443">
              <w:rPr>
                <w:rFonts w:eastAsiaTheme="minorEastAsia"/>
                <w:sz w:val="20"/>
                <w:szCs w:val="20"/>
                <w:lang w:val="en-US"/>
              </w:rPr>
              <w:t>s</w:t>
            </w:r>
            <w:r w:rsidRPr="00091270">
              <w:rPr>
                <w:rFonts w:eastAsiaTheme="minorEastAsia"/>
                <w:sz w:val="20"/>
                <w:szCs w:val="20"/>
                <w:lang w:val="en-US"/>
              </w:rPr>
              <w:t xml:space="preserve"> our students to overcome potential barriers to learning and achieve regardless of ability and background. Through specific, tailored literacy and reading routes we are able to ensure levels of literacy and reading are high so that disadvantaged students aim to achieve higher than ‘others’ nationally and in line with their peers. We track and measure this through robust data analysis of outcomes such as GCSE attainment and progress, attendance, behaviour, safeguarding, engagement in wider opportunities and from choices students make at the end of KS3 and KS4. </w:t>
            </w:r>
          </w:p>
          <w:p w:rsidRPr="00A75821" w:rsidR="00E66558" w:rsidP="00EE5679" w:rsidRDefault="1F4764C0" w14:paraId="03AE1FA6" w14:textId="110C178E">
            <w:pPr>
              <w:spacing w:after="0"/>
              <w:jc w:val="both"/>
              <w:rPr>
                <w:rFonts w:eastAsiaTheme="minorEastAsia"/>
                <w:b/>
                <w:bCs/>
                <w:sz w:val="20"/>
                <w:szCs w:val="20"/>
              </w:rPr>
            </w:pPr>
            <w:r w:rsidRPr="00A75821">
              <w:rPr>
                <w:rFonts w:eastAsiaTheme="minorEastAsia"/>
                <w:b/>
                <w:bCs/>
                <w:sz w:val="20"/>
                <w:szCs w:val="20"/>
                <w:lang w:val="en-US"/>
              </w:rPr>
              <w:t>Relentless Support with Attendance</w:t>
            </w:r>
          </w:p>
          <w:p w:rsidRPr="00091270" w:rsidR="00E66558" w:rsidP="00EE5679" w:rsidRDefault="1F4764C0" w14:paraId="5C08D720" w14:textId="4ED2F536">
            <w:pPr>
              <w:spacing w:after="0"/>
              <w:jc w:val="both"/>
              <w:rPr>
                <w:rFonts w:eastAsiaTheme="minorEastAsia"/>
                <w:sz w:val="20"/>
                <w:szCs w:val="20"/>
              </w:rPr>
            </w:pPr>
            <w:r w:rsidRPr="00091270">
              <w:rPr>
                <w:rFonts w:eastAsiaTheme="minorEastAsia"/>
                <w:sz w:val="20"/>
                <w:szCs w:val="20"/>
                <w:lang w:val="en-US"/>
              </w:rPr>
              <w:t>We recognise that consistent attendance is a key driver of academic success and personal development. Our dedicated pastoral team works closely with families, pastoral staff, and external agencies to remove barriers to attendance and promote a culture of high expectations. This includes: - daily monitoring and follow-up of absences, targeted interventions and mentoring for students with persistent absence, engagement with parents and carers to foster shared responsibility and celebrating and rewarding improved attendance. This approach aligns with the Darlington Inclusion Charter’s principles of Presence and Engagement, ensuring that all students are supported to be present, involved, and successful in their learning journey</w:t>
            </w:r>
          </w:p>
          <w:p w:rsidRPr="00A75821" w:rsidR="00E66558" w:rsidP="00EE5679" w:rsidRDefault="1F4764C0" w14:paraId="642F08B8" w14:textId="10DE7137">
            <w:pPr>
              <w:spacing w:after="0"/>
              <w:jc w:val="both"/>
              <w:rPr>
                <w:rFonts w:eastAsiaTheme="minorEastAsia"/>
                <w:b/>
                <w:bCs/>
                <w:sz w:val="20"/>
                <w:szCs w:val="20"/>
              </w:rPr>
            </w:pPr>
            <w:r w:rsidRPr="00A75821">
              <w:rPr>
                <w:rFonts w:eastAsiaTheme="minorEastAsia"/>
                <w:b/>
                <w:bCs/>
                <w:sz w:val="20"/>
                <w:szCs w:val="20"/>
                <w:lang w:val="en-US"/>
              </w:rPr>
              <w:t>Support and Enrichment</w:t>
            </w:r>
          </w:p>
          <w:p w:rsidRPr="00091270" w:rsidR="00E66558" w:rsidP="00EE5679" w:rsidRDefault="1F4764C0" w14:paraId="04B87645" w14:textId="127D5727">
            <w:pPr>
              <w:spacing w:after="0"/>
              <w:jc w:val="both"/>
              <w:rPr>
                <w:rFonts w:eastAsiaTheme="minorEastAsia"/>
                <w:sz w:val="20"/>
                <w:szCs w:val="20"/>
              </w:rPr>
            </w:pPr>
            <w:r w:rsidRPr="00091270">
              <w:rPr>
                <w:rFonts w:eastAsiaTheme="minorEastAsia"/>
                <w:sz w:val="20"/>
                <w:szCs w:val="20"/>
                <w:lang w:val="en-US"/>
              </w:rPr>
              <w:t>We strive to ensure students receive the support they deserve in order to build up their cultural capital. Many young people</w:t>
            </w:r>
            <w:r w:rsidRPr="04493004" w:rsidR="4BB1E19D">
              <w:rPr>
                <w:rFonts w:eastAsiaTheme="minorEastAsia"/>
                <w:sz w:val="20"/>
                <w:szCs w:val="20"/>
                <w:lang w:val="en-US"/>
              </w:rPr>
              <w:t>,</w:t>
            </w:r>
            <w:r w:rsidRPr="00091270">
              <w:rPr>
                <w:rFonts w:eastAsiaTheme="minorEastAsia"/>
                <w:sz w:val="20"/>
                <w:szCs w:val="20"/>
                <w:lang w:val="en-US"/>
              </w:rPr>
              <w:t xml:space="preserve"> as a consequence of material disadvantage and cultural deprivation</w:t>
            </w:r>
            <w:r w:rsidRPr="04493004" w:rsidR="77073254">
              <w:rPr>
                <w:rFonts w:eastAsiaTheme="minorEastAsia"/>
                <w:sz w:val="20"/>
                <w:szCs w:val="20"/>
                <w:lang w:val="en-US"/>
              </w:rPr>
              <w:t>,</w:t>
            </w:r>
            <w:r w:rsidRPr="00091270">
              <w:rPr>
                <w:rFonts w:eastAsiaTheme="minorEastAsia"/>
                <w:sz w:val="20"/>
                <w:szCs w:val="20"/>
                <w:lang w:val="en-US"/>
              </w:rPr>
              <w:t xml:space="preserve"> face internal and external barriers and we are committed to removing those barriers. We believe it is intrinsically important that all students have opportunities to succeed in Carmel College and that they take up those skills and experiences into the wider world and succeed in their futures. We supplement the curriculum through a broad, varied and targeted enrichment programme alongside tutoring and careers support systems. These opportunities foster Belonging, helping students feel connected to their community and confident in their identity.</w:t>
            </w:r>
          </w:p>
          <w:p w:rsidRPr="00A75821" w:rsidR="00E66558" w:rsidP="00EE5679" w:rsidRDefault="1F4764C0" w14:paraId="49F42C64" w14:textId="41BD5DB5">
            <w:pPr>
              <w:spacing w:after="0"/>
              <w:jc w:val="both"/>
              <w:rPr>
                <w:rFonts w:eastAsiaTheme="minorEastAsia"/>
                <w:b/>
                <w:bCs/>
                <w:sz w:val="20"/>
                <w:szCs w:val="20"/>
              </w:rPr>
            </w:pPr>
            <w:r w:rsidRPr="00A75821">
              <w:rPr>
                <w:rFonts w:eastAsiaTheme="minorEastAsia"/>
                <w:b/>
                <w:bCs/>
                <w:sz w:val="20"/>
                <w:szCs w:val="20"/>
                <w:lang w:val="en-US"/>
              </w:rPr>
              <w:t>Ethos and Educational Philosophy</w:t>
            </w:r>
          </w:p>
          <w:p w:rsidRPr="00091270" w:rsidR="00E66558" w:rsidP="00EE5679" w:rsidRDefault="1F4764C0" w14:paraId="2692D0CD" w14:textId="3674B2ED">
            <w:pPr>
              <w:spacing w:after="0"/>
              <w:jc w:val="both"/>
              <w:rPr>
                <w:rFonts w:eastAsiaTheme="minorEastAsia"/>
                <w:sz w:val="20"/>
                <w:szCs w:val="20"/>
              </w:rPr>
            </w:pPr>
            <w:r w:rsidRPr="00091270">
              <w:rPr>
                <w:rFonts w:eastAsiaTheme="minorEastAsia"/>
                <w:sz w:val="20"/>
                <w:szCs w:val="20"/>
                <w:lang w:val="en-US"/>
              </w:rPr>
              <w:t xml:space="preserve">As Pope Francis said: ‘Educating is an act of love; it is giving life...It demands that we use the best resources, that we awaken passion and start paths of formation for young people.’ Our routines and expectations are grounded in the ‘hierarchy of needs in education’ model created by Maslow and developed by our own SLT. The model demonstrates the fundamental ways in which Carmel ensures basic needs are met first in order to reach  reach their educational potential and live ‘life to the full’. </w:t>
            </w:r>
          </w:p>
          <w:p w:rsidRPr="00AF0618" w:rsidR="00E66558" w:rsidP="00EE5679" w:rsidRDefault="1F4764C0" w14:paraId="2A7D54E9" w14:textId="526F34F6">
            <w:pPr>
              <w:spacing w:after="0"/>
              <w:jc w:val="both"/>
              <w:rPr>
                <w:i/>
                <w:iCs/>
              </w:rPr>
            </w:pPr>
            <w:r w:rsidRPr="00091270">
              <w:rPr>
                <w:rFonts w:eastAsiaTheme="minorEastAsia"/>
                <w:sz w:val="20"/>
                <w:szCs w:val="20"/>
                <w:lang w:val="en-US"/>
              </w:rPr>
              <w:t>Our ethos is informed by the teachings of Saint Francis and we are inspired by the words of Saint Francis, ‘start by doing the necessary, then the possible and suddenly you are doing the impossible.’ Thus, we optimise on the positive teacher-student relationship to empower our community to strive for the ‘impossible possible’ as we believe everyone is capable of excellence.</w:t>
            </w:r>
          </w:p>
        </w:tc>
      </w:tr>
    </w:tbl>
    <w:p w:rsidR="00E66558" w:rsidP="00EE5679" w:rsidRDefault="009D71E8" w14:paraId="2A7D54EB" w14:textId="77777777">
      <w:pPr>
        <w:pStyle w:val="Heading2"/>
        <w:spacing w:before="0" w:after="0"/>
        <w:jc w:val="both"/>
      </w:pPr>
      <w:r>
        <w:t>Challenges</w:t>
      </w:r>
    </w:p>
    <w:p w:rsidR="00E66558" w:rsidP="00EE5679" w:rsidRDefault="009D71E8" w14:paraId="2A7D54EC" w14:textId="77777777">
      <w:pPr>
        <w:spacing w:after="0"/>
        <w:jc w:val="both"/>
      </w:pPr>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9486" w:type="dxa"/>
        <w:tblCellMar>
          <w:left w:w="10" w:type="dxa"/>
          <w:right w:w="10" w:type="dxa"/>
        </w:tblCellMar>
        <w:tblLook w:val="04A0" w:firstRow="1" w:lastRow="0" w:firstColumn="1" w:lastColumn="0" w:noHBand="0" w:noVBand="1"/>
      </w:tblPr>
      <w:tblGrid>
        <w:gridCol w:w="1680"/>
        <w:gridCol w:w="7806"/>
      </w:tblGrid>
      <w:tr w:rsidR="00E66558" w:rsidTr="47894EA3" w14:paraId="2A7D54EF"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4ED" w14:textId="77777777">
            <w:pPr>
              <w:pStyle w:val="TableHeader"/>
              <w:spacing w:before="0" w:after="0"/>
              <w:ind w:left="0" w:right="0"/>
              <w:jc w:val="both"/>
            </w:pPr>
            <w:r>
              <w:t>Challenge number</w:t>
            </w:r>
          </w:p>
        </w:tc>
        <w:tc>
          <w:tcPr>
            <w:tcW w:w="78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4EE" w14:textId="77777777">
            <w:pPr>
              <w:pStyle w:val="TableHeader"/>
              <w:spacing w:before="0" w:after="0"/>
              <w:ind w:left="0" w:right="0"/>
              <w:jc w:val="both"/>
            </w:pPr>
            <w:r>
              <w:t xml:space="preserve">Detail of challenge </w:t>
            </w:r>
          </w:p>
        </w:tc>
      </w:tr>
      <w:tr w:rsidR="00E66558" w:rsidTr="47894EA3" w14:paraId="2A7D54F2" w14:textId="77777777">
        <w:trPr>
          <w:trHeight w:val="1054"/>
        </w:trPr>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cMar>
              <w:top w:w="0" w:type="dxa"/>
              <w:left w:w="108" w:type="dxa"/>
              <w:bottom w:w="0" w:type="dxa"/>
              <w:right w:w="108" w:type="dxa"/>
            </w:tcMar>
          </w:tcPr>
          <w:p w:rsidR="00E66558" w:rsidP="00EE5679" w:rsidRDefault="009D71E8" w14:paraId="2A7D54F0" w14:textId="29037095">
            <w:pPr>
              <w:pStyle w:val="TableRow"/>
              <w:spacing w:before="0" w:after="0"/>
              <w:ind w:left="0" w:right="0"/>
              <w:jc w:val="both"/>
              <w:rPr>
                <w:sz w:val="20"/>
                <w:szCs w:val="20"/>
              </w:rPr>
            </w:pPr>
            <w:r w:rsidRPr="2EE57B27">
              <w:rPr>
                <w:sz w:val="22"/>
                <w:szCs w:val="22"/>
              </w:rPr>
              <w:t>1</w:t>
            </w:r>
            <w:r w:rsidRPr="2EE57B27" w:rsidR="3BC00624">
              <w:rPr>
                <w:b/>
                <w:bCs/>
                <w:sz w:val="20"/>
                <w:szCs w:val="20"/>
              </w:rPr>
              <w:t xml:space="preserve"> Physiological &amp; Safety Needs</w:t>
            </w:r>
          </w:p>
        </w:tc>
        <w:tc>
          <w:tcPr>
            <w:tcW w:w="78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5617" w:rsidR="00E66558" w:rsidP="00EE5679" w:rsidRDefault="00575617" w14:paraId="2A7D54F1" w14:textId="15EDEAE8">
            <w:pPr>
              <w:spacing w:after="0" w:line="278" w:lineRule="auto"/>
              <w:jc w:val="both"/>
              <w:rPr>
                <w:sz w:val="20"/>
                <w:szCs w:val="20"/>
              </w:rPr>
            </w:pPr>
            <w:r w:rsidRPr="00575617">
              <w:rPr>
                <w:b/>
                <w:bCs/>
                <w:sz w:val="20"/>
                <w:szCs w:val="20"/>
              </w:rPr>
              <w:t xml:space="preserve"> </w:t>
            </w:r>
            <w:r w:rsidRPr="00501954">
              <w:rPr>
                <w:sz w:val="20"/>
                <w:szCs w:val="20"/>
              </w:rPr>
              <w:t xml:space="preserve">We </w:t>
            </w:r>
            <w:r w:rsidRPr="00575617">
              <w:rPr>
                <w:sz w:val="20"/>
                <w:szCs w:val="20"/>
              </w:rPr>
              <w:t xml:space="preserve">seek to </w:t>
            </w:r>
            <w:r w:rsidRPr="00501954">
              <w:rPr>
                <w:sz w:val="20"/>
                <w:szCs w:val="20"/>
              </w:rPr>
              <w:t xml:space="preserve">remove barriers to attendance by meeting basic needs first—through initiatives like </w:t>
            </w:r>
            <w:r w:rsidRPr="00575617">
              <w:rPr>
                <w:sz w:val="20"/>
                <w:szCs w:val="20"/>
              </w:rPr>
              <w:t>transport</w:t>
            </w:r>
            <w:r w:rsidRPr="00501954">
              <w:rPr>
                <w:sz w:val="20"/>
                <w:szCs w:val="20"/>
              </w:rPr>
              <w:t>,</w:t>
            </w:r>
            <w:r w:rsidRPr="00575617">
              <w:rPr>
                <w:sz w:val="20"/>
                <w:szCs w:val="20"/>
              </w:rPr>
              <w:t xml:space="preserve"> uniform, equipment, nutrition</w:t>
            </w:r>
            <w:r w:rsidRPr="00501954">
              <w:rPr>
                <w:sz w:val="20"/>
                <w:szCs w:val="20"/>
              </w:rPr>
              <w:t xml:space="preserve"> and </w:t>
            </w:r>
            <w:r w:rsidRPr="00575617">
              <w:rPr>
                <w:sz w:val="20"/>
                <w:szCs w:val="20"/>
              </w:rPr>
              <w:t xml:space="preserve">having a </w:t>
            </w:r>
            <w:r w:rsidRPr="00501954">
              <w:rPr>
                <w:sz w:val="20"/>
                <w:szCs w:val="20"/>
              </w:rPr>
              <w:t>safe, welcoming environment. These ensure our most vulnerable learners feel secure, cared for, and ready to engage.</w:t>
            </w:r>
          </w:p>
        </w:tc>
      </w:tr>
      <w:tr w:rsidR="00E66558" w:rsidTr="47894EA3" w14:paraId="2A7D54F5" w14:textId="77777777">
        <w:trPr>
          <w:trHeight w:val="1526"/>
        </w:trPr>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7B87"/>
            <w:tcMar>
              <w:top w:w="0" w:type="dxa"/>
              <w:left w:w="108" w:type="dxa"/>
              <w:bottom w:w="0" w:type="dxa"/>
              <w:right w:w="108" w:type="dxa"/>
            </w:tcMar>
          </w:tcPr>
          <w:p w:rsidR="00E66558" w:rsidP="00EE5679" w:rsidRDefault="009D71E8" w14:paraId="114E22EF" w14:textId="47AECEB5">
            <w:pPr>
              <w:pStyle w:val="TableRow"/>
              <w:spacing w:before="0" w:after="0"/>
              <w:ind w:left="0" w:right="0"/>
              <w:jc w:val="both"/>
              <w:rPr>
                <w:sz w:val="20"/>
                <w:szCs w:val="20"/>
              </w:rPr>
            </w:pPr>
            <w:r>
              <w:rPr>
                <w:sz w:val="22"/>
                <w:szCs w:val="22"/>
              </w:rPr>
              <w:lastRenderedPageBreak/>
              <w:t>2</w:t>
            </w:r>
            <w:r w:rsidRPr="318B7D6D" w:rsidR="63B8523C">
              <w:rPr>
                <w:b/>
                <w:bCs/>
                <w:sz w:val="20"/>
                <w:szCs w:val="20"/>
              </w:rPr>
              <w:t xml:space="preserve"> </w:t>
            </w:r>
          </w:p>
          <w:p w:rsidR="00E66558" w:rsidP="00EE5679" w:rsidRDefault="63B8523C" w14:paraId="2A7D54F3" w14:textId="0CA95FBB">
            <w:pPr>
              <w:pStyle w:val="TableRow"/>
              <w:spacing w:before="0" w:after="0"/>
              <w:ind w:left="0" w:right="0"/>
              <w:jc w:val="both"/>
              <w:rPr>
                <w:sz w:val="20"/>
                <w:szCs w:val="20"/>
              </w:rPr>
            </w:pPr>
            <w:r w:rsidRPr="318B7D6D">
              <w:rPr>
                <w:b/>
                <w:bCs/>
                <w:sz w:val="20"/>
                <w:szCs w:val="20"/>
              </w:rPr>
              <w:t>Love &amp; Belonging</w:t>
            </w:r>
          </w:p>
        </w:tc>
        <w:tc>
          <w:tcPr>
            <w:tcW w:w="78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00426C45" w14:paraId="2A7D54F4" w14:textId="52D8FFE4">
            <w:pPr>
              <w:spacing w:after="0" w:line="278" w:lineRule="auto"/>
              <w:jc w:val="both"/>
              <w:rPr>
                <w:sz w:val="20"/>
                <w:szCs w:val="20"/>
              </w:rPr>
            </w:pPr>
            <w:r>
              <w:rPr>
                <w:b/>
                <w:bCs/>
                <w:sz w:val="20"/>
                <w:szCs w:val="20"/>
              </w:rPr>
              <w:t xml:space="preserve"> </w:t>
            </w:r>
            <w:r w:rsidRPr="00597948">
              <w:rPr>
                <w:sz w:val="20"/>
                <w:szCs w:val="20"/>
              </w:rPr>
              <w:t>Disadvantaged students feel a strong sense of belonging and connection to the school community, supported by trusted relationships with staff, peers, and external agencies.</w:t>
            </w:r>
            <w:r>
              <w:rPr>
                <w:sz w:val="20"/>
                <w:szCs w:val="20"/>
              </w:rPr>
              <w:t xml:space="preserve"> </w:t>
            </w:r>
            <w:r w:rsidRPr="00597948">
              <w:rPr>
                <w:sz w:val="20"/>
                <w:szCs w:val="20"/>
              </w:rPr>
              <w:t>Parents and carers are active partners in their child’s education, and where needed, the school provides loco parentis care, ensuring every child has a stable and nurturing environment.</w:t>
            </w:r>
          </w:p>
        </w:tc>
      </w:tr>
      <w:tr w:rsidR="00E66558" w:rsidTr="47894EA3" w14:paraId="2A7D54F8"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0224B"/>
            <w:tcMar>
              <w:top w:w="0" w:type="dxa"/>
              <w:left w:w="108" w:type="dxa"/>
              <w:bottom w:w="0" w:type="dxa"/>
              <w:right w:w="108" w:type="dxa"/>
            </w:tcMar>
          </w:tcPr>
          <w:p w:rsidR="00E66558" w:rsidP="00EE5679" w:rsidRDefault="009D71E8" w14:paraId="0C834795" w14:textId="1E570515">
            <w:pPr>
              <w:pStyle w:val="TableRow"/>
              <w:spacing w:before="0" w:after="0"/>
              <w:ind w:left="0" w:right="0"/>
              <w:jc w:val="both"/>
              <w:rPr>
                <w:sz w:val="22"/>
                <w:szCs w:val="22"/>
              </w:rPr>
            </w:pPr>
            <w:r>
              <w:rPr>
                <w:sz w:val="22"/>
                <w:szCs w:val="22"/>
              </w:rPr>
              <w:t>3</w:t>
            </w:r>
            <w:r w:rsidRPr="3A6914AB" w:rsidR="1C5273F5">
              <w:rPr>
                <w:b/>
                <w:bCs/>
                <w:sz w:val="20"/>
                <w:szCs w:val="20"/>
              </w:rPr>
              <w:t xml:space="preserve"> </w:t>
            </w:r>
          </w:p>
          <w:p w:rsidR="00E66558" w:rsidP="00EE5679" w:rsidRDefault="1C5273F5" w14:paraId="2A7D54F6" w14:textId="18F7062B">
            <w:pPr>
              <w:pStyle w:val="TableRow"/>
              <w:spacing w:before="0" w:after="0"/>
              <w:ind w:left="0" w:right="0"/>
              <w:jc w:val="both"/>
              <w:rPr>
                <w:sz w:val="22"/>
                <w:szCs w:val="22"/>
              </w:rPr>
            </w:pPr>
            <w:r w:rsidRPr="3A6914AB">
              <w:rPr>
                <w:b/>
                <w:bCs/>
                <w:sz w:val="20"/>
                <w:szCs w:val="20"/>
              </w:rPr>
              <w:t>Esteem</w:t>
            </w:r>
          </w:p>
        </w:tc>
        <w:tc>
          <w:tcPr>
            <w:tcW w:w="78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94E0A" w:rsidR="00E66558" w:rsidP="00EE5679" w:rsidRDefault="003D09AA" w14:paraId="2A7D54F7" w14:textId="33370E15">
            <w:pPr>
              <w:spacing w:after="0" w:line="278" w:lineRule="auto"/>
              <w:jc w:val="both"/>
              <w:rPr>
                <w:sz w:val="20"/>
                <w:szCs w:val="20"/>
              </w:rPr>
            </w:pPr>
            <w:r w:rsidRPr="00501954">
              <w:rPr>
                <w:sz w:val="20"/>
                <w:szCs w:val="20"/>
              </w:rPr>
              <w:t xml:space="preserve">We build self-belief and resilience by creating inclusive classrooms where students are </w:t>
            </w:r>
            <w:r w:rsidRPr="003D09AA">
              <w:rPr>
                <w:sz w:val="20"/>
                <w:szCs w:val="20"/>
              </w:rPr>
              <w:t xml:space="preserve">prioritised, </w:t>
            </w:r>
            <w:r w:rsidRPr="00501954">
              <w:rPr>
                <w:sz w:val="20"/>
                <w:szCs w:val="20"/>
              </w:rPr>
              <w:t xml:space="preserve">challenged and supported. </w:t>
            </w:r>
            <w:r w:rsidRPr="003D09AA">
              <w:rPr>
                <w:sz w:val="20"/>
                <w:szCs w:val="20"/>
              </w:rPr>
              <w:t>T</w:t>
            </w:r>
            <w:r w:rsidRPr="00501954">
              <w:rPr>
                <w:sz w:val="20"/>
                <w:szCs w:val="20"/>
              </w:rPr>
              <w:t>ailored interventions help disadvantaged learners grow in confidence and independence, equipping them with the tools to navigate life and learning</w:t>
            </w:r>
            <w:r w:rsidRPr="00501954">
              <w:t>.</w:t>
            </w:r>
          </w:p>
        </w:tc>
      </w:tr>
      <w:tr w:rsidR="00E66558" w:rsidTr="47894EA3" w14:paraId="2A7D54FB"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D8DE0"/>
            <w:tcMar>
              <w:top w:w="0" w:type="dxa"/>
              <w:left w:w="108" w:type="dxa"/>
              <w:bottom w:w="0" w:type="dxa"/>
              <w:right w:w="108" w:type="dxa"/>
            </w:tcMar>
          </w:tcPr>
          <w:p w:rsidR="00E66558" w:rsidP="00EE5679" w:rsidRDefault="009D71E8" w14:paraId="6417A137" w14:textId="16773AA9">
            <w:pPr>
              <w:pStyle w:val="TableRow"/>
              <w:spacing w:before="0" w:after="0"/>
              <w:ind w:left="0" w:right="0"/>
              <w:jc w:val="both"/>
              <w:rPr>
                <w:sz w:val="22"/>
                <w:szCs w:val="22"/>
              </w:rPr>
            </w:pPr>
            <w:r>
              <w:rPr>
                <w:sz w:val="22"/>
                <w:szCs w:val="22"/>
              </w:rPr>
              <w:t>4</w:t>
            </w:r>
            <w:r w:rsidRPr="780408C8" w:rsidR="4D414395">
              <w:rPr>
                <w:sz w:val="22"/>
                <w:szCs w:val="22"/>
              </w:rPr>
              <w:t xml:space="preserve"> </w:t>
            </w:r>
          </w:p>
          <w:p w:rsidR="00E66558" w:rsidP="00EE5679" w:rsidRDefault="4D414395" w14:paraId="2A7D54F9" w14:textId="263372BC">
            <w:pPr>
              <w:pStyle w:val="TableRow"/>
              <w:spacing w:before="0" w:after="0"/>
              <w:ind w:left="0" w:right="0"/>
              <w:jc w:val="both"/>
              <w:rPr>
                <w:sz w:val="22"/>
                <w:szCs w:val="22"/>
              </w:rPr>
            </w:pPr>
            <w:r w:rsidRPr="780408C8">
              <w:rPr>
                <w:b/>
                <w:bCs/>
                <w:sz w:val="20"/>
                <w:szCs w:val="20"/>
              </w:rPr>
              <w:t>Self-Actualisation</w:t>
            </w:r>
          </w:p>
        </w:tc>
        <w:tc>
          <w:tcPr>
            <w:tcW w:w="78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F51F7" w:rsidR="00E66558" w:rsidP="00EE5679" w:rsidRDefault="00255A99" w14:paraId="2A7D54FA" w14:textId="71750BA8">
            <w:pPr>
              <w:spacing w:after="0" w:line="278" w:lineRule="auto"/>
              <w:jc w:val="both"/>
              <w:rPr>
                <w:sz w:val="20"/>
                <w:szCs w:val="20"/>
              </w:rPr>
            </w:pPr>
            <w:r w:rsidRPr="00255A99">
              <w:rPr>
                <w:sz w:val="20"/>
                <w:szCs w:val="20"/>
              </w:rPr>
              <w:t>W</w:t>
            </w:r>
            <w:r w:rsidRPr="00501954">
              <w:rPr>
                <w:sz w:val="20"/>
                <w:szCs w:val="20"/>
              </w:rPr>
              <w:t>e raise aspirations by helping students discover their strengths and plan for their futures. Through careers guidance, enrichment, and high-quality teaching, we prepare every learner to thrive in their next steps—whether in education, training, or employment</w:t>
            </w:r>
            <w:r w:rsidRPr="00501954">
              <w:t>.</w:t>
            </w:r>
          </w:p>
        </w:tc>
      </w:tr>
      <w:tr w:rsidR="00E66558" w:rsidTr="47894EA3" w14:paraId="2A7D54FE" w14:textId="77777777">
        <w:tc>
          <w:tcPr>
            <w:tcW w:w="1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7E44F2"/>
            <w:tcMar>
              <w:top w:w="0" w:type="dxa"/>
              <w:left w:w="108" w:type="dxa"/>
              <w:bottom w:w="0" w:type="dxa"/>
              <w:right w:w="108" w:type="dxa"/>
            </w:tcMar>
          </w:tcPr>
          <w:p w:rsidR="00E66558" w:rsidP="00EE5679" w:rsidRDefault="009D71E8" w14:paraId="1F66B650" w14:textId="2D8538E2">
            <w:pPr>
              <w:pStyle w:val="TableRow"/>
              <w:spacing w:before="0" w:after="0"/>
              <w:ind w:left="0" w:right="0"/>
              <w:jc w:val="both"/>
              <w:rPr>
                <w:sz w:val="22"/>
                <w:szCs w:val="22"/>
              </w:rPr>
            </w:pPr>
            <w:bookmarkStart w:name="_Toc443397160" w:id="18"/>
            <w:r>
              <w:rPr>
                <w:sz w:val="22"/>
                <w:szCs w:val="22"/>
              </w:rPr>
              <w:t>5</w:t>
            </w:r>
          </w:p>
          <w:p w:rsidR="00E66558" w:rsidP="00EE5679" w:rsidRDefault="73366745" w14:paraId="2A7D54FC" w14:textId="2F51A6F8">
            <w:pPr>
              <w:pStyle w:val="TableRow"/>
              <w:spacing w:before="0" w:after="0"/>
              <w:ind w:left="0" w:right="0"/>
              <w:jc w:val="both"/>
              <w:rPr>
                <w:b/>
                <w:sz w:val="20"/>
                <w:szCs w:val="20"/>
              </w:rPr>
            </w:pPr>
            <w:r w:rsidRPr="47894EA3">
              <w:rPr>
                <w:b/>
                <w:bCs/>
                <w:sz w:val="20"/>
                <w:szCs w:val="20"/>
              </w:rPr>
              <w:t xml:space="preserve">Life to the Full </w:t>
            </w:r>
            <w:r w:rsidRPr="47894EA3" w:rsidR="5A3EDBA8">
              <w:rPr>
                <w:b/>
                <w:bCs/>
                <w:sz w:val="20"/>
                <w:szCs w:val="20"/>
              </w:rPr>
              <w:t>&amp; Cultural Capital</w:t>
            </w:r>
          </w:p>
        </w:tc>
        <w:tc>
          <w:tcPr>
            <w:tcW w:w="78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BD4FA2" w:rsidR="00E66558" w:rsidP="00EE5679" w:rsidRDefault="00BD4FA2" w14:paraId="2A7D54FD" w14:textId="736122C1">
            <w:pPr>
              <w:pStyle w:val="TableRowCentered"/>
              <w:spacing w:before="0" w:after="0"/>
              <w:ind w:left="0" w:right="0"/>
              <w:jc w:val="both"/>
              <w:rPr>
                <w:sz w:val="20"/>
              </w:rPr>
            </w:pPr>
            <w:r w:rsidRPr="00501954">
              <w:rPr>
                <w:sz w:val="20"/>
              </w:rPr>
              <w:t>We enrich lives by expanding horizons. Disadvantaged students are prioritised for enrichment activities, cultural experiences, and leadership opportunities that build their confidence and deepen their understanding of the world. We ensure that every student has the chance to engage with the arts, heritage, and wider society—building the cultural capital that supports lifelong success.</w:t>
            </w:r>
          </w:p>
        </w:tc>
      </w:tr>
    </w:tbl>
    <w:p w:rsidR="47894EA3" w:rsidP="00EE5679" w:rsidRDefault="47894EA3" w14:paraId="419F64A3" w14:textId="749633CE">
      <w:pPr>
        <w:spacing w:after="0"/>
        <w:jc w:val="both"/>
      </w:pPr>
    </w:p>
    <w:p w:rsidR="00E66558" w:rsidP="00EE5679" w:rsidRDefault="009D71E8" w14:paraId="2A7D54FF" w14:textId="77777777">
      <w:pPr>
        <w:pStyle w:val="Heading2"/>
        <w:spacing w:before="0" w:after="0"/>
        <w:jc w:val="both"/>
      </w:pPr>
      <w:r>
        <w:t xml:space="preserve">Intended </w:t>
      </w:r>
      <w:r w:rsidRPr="00A968DA">
        <w:t>outcomes</w:t>
      </w:r>
      <w:r>
        <w:t xml:space="preserve"> </w:t>
      </w:r>
    </w:p>
    <w:p w:rsidR="00E66558" w:rsidP="00EE5679" w:rsidRDefault="009D71E8" w14:paraId="2A7D5500" w14:textId="77777777">
      <w:pPr>
        <w:spacing w:after="0"/>
        <w:jc w:val="both"/>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Style w:val="TableGrid"/>
        <w:tblW w:w="9350" w:type="dxa"/>
        <w:tblLayout w:type="fixed"/>
        <w:tblLook w:val="04A0" w:firstRow="1" w:lastRow="0" w:firstColumn="1" w:lastColumn="0" w:noHBand="0" w:noVBand="1"/>
      </w:tblPr>
      <w:tblGrid>
        <w:gridCol w:w="3251"/>
        <w:gridCol w:w="6099"/>
      </w:tblGrid>
      <w:tr w:rsidR="61B75496" w:rsidTr="000E367B" w14:paraId="36EB8341" w14:textId="77777777">
        <w:trPr>
          <w:trHeight w:val="300"/>
        </w:trPr>
        <w:tc>
          <w:tcPr>
            <w:tcW w:w="3251" w:type="dxa"/>
            <w:tcBorders>
              <w:top w:val="single" w:color="auto" w:sz="8" w:space="0"/>
              <w:left w:val="single" w:color="auto" w:sz="8" w:space="0"/>
              <w:bottom w:val="single" w:color="auto" w:sz="8" w:space="0"/>
              <w:right w:val="single" w:color="auto" w:sz="8" w:space="0"/>
            </w:tcBorders>
            <w:shd w:val="clear" w:color="auto" w:fill="808080" w:themeFill="background1" w:themeFillShade="80"/>
            <w:tcMar>
              <w:left w:w="108" w:type="dxa"/>
              <w:right w:w="108" w:type="dxa"/>
            </w:tcMar>
          </w:tcPr>
          <w:p w:rsidR="61B75496" w:rsidP="00EE5679" w:rsidRDefault="61B75496" w14:paraId="769B724D" w14:textId="25AE8099">
            <w:pPr>
              <w:spacing w:after="0"/>
              <w:jc w:val="both"/>
            </w:pPr>
            <w:r w:rsidRPr="61B75496">
              <w:rPr>
                <w:rFonts w:eastAsia="Arial" w:cs="Arial"/>
                <w:b/>
                <w:bCs/>
                <w:color w:val="0D0D0D" w:themeColor="text1" w:themeTint="F2"/>
              </w:rPr>
              <w:t xml:space="preserve">Intended outcome </w:t>
            </w:r>
          </w:p>
        </w:tc>
        <w:tc>
          <w:tcPr>
            <w:tcW w:w="6099" w:type="dxa"/>
            <w:tcBorders>
              <w:top w:val="single" w:color="auto" w:sz="8" w:space="0"/>
              <w:left w:val="single" w:color="auto" w:sz="8" w:space="0"/>
              <w:bottom w:val="single" w:color="auto" w:sz="8" w:space="0"/>
              <w:right w:val="single" w:color="auto" w:sz="8" w:space="0"/>
            </w:tcBorders>
            <w:shd w:val="clear" w:color="auto" w:fill="808080" w:themeFill="background1" w:themeFillShade="80"/>
            <w:tcMar>
              <w:left w:w="108" w:type="dxa"/>
              <w:right w:w="108" w:type="dxa"/>
            </w:tcMar>
          </w:tcPr>
          <w:p w:rsidR="61B75496" w:rsidP="00EE5679" w:rsidRDefault="61B75496" w14:paraId="0910E9A2" w14:textId="2FF32E4A">
            <w:pPr>
              <w:spacing w:after="0"/>
              <w:jc w:val="both"/>
            </w:pPr>
            <w:r w:rsidRPr="61B75496">
              <w:rPr>
                <w:rFonts w:eastAsia="Arial" w:cs="Arial"/>
                <w:b/>
                <w:bCs/>
                <w:color w:val="0D0D0D" w:themeColor="text1" w:themeTint="F2"/>
              </w:rPr>
              <w:t xml:space="preserve">Success criteria </w:t>
            </w:r>
          </w:p>
        </w:tc>
      </w:tr>
      <w:tr w:rsidR="61B75496" w:rsidTr="000E367B" w14:paraId="5316AE54" w14:textId="77777777">
        <w:trPr>
          <w:trHeight w:val="300"/>
        </w:trPr>
        <w:tc>
          <w:tcPr>
            <w:tcW w:w="3251" w:type="dxa"/>
            <w:tcBorders>
              <w:top w:val="single" w:color="auto" w:sz="8" w:space="0"/>
              <w:left w:val="single" w:color="auto" w:sz="8" w:space="0"/>
              <w:bottom w:val="single" w:color="auto" w:sz="8" w:space="0"/>
              <w:right w:val="single" w:color="auto" w:sz="8" w:space="0"/>
            </w:tcBorders>
            <w:shd w:val="clear" w:color="auto" w:fill="FFC000"/>
            <w:tcMar>
              <w:left w:w="108" w:type="dxa"/>
              <w:right w:w="108" w:type="dxa"/>
            </w:tcMar>
          </w:tcPr>
          <w:p w:rsidR="000E367B" w:rsidP="00EE5679" w:rsidRDefault="61B75496" w14:paraId="2E8DE9BB" w14:textId="5E9EA1F2">
            <w:pPr>
              <w:spacing w:after="0"/>
              <w:jc w:val="both"/>
              <w:rPr>
                <w:rFonts w:eastAsia="Arial" w:cs="Arial"/>
                <w:b/>
                <w:bCs/>
                <w:color w:val="0D0D0D" w:themeColor="text1" w:themeTint="F2"/>
                <w:sz w:val="20"/>
                <w:szCs w:val="20"/>
              </w:rPr>
            </w:pPr>
            <w:r w:rsidRPr="61B75496">
              <w:rPr>
                <w:rFonts w:eastAsia="Arial" w:cs="Arial"/>
                <w:b/>
                <w:bCs/>
                <w:color w:val="0D0D0D" w:themeColor="text1" w:themeTint="F2"/>
                <w:sz w:val="20"/>
                <w:szCs w:val="20"/>
              </w:rPr>
              <w:t xml:space="preserve">Physiological &amp; Safety </w:t>
            </w:r>
            <w:r w:rsidR="004C2F10">
              <w:rPr>
                <w:rFonts w:eastAsia="Arial" w:cs="Arial"/>
                <w:b/>
                <w:bCs/>
                <w:color w:val="0D0D0D" w:themeColor="text1" w:themeTint="F2"/>
                <w:sz w:val="20"/>
                <w:szCs w:val="20"/>
              </w:rPr>
              <w:t>Needs</w:t>
            </w:r>
          </w:p>
          <w:p w:rsidR="61B75496" w:rsidP="00EE5679" w:rsidRDefault="61B75496" w14:paraId="315D84F8" w14:textId="7FF3298C">
            <w:pPr>
              <w:spacing w:after="0"/>
              <w:jc w:val="both"/>
            </w:pPr>
            <w:r w:rsidRPr="61B75496">
              <w:rPr>
                <w:rFonts w:eastAsia="Arial" w:cs="Arial"/>
                <w:color w:val="0D0D0D" w:themeColor="text1" w:themeTint="F2"/>
                <w:sz w:val="20"/>
                <w:szCs w:val="20"/>
              </w:rPr>
              <w:t xml:space="preserve"> </w:t>
            </w:r>
          </w:p>
          <w:p w:rsidR="61B75496" w:rsidP="00EE5679" w:rsidRDefault="61B75496" w14:paraId="36648DBB" w14:textId="0C21F8B8">
            <w:pPr>
              <w:spacing w:after="0"/>
              <w:jc w:val="both"/>
            </w:pPr>
            <w:r w:rsidRPr="61B75496">
              <w:rPr>
                <w:rFonts w:eastAsia="Arial" w:cs="Arial"/>
                <w:color w:val="0D0D0D" w:themeColor="text1" w:themeTint="F2"/>
                <w:sz w:val="20"/>
                <w:szCs w:val="20"/>
              </w:rPr>
              <w:t xml:space="preserve">Disadvantaged students attend regularly and punctually because their basic needs—such as transport, nutrition, and safety—are proactively met through targeted support and inclusive systems. </w:t>
            </w:r>
          </w:p>
          <w:p w:rsidR="61B75496" w:rsidP="00EE5679" w:rsidRDefault="61B75496" w14:paraId="0DA2C80E" w14:textId="2EE98D99">
            <w:pPr>
              <w:spacing w:after="0"/>
              <w:jc w:val="both"/>
            </w:pPr>
            <w:r w:rsidRPr="61B75496">
              <w:rPr>
                <w:rFonts w:ascii="Aptos" w:hAnsi="Aptos" w:eastAsia="Aptos" w:cs="Aptos"/>
              </w:rPr>
              <w:t xml:space="preserve"> </w:t>
            </w:r>
          </w:p>
        </w:tc>
        <w:tc>
          <w:tcPr>
            <w:tcW w:w="6099" w:type="dxa"/>
            <w:tcBorders>
              <w:top w:val="single" w:color="auto" w:sz="8" w:space="0"/>
              <w:left w:val="single" w:color="auto" w:sz="8" w:space="0"/>
              <w:bottom w:val="single" w:color="auto" w:sz="8" w:space="0"/>
              <w:right w:val="single" w:color="auto" w:sz="8" w:space="0"/>
            </w:tcBorders>
            <w:tcMar>
              <w:left w:w="108" w:type="dxa"/>
              <w:right w:w="108" w:type="dxa"/>
            </w:tcMar>
          </w:tcPr>
          <w:p w:rsidR="61B75496" w:rsidP="00EE5679" w:rsidRDefault="271CA81F" w14:paraId="141BC22D" w14:textId="0595AF39">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Attendance for PP and PA students improves term-on-term and meets or exceeds national benchmarks. </w:t>
            </w:r>
          </w:p>
          <w:p w:rsidR="61B75496" w:rsidP="00EE5679" w:rsidRDefault="271CA81F" w14:paraId="7B7A9110" w14:textId="78B431B2">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Increased uptake of support services (e.g. Happy Bus, </w:t>
            </w:r>
            <w:r w:rsidRPr="47894EA3">
              <w:rPr>
                <w:rFonts w:eastAsia="Arial" w:cs="Arial"/>
                <w:sz w:val="20"/>
                <w:szCs w:val="20"/>
              </w:rPr>
              <w:t>learning mentors, intervention sessions</w:t>
            </w:r>
            <w:r w:rsidRPr="3383E9A9" w:rsidR="69AF2A43">
              <w:rPr>
                <w:rFonts w:eastAsia="Arial" w:cs="Arial"/>
                <w:sz w:val="20"/>
                <w:szCs w:val="20"/>
              </w:rPr>
              <w:t>, support from external agencies</w:t>
            </w:r>
            <w:r w:rsidRPr="47894EA3">
              <w:rPr>
                <w:rFonts w:eastAsia="Arial" w:cs="Arial"/>
                <w:sz w:val="20"/>
                <w:szCs w:val="20"/>
              </w:rPr>
              <w:t>).</w:t>
            </w:r>
            <w:r w:rsidRPr="47894EA3">
              <w:rPr>
                <w:rFonts w:eastAsia="Arial" w:cs="Arial"/>
                <w:color w:val="0D0D0D" w:themeColor="text1" w:themeTint="F2"/>
                <w:sz w:val="20"/>
                <w:szCs w:val="20"/>
              </w:rPr>
              <w:t xml:space="preserve"> </w:t>
            </w:r>
          </w:p>
          <w:p w:rsidR="61B75496" w:rsidP="00EE5679" w:rsidRDefault="271CA81F" w14:paraId="250C599A" w14:textId="2F65E17E">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Students report feeling safe and supported in school through surveys or pastoral feedback. </w:t>
            </w:r>
          </w:p>
          <w:p w:rsidR="61B75496" w:rsidP="00EE5679" w:rsidRDefault="271CA81F" w14:paraId="0FD01FA1" w14:textId="5F6F14C6">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Identification of attendance patterns through analysis of year groups to reduce barriers to attendance </w:t>
            </w:r>
            <w:r w:rsidRPr="47894EA3">
              <w:rPr>
                <w:rFonts w:eastAsia="Arial" w:cs="Arial"/>
                <w:sz w:val="20"/>
                <w:szCs w:val="20"/>
              </w:rPr>
              <w:t xml:space="preserve"> </w:t>
            </w:r>
          </w:p>
          <w:p w:rsidR="61B75496" w:rsidP="00EE5679" w:rsidRDefault="271CA81F" w14:paraId="1BD650B9" w14:textId="227C0FF2">
            <w:pPr>
              <w:pStyle w:val="ListParagraph"/>
              <w:spacing w:after="0"/>
              <w:jc w:val="both"/>
              <w:rPr>
                <w:rFonts w:eastAsia="Arial" w:cs="Arial"/>
                <w:sz w:val="20"/>
                <w:szCs w:val="20"/>
              </w:rPr>
            </w:pPr>
            <w:r w:rsidRPr="47894EA3">
              <w:rPr>
                <w:rFonts w:eastAsia="Arial" w:cs="Arial"/>
                <w:color w:val="0D0D0D" w:themeColor="text1" w:themeTint="F2"/>
                <w:sz w:val="20"/>
                <w:szCs w:val="20"/>
              </w:rPr>
              <w:t>APLM focus on PP student attendance and needs, building po</w:t>
            </w:r>
            <w:r w:rsidRPr="47894EA3">
              <w:rPr>
                <w:rFonts w:eastAsia="Arial" w:cs="Arial"/>
                <w:sz w:val="20"/>
                <w:szCs w:val="20"/>
              </w:rPr>
              <w:t>sitive relationships with parents/carers</w:t>
            </w:r>
            <w:r w:rsidRPr="47894EA3">
              <w:rPr>
                <w:rFonts w:eastAsia="Arial" w:cs="Arial"/>
                <w:color w:val="0D0D0D" w:themeColor="text1" w:themeTint="F2"/>
                <w:sz w:val="20"/>
                <w:szCs w:val="20"/>
              </w:rPr>
              <w:t xml:space="preserve"> </w:t>
            </w:r>
            <w:r w:rsidRPr="47894EA3">
              <w:rPr>
                <w:rFonts w:eastAsia="Arial" w:cs="Arial"/>
                <w:sz w:val="20"/>
                <w:szCs w:val="20"/>
              </w:rPr>
              <w:t xml:space="preserve"> </w:t>
            </w:r>
          </w:p>
          <w:p w:rsidR="61B75496" w:rsidP="00EE5679" w:rsidRDefault="271CA81F" w14:paraId="398E0E98" w14:textId="7EC6451A">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Weekly “We missed </w:t>
            </w:r>
            <w:r w:rsidRPr="47894EA3">
              <w:rPr>
                <w:rFonts w:eastAsia="Arial" w:cs="Arial"/>
                <w:sz w:val="20"/>
                <w:szCs w:val="20"/>
              </w:rPr>
              <w:t xml:space="preserve">you conversations” –positive reinforcement for students and thank you to parents with improving attendance </w:t>
            </w:r>
            <w:r w:rsidRPr="47894EA3">
              <w:rPr>
                <w:rFonts w:eastAsia="Arial" w:cs="Arial"/>
                <w:color w:val="0D0D0D" w:themeColor="text1" w:themeTint="F2"/>
                <w:sz w:val="20"/>
                <w:szCs w:val="20"/>
              </w:rPr>
              <w:t xml:space="preserve"> </w:t>
            </w:r>
            <w:r w:rsidRPr="47894EA3">
              <w:rPr>
                <w:rFonts w:eastAsia="Arial" w:cs="Arial"/>
                <w:sz w:val="20"/>
                <w:szCs w:val="20"/>
              </w:rPr>
              <w:t xml:space="preserve"> </w:t>
            </w:r>
          </w:p>
          <w:p w:rsidR="61B75496" w:rsidP="00EE5679" w:rsidRDefault="271CA81F" w14:paraId="606C7BDC" w14:textId="255AE227">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Weekly pastoral reports based upon data and progress ensure early interventions and support plans are in place </w:t>
            </w:r>
            <w:r w:rsidRPr="47894EA3">
              <w:rPr>
                <w:rFonts w:eastAsia="Arial" w:cs="Arial"/>
                <w:sz w:val="20"/>
                <w:szCs w:val="20"/>
              </w:rPr>
              <w:t xml:space="preserve"> </w:t>
            </w:r>
          </w:p>
          <w:p w:rsidR="61B75496" w:rsidP="00EE5679" w:rsidRDefault="271CA81F" w14:paraId="56DC199A" w14:textId="281A2AB4">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SLT year group link meets with PP at risk of PA weekly </w:t>
            </w:r>
            <w:r w:rsidRPr="47894EA3">
              <w:rPr>
                <w:rFonts w:eastAsia="Arial" w:cs="Arial"/>
                <w:sz w:val="20"/>
                <w:szCs w:val="20"/>
              </w:rPr>
              <w:t xml:space="preserve"> </w:t>
            </w:r>
          </w:p>
          <w:p w:rsidR="61B75496" w:rsidP="00EE5679" w:rsidRDefault="271CA81F" w14:paraId="46029E90" w14:textId="031C886F">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Catch up intervention from learning mentors reduces the impact of poor attendance on outcomes  </w:t>
            </w:r>
            <w:r w:rsidRPr="47894EA3">
              <w:rPr>
                <w:rFonts w:eastAsia="Arial" w:cs="Arial"/>
                <w:sz w:val="20"/>
                <w:szCs w:val="20"/>
              </w:rPr>
              <w:t xml:space="preserve"> </w:t>
            </w:r>
          </w:p>
          <w:p w:rsidR="61B75496" w:rsidP="00EE5679" w:rsidRDefault="271CA81F" w14:paraId="4A2023C8" w14:textId="3F1B6A77">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Use of the ‘Renew Shop’ for uniform, equipment, revision guides, sanitary products etc </w:t>
            </w:r>
            <w:r w:rsidRPr="47894EA3">
              <w:rPr>
                <w:rFonts w:eastAsia="Arial" w:cs="Arial"/>
                <w:sz w:val="20"/>
                <w:szCs w:val="20"/>
              </w:rPr>
              <w:t xml:space="preserve"> </w:t>
            </w:r>
          </w:p>
          <w:p w:rsidR="61B75496" w:rsidP="00EE5679" w:rsidRDefault="271CA81F" w14:paraId="70BA7A86" w14:textId="05C86159">
            <w:pPr>
              <w:pStyle w:val="ListParagraph"/>
              <w:spacing w:after="0"/>
              <w:jc w:val="both"/>
              <w:rPr>
                <w:rFonts w:eastAsia="Arial" w:cs="Arial"/>
                <w:sz w:val="20"/>
                <w:szCs w:val="20"/>
              </w:rPr>
            </w:pPr>
            <w:r w:rsidRPr="47894EA3">
              <w:rPr>
                <w:rFonts w:eastAsia="Arial" w:cs="Arial"/>
                <w:color w:val="0D0D0D" w:themeColor="text1" w:themeTint="F2"/>
                <w:sz w:val="20"/>
                <w:szCs w:val="20"/>
              </w:rPr>
              <w:t>Food ingredients and materials for art and technology provided</w:t>
            </w:r>
            <w:r w:rsidRPr="47894EA3">
              <w:rPr>
                <w:rFonts w:eastAsia="Arial" w:cs="Arial"/>
                <w:sz w:val="20"/>
                <w:szCs w:val="20"/>
              </w:rPr>
              <w:t xml:space="preserve">. </w:t>
            </w:r>
            <w:r w:rsidRPr="47894EA3">
              <w:rPr>
                <w:rFonts w:eastAsia="Arial" w:cs="Arial"/>
                <w:color w:val="0D0D0D" w:themeColor="text1" w:themeTint="F2"/>
                <w:sz w:val="20"/>
                <w:szCs w:val="20"/>
              </w:rPr>
              <w:t xml:space="preserve"> </w:t>
            </w:r>
            <w:r w:rsidRPr="47894EA3">
              <w:rPr>
                <w:rFonts w:eastAsia="Arial" w:cs="Arial"/>
                <w:sz w:val="20"/>
                <w:szCs w:val="20"/>
              </w:rPr>
              <w:t xml:space="preserve"> </w:t>
            </w:r>
          </w:p>
          <w:p w:rsidR="61B75496" w:rsidP="00EE5679" w:rsidRDefault="271CA81F" w14:paraId="02356F06" w14:textId="1EF4F136">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CPD informs all staff about our students and their needs </w:t>
            </w:r>
            <w:r w:rsidRPr="47894EA3">
              <w:rPr>
                <w:rFonts w:eastAsia="Arial" w:cs="Arial"/>
                <w:sz w:val="20"/>
                <w:szCs w:val="20"/>
              </w:rPr>
              <w:t xml:space="preserve"> </w:t>
            </w:r>
          </w:p>
        </w:tc>
      </w:tr>
      <w:tr w:rsidR="61B75496" w:rsidTr="000E367B" w14:paraId="1F9C10F5" w14:textId="77777777">
        <w:trPr>
          <w:trHeight w:val="300"/>
        </w:trPr>
        <w:tc>
          <w:tcPr>
            <w:tcW w:w="3251" w:type="dxa"/>
            <w:tcBorders>
              <w:top w:val="single" w:color="auto" w:sz="8" w:space="0"/>
              <w:left w:val="single" w:color="auto" w:sz="8" w:space="0"/>
              <w:bottom w:val="single" w:color="auto" w:sz="8" w:space="0"/>
              <w:right w:val="single" w:color="auto" w:sz="8" w:space="0"/>
            </w:tcBorders>
            <w:shd w:val="clear" w:color="auto" w:fill="ED7B87"/>
            <w:tcMar>
              <w:left w:w="108" w:type="dxa"/>
              <w:right w:w="108" w:type="dxa"/>
            </w:tcMar>
          </w:tcPr>
          <w:p w:rsidR="61B75496" w:rsidP="00EE5679" w:rsidRDefault="271CA81F" w14:paraId="1CB1F548" w14:textId="49E83EE6">
            <w:pPr>
              <w:spacing w:after="0"/>
              <w:jc w:val="both"/>
              <w:rPr>
                <w:rFonts w:eastAsia="Arial" w:cs="Arial"/>
                <w:color w:val="0D0D0D" w:themeColor="text1" w:themeTint="F2"/>
                <w:sz w:val="20"/>
                <w:szCs w:val="20"/>
              </w:rPr>
            </w:pPr>
            <w:r w:rsidRPr="47894EA3">
              <w:rPr>
                <w:rFonts w:eastAsia="Arial" w:cs="Arial"/>
                <w:b/>
                <w:bCs/>
                <w:color w:val="0D0D0D" w:themeColor="text1" w:themeTint="F2"/>
                <w:sz w:val="20"/>
                <w:szCs w:val="20"/>
              </w:rPr>
              <w:lastRenderedPageBreak/>
              <w:t xml:space="preserve">Love &amp; Belonging </w:t>
            </w:r>
            <w:r w:rsidRPr="47894EA3">
              <w:rPr>
                <w:rFonts w:eastAsia="Arial" w:cs="Arial"/>
                <w:color w:val="0D0D0D" w:themeColor="text1" w:themeTint="F2"/>
                <w:sz w:val="20"/>
                <w:szCs w:val="20"/>
              </w:rPr>
              <w:t xml:space="preserve"> </w:t>
            </w:r>
          </w:p>
          <w:p w:rsidR="61B75496" w:rsidP="00EE5679" w:rsidRDefault="271CA81F" w14:paraId="778F3669" w14:textId="1525570E">
            <w:pPr>
              <w:spacing w:after="0"/>
              <w:jc w:val="both"/>
              <w:rPr>
                <w:rFonts w:eastAsia="Arial" w:cs="Arial"/>
                <w:color w:val="0D0D0D" w:themeColor="text1" w:themeTint="F2"/>
                <w:sz w:val="20"/>
                <w:szCs w:val="20"/>
              </w:rPr>
            </w:pPr>
            <w:r w:rsidRPr="6CCA7313">
              <w:rPr>
                <w:rFonts w:eastAsia="Arial" w:cs="Arial"/>
                <w:color w:val="0D0D0D" w:themeColor="text1" w:themeTint="F2"/>
                <w:sz w:val="20"/>
                <w:szCs w:val="20"/>
              </w:rPr>
              <w:t xml:space="preserve"> </w:t>
            </w:r>
          </w:p>
          <w:p w:rsidR="61B75496" w:rsidP="00EE5679" w:rsidRDefault="271CA81F" w14:paraId="503D81BD" w14:textId="1E5B230C">
            <w:pPr>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Disadvantaged students feel </w:t>
            </w:r>
            <w:r w:rsidRPr="6CCA7313">
              <w:rPr>
                <w:rFonts w:eastAsia="Arial" w:cs="Arial"/>
                <w:sz w:val="20"/>
                <w:szCs w:val="20"/>
              </w:rPr>
              <w:t>a strong sense of belonging and connection to the school community, supported by trusted relationships with staff, peers, and external agencies. Parents and carers are active partners in their child’s education, and where needed, the school provides loco parentis care, ensuring every child has a stable and nurturing environment.</w:t>
            </w:r>
            <w:r w:rsidRPr="47894EA3">
              <w:rPr>
                <w:rFonts w:eastAsia="Arial" w:cs="Arial"/>
                <w:color w:val="0D0D0D" w:themeColor="text1" w:themeTint="F2"/>
                <w:sz w:val="20"/>
                <w:szCs w:val="20"/>
              </w:rPr>
              <w:t xml:space="preserve"> </w:t>
            </w:r>
          </w:p>
          <w:p w:rsidR="61B75496" w:rsidP="00EE5679" w:rsidRDefault="271CA81F" w14:paraId="1C176144" w14:textId="237589CB">
            <w:pPr>
              <w:spacing w:after="0"/>
              <w:jc w:val="both"/>
              <w:rPr>
                <w:rFonts w:eastAsia="Arial" w:cs="Arial"/>
                <w:b/>
                <w:bCs/>
                <w:color w:val="0D0D0D" w:themeColor="text1" w:themeTint="F2"/>
                <w:sz w:val="20"/>
                <w:szCs w:val="20"/>
              </w:rPr>
            </w:pPr>
            <w:r w:rsidRPr="47894EA3">
              <w:rPr>
                <w:rFonts w:eastAsia="Arial" w:cs="Arial"/>
                <w:b/>
                <w:bCs/>
                <w:color w:val="0D0D0D" w:themeColor="text1" w:themeTint="F2"/>
                <w:sz w:val="20"/>
                <w:szCs w:val="20"/>
              </w:rPr>
              <w:t xml:space="preserve"> </w:t>
            </w:r>
          </w:p>
        </w:tc>
        <w:tc>
          <w:tcPr>
            <w:tcW w:w="6099" w:type="dxa"/>
            <w:tcBorders>
              <w:top w:val="single" w:color="auto" w:sz="8" w:space="0"/>
              <w:left w:val="single" w:color="auto" w:sz="8" w:space="0"/>
              <w:bottom w:val="single" w:color="auto" w:sz="8" w:space="0"/>
              <w:right w:val="single" w:color="auto" w:sz="8" w:space="0"/>
            </w:tcBorders>
            <w:tcMar>
              <w:left w:w="108" w:type="dxa"/>
              <w:right w:w="108" w:type="dxa"/>
            </w:tcMar>
          </w:tcPr>
          <w:p w:rsidR="61B75496" w:rsidP="47894EA3" w:rsidRDefault="271CA81F" w14:paraId="41FB6BB3" w14:textId="58D09D4A">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Positive responses in student wellbeing and belonging surveys.</w:t>
            </w:r>
          </w:p>
          <w:p w:rsidR="61B75496" w:rsidP="47894EA3" w:rsidRDefault="271CA81F" w14:paraId="78C01D9F" w14:textId="7C54CF54">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Increased engagement in mentoring programmes and pastoral support.</w:t>
            </w:r>
          </w:p>
          <w:p w:rsidR="61B75496" w:rsidP="47894EA3" w:rsidRDefault="271CA81F" w14:paraId="6E12944F" w14:textId="5A711938">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Evidence of strong parental/carer engagement in school life (e.g. </w:t>
            </w:r>
            <w:r w:rsidRPr="47894EA3">
              <w:rPr>
                <w:rFonts w:eastAsia="Arial" w:cs="Arial"/>
                <w:sz w:val="20"/>
                <w:szCs w:val="20"/>
              </w:rPr>
              <w:t>AMD, parents and attendance at meetings)</w:t>
            </w:r>
          </w:p>
          <w:p w:rsidR="61B75496" w:rsidP="47894EA3" w:rsidRDefault="271CA81F" w14:paraId="4EA3D1DF" w14:textId="0962A458">
            <w:pPr>
              <w:pStyle w:val="ListParagraph"/>
              <w:spacing w:after="0"/>
              <w:jc w:val="both"/>
              <w:rPr>
                <w:rFonts w:eastAsia="Arial" w:cs="Arial"/>
                <w:sz w:val="20"/>
                <w:szCs w:val="20"/>
              </w:rPr>
            </w:pPr>
            <w:r w:rsidRPr="47894EA3">
              <w:rPr>
                <w:rFonts w:eastAsia="Arial" w:cs="Arial"/>
                <w:color w:val="0D0D0D" w:themeColor="text1" w:themeTint="F2"/>
                <w:sz w:val="20"/>
                <w:szCs w:val="20"/>
              </w:rPr>
              <w:t>Identified</w:t>
            </w:r>
            <w:r w:rsidRPr="47894EA3">
              <w:rPr>
                <w:rFonts w:eastAsia="Arial" w:cs="Arial"/>
                <w:sz w:val="20"/>
                <w:szCs w:val="20"/>
              </w:rPr>
              <w:t xml:space="preserve"> pupils without active parental support have a designated adult acting in loco parentis, with regular check-ins and documented support plans.</w:t>
            </w:r>
          </w:p>
          <w:p w:rsidR="61B75496" w:rsidP="47894EA3" w:rsidRDefault="271CA81F" w14:paraId="48E310B7" w14:textId="1DBB43F0">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SLT and Learning Mentors advocate for pupil and support with homework, catch up, praise, rewards etc</w:t>
            </w:r>
          </w:p>
          <w:p w:rsidR="5962CBE7" w:rsidP="3383E9A9" w:rsidRDefault="5962CBE7" w14:paraId="506F59E9" w14:textId="1D2B7C50">
            <w:pPr>
              <w:pStyle w:val="ListParagraph"/>
              <w:spacing w:after="0"/>
              <w:jc w:val="both"/>
              <w:rPr>
                <w:rFonts w:eastAsia="Arial" w:cs="Arial"/>
                <w:color w:val="0D0D0D" w:themeColor="text1" w:themeTint="F2"/>
                <w:sz w:val="20"/>
                <w:szCs w:val="20"/>
              </w:rPr>
            </w:pPr>
            <w:r w:rsidRPr="3383E9A9">
              <w:rPr>
                <w:rFonts w:eastAsia="Arial" w:cs="Arial"/>
                <w:color w:val="0D0D0D" w:themeColor="text1" w:themeTint="F2"/>
                <w:sz w:val="20"/>
                <w:szCs w:val="20"/>
              </w:rPr>
              <w:t>Students receive positive recognition in line with their peers in terms of success recognition.</w:t>
            </w:r>
          </w:p>
          <w:p w:rsidR="61B75496" w:rsidP="00EE5679" w:rsidRDefault="271CA81F" w14:paraId="6C8F816A" w14:textId="1815F405">
            <w:pPr>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 </w:t>
            </w:r>
          </w:p>
        </w:tc>
      </w:tr>
      <w:tr w:rsidR="61B75496" w:rsidTr="000E367B" w14:paraId="0A030E8D" w14:textId="77777777">
        <w:trPr>
          <w:trHeight w:val="300"/>
        </w:trPr>
        <w:tc>
          <w:tcPr>
            <w:tcW w:w="3251" w:type="dxa"/>
            <w:tcBorders>
              <w:top w:val="single" w:color="auto" w:sz="8" w:space="0"/>
              <w:left w:val="single" w:color="auto" w:sz="8" w:space="0"/>
              <w:bottom w:val="single" w:color="auto" w:sz="8" w:space="0"/>
              <w:right w:val="single" w:color="auto" w:sz="8" w:space="0"/>
            </w:tcBorders>
            <w:shd w:val="clear" w:color="auto" w:fill="F0224B"/>
            <w:tcMar>
              <w:left w:w="108" w:type="dxa"/>
              <w:right w:w="108" w:type="dxa"/>
            </w:tcMar>
          </w:tcPr>
          <w:p w:rsidR="61B75496" w:rsidP="00EE5679" w:rsidRDefault="271CA81F" w14:paraId="142A3489" w14:textId="31A16721">
            <w:pPr>
              <w:spacing w:after="0"/>
              <w:jc w:val="both"/>
              <w:rPr>
                <w:rFonts w:eastAsia="Arial" w:cs="Arial"/>
                <w:color w:val="0D0D0D" w:themeColor="text1" w:themeTint="F2"/>
                <w:sz w:val="20"/>
                <w:szCs w:val="20"/>
              </w:rPr>
            </w:pPr>
            <w:r w:rsidRPr="47894EA3">
              <w:rPr>
                <w:rFonts w:eastAsia="Arial" w:cs="Arial"/>
                <w:b/>
                <w:bCs/>
                <w:color w:val="0D0D0D" w:themeColor="text1" w:themeTint="F2"/>
                <w:sz w:val="20"/>
                <w:szCs w:val="20"/>
              </w:rPr>
              <w:t xml:space="preserve">Esteem </w:t>
            </w:r>
            <w:r w:rsidRPr="47894EA3">
              <w:rPr>
                <w:rFonts w:eastAsia="Arial" w:cs="Arial"/>
                <w:color w:val="0D0D0D" w:themeColor="text1" w:themeTint="F2"/>
                <w:sz w:val="20"/>
                <w:szCs w:val="20"/>
              </w:rPr>
              <w:t xml:space="preserve"> </w:t>
            </w:r>
          </w:p>
          <w:p w:rsidR="000E367B" w:rsidP="00EE5679" w:rsidRDefault="000E367B" w14:paraId="252E655B" w14:textId="77777777">
            <w:pPr>
              <w:spacing w:after="0"/>
              <w:jc w:val="both"/>
              <w:rPr>
                <w:rFonts w:eastAsia="Arial" w:cs="Arial"/>
                <w:color w:val="0D0D0D" w:themeColor="text1" w:themeTint="F2"/>
                <w:sz w:val="20"/>
                <w:szCs w:val="20"/>
              </w:rPr>
            </w:pPr>
          </w:p>
          <w:p w:rsidR="61B75496" w:rsidP="00EE5679" w:rsidRDefault="271CA81F" w14:paraId="110412A7" w14:textId="25350391">
            <w:pPr>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Disadvantaged students develop self-confidence, resilience, and independence, supported by inclusive teaching, mentoring, and personalised learning pathways that celebrate their strengths and progress</w:t>
            </w:r>
          </w:p>
          <w:p w:rsidR="61B75496" w:rsidP="00EE5679" w:rsidRDefault="271CA81F" w14:paraId="02768DD4" w14:textId="591ACCBC">
            <w:pPr>
              <w:spacing w:after="0"/>
              <w:jc w:val="both"/>
              <w:rPr>
                <w:rFonts w:eastAsia="Arial" w:cs="Arial"/>
                <w:b/>
                <w:bCs/>
                <w:color w:val="0D0D0D" w:themeColor="text1" w:themeTint="F2"/>
                <w:sz w:val="20"/>
                <w:szCs w:val="20"/>
              </w:rPr>
            </w:pPr>
            <w:r w:rsidRPr="47894EA3">
              <w:rPr>
                <w:rFonts w:eastAsia="Arial" w:cs="Arial"/>
                <w:b/>
                <w:bCs/>
                <w:color w:val="0D0D0D" w:themeColor="text1" w:themeTint="F2"/>
                <w:sz w:val="20"/>
                <w:szCs w:val="20"/>
              </w:rPr>
              <w:t xml:space="preserve"> </w:t>
            </w:r>
          </w:p>
        </w:tc>
        <w:tc>
          <w:tcPr>
            <w:tcW w:w="6099" w:type="dxa"/>
            <w:tcBorders>
              <w:top w:val="single" w:color="auto" w:sz="8" w:space="0"/>
              <w:left w:val="single" w:color="auto" w:sz="8" w:space="0"/>
              <w:bottom w:val="single" w:color="auto" w:sz="8" w:space="0"/>
              <w:right w:val="single" w:color="auto" w:sz="8" w:space="0"/>
            </w:tcBorders>
            <w:tcMar>
              <w:left w:w="108" w:type="dxa"/>
              <w:right w:w="108" w:type="dxa"/>
            </w:tcMar>
          </w:tcPr>
          <w:p w:rsidR="61B75496" w:rsidP="00EE5679" w:rsidRDefault="271CA81F" w14:paraId="5565A23A" w14:textId="19AC7DA1">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DA students achieve class chart points in line with their peers </w:t>
            </w:r>
          </w:p>
          <w:p w:rsidR="61B75496" w:rsidP="00EE5679" w:rsidRDefault="271CA81F" w14:paraId="7BED2D28" w14:textId="3251318F">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Increased participation in student voice, leadership roles, and extracurricular activities. </w:t>
            </w:r>
          </w:p>
          <w:p w:rsidR="61B75496" w:rsidP="00EE5679" w:rsidRDefault="271CA81F" w14:paraId="5FC3B29D" w14:textId="522A7F6C">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Reduction in behaviour incidents and increased positive behaviour points. </w:t>
            </w:r>
          </w:p>
          <w:p w:rsidR="61B75496" w:rsidP="00EE5679" w:rsidRDefault="271CA81F" w14:paraId="0E4F6DC2" w14:textId="312ECDAD">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Evidence of personalised learning plans and successful implementation of SEND strategies. </w:t>
            </w:r>
          </w:p>
          <w:p w:rsidR="61B75496" w:rsidP="00EE5679" w:rsidRDefault="271CA81F" w14:paraId="3C908CDE" w14:textId="4592E739">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Increased reading ages and increased progress in literac</w:t>
            </w:r>
            <w:r w:rsidRPr="47894EA3">
              <w:rPr>
                <w:rFonts w:eastAsia="Arial" w:cs="Arial"/>
                <w:sz w:val="20"/>
                <w:szCs w:val="20"/>
              </w:rPr>
              <w:t>y/ fresh start phonics programme</w:t>
            </w:r>
            <w:r w:rsidRPr="47894EA3">
              <w:rPr>
                <w:rFonts w:eastAsia="Arial" w:cs="Arial"/>
                <w:color w:val="0D0D0D" w:themeColor="text1" w:themeTint="F2"/>
                <w:sz w:val="20"/>
                <w:szCs w:val="20"/>
              </w:rPr>
              <w:t xml:space="preserve"> </w:t>
            </w:r>
          </w:p>
          <w:p w:rsidR="61B75496" w:rsidP="00EE5679" w:rsidRDefault="271CA81F" w14:paraId="1E20A1CE" w14:textId="6313A570">
            <w:pPr>
              <w:pStyle w:val="ListParagraph"/>
              <w:spacing w:after="0"/>
              <w:jc w:val="both"/>
              <w:rPr>
                <w:rFonts w:eastAsia="Arial" w:cs="Arial"/>
                <w:sz w:val="20"/>
                <w:szCs w:val="20"/>
              </w:rPr>
            </w:pPr>
            <w:r w:rsidRPr="47894EA3">
              <w:rPr>
                <w:rFonts w:eastAsia="Arial" w:cs="Arial"/>
                <w:color w:val="000000" w:themeColor="text1"/>
                <w:sz w:val="20"/>
                <w:szCs w:val="20"/>
              </w:rPr>
              <w:t xml:space="preserve">DA are prioritised for increased opportunities for oracy in the classroom through questioning and accountable talk </w:t>
            </w:r>
            <w:r w:rsidRPr="47894EA3">
              <w:rPr>
                <w:rFonts w:eastAsia="Arial" w:cs="Arial"/>
                <w:sz w:val="20"/>
                <w:szCs w:val="20"/>
              </w:rPr>
              <w:t xml:space="preserve"> </w:t>
            </w:r>
          </w:p>
          <w:p w:rsidR="61B75496" w:rsidP="00EE5679" w:rsidRDefault="271CA81F" w14:paraId="417AA252" w14:textId="36525DA9">
            <w:pPr>
              <w:pStyle w:val="ListParagraph"/>
              <w:spacing w:after="0"/>
              <w:jc w:val="both"/>
              <w:rPr>
                <w:rFonts w:eastAsia="Arial" w:cs="Arial"/>
                <w:sz w:val="20"/>
                <w:szCs w:val="20"/>
              </w:rPr>
            </w:pPr>
            <w:r w:rsidRPr="47894EA3">
              <w:rPr>
                <w:rFonts w:eastAsia="Arial" w:cs="Arial"/>
                <w:color w:val="000000" w:themeColor="text1"/>
                <w:sz w:val="20"/>
                <w:szCs w:val="20"/>
              </w:rPr>
              <w:t xml:space="preserve">Systematic use of whiteboards ensures full participation </w:t>
            </w:r>
            <w:r w:rsidRPr="47894EA3">
              <w:rPr>
                <w:rFonts w:eastAsia="Arial" w:cs="Arial"/>
                <w:sz w:val="20"/>
                <w:szCs w:val="20"/>
              </w:rPr>
              <w:t xml:space="preserve"> </w:t>
            </w:r>
          </w:p>
          <w:p w:rsidR="61B75496" w:rsidP="00EE5679" w:rsidRDefault="271CA81F" w14:paraId="4B8A49B0" w14:textId="6E38DBE0">
            <w:pPr>
              <w:pStyle w:val="ListParagraph"/>
              <w:spacing w:after="0"/>
              <w:jc w:val="both"/>
              <w:rPr>
                <w:rFonts w:eastAsia="Arial" w:cs="Arial"/>
                <w:color w:val="000000" w:themeColor="text1"/>
                <w:sz w:val="20"/>
                <w:szCs w:val="20"/>
              </w:rPr>
            </w:pPr>
            <w:r w:rsidRPr="47894EA3">
              <w:rPr>
                <w:rFonts w:eastAsia="Arial" w:cs="Arial"/>
                <w:color w:val="000000" w:themeColor="text1"/>
                <w:sz w:val="20"/>
                <w:szCs w:val="20"/>
              </w:rPr>
              <w:t xml:space="preserve">Departmental marking with formative feedback is prioritised for DA first </w:t>
            </w:r>
          </w:p>
          <w:p w:rsidR="61B75496" w:rsidP="47894EA3" w:rsidRDefault="271CA81F" w14:paraId="7ABF2BD6" w14:textId="0D4F2056">
            <w:pPr>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 </w:t>
            </w:r>
          </w:p>
        </w:tc>
      </w:tr>
      <w:tr w:rsidR="61B75496" w:rsidTr="000E367B" w14:paraId="0E23E138" w14:textId="77777777">
        <w:trPr>
          <w:trHeight w:val="300"/>
        </w:trPr>
        <w:tc>
          <w:tcPr>
            <w:tcW w:w="3251" w:type="dxa"/>
            <w:tcBorders>
              <w:top w:val="single" w:color="auto" w:sz="8" w:space="0"/>
              <w:left w:val="single" w:color="auto" w:sz="8" w:space="0"/>
              <w:bottom w:val="single" w:color="auto" w:sz="8" w:space="0"/>
              <w:right w:val="single" w:color="auto" w:sz="8" w:space="0"/>
            </w:tcBorders>
            <w:shd w:val="clear" w:color="auto" w:fill="2D8DE0"/>
            <w:tcMar>
              <w:left w:w="108" w:type="dxa"/>
              <w:right w:w="108" w:type="dxa"/>
            </w:tcMar>
          </w:tcPr>
          <w:p w:rsidR="61B75496" w:rsidP="00EE5679" w:rsidRDefault="271CA81F" w14:paraId="50F810C6" w14:textId="5B2E79EF">
            <w:pPr>
              <w:spacing w:after="0"/>
              <w:jc w:val="both"/>
              <w:rPr>
                <w:rFonts w:eastAsia="Arial" w:cs="Arial"/>
                <w:color w:val="0D0D0D" w:themeColor="text1" w:themeTint="F2"/>
                <w:sz w:val="20"/>
                <w:szCs w:val="20"/>
              </w:rPr>
            </w:pPr>
            <w:r w:rsidRPr="47894EA3">
              <w:rPr>
                <w:rFonts w:eastAsia="Arial" w:cs="Arial"/>
                <w:b/>
                <w:bCs/>
                <w:color w:val="0D0D0D" w:themeColor="text1" w:themeTint="F2"/>
                <w:sz w:val="20"/>
                <w:szCs w:val="20"/>
              </w:rPr>
              <w:t xml:space="preserve">Self-Actualisation </w:t>
            </w:r>
            <w:r w:rsidRPr="47894EA3">
              <w:rPr>
                <w:rFonts w:eastAsia="Arial" w:cs="Arial"/>
                <w:color w:val="0D0D0D" w:themeColor="text1" w:themeTint="F2"/>
                <w:sz w:val="20"/>
                <w:szCs w:val="20"/>
              </w:rPr>
              <w:t xml:space="preserve">  </w:t>
            </w:r>
          </w:p>
          <w:p w:rsidR="61B75496" w:rsidP="00EE5679" w:rsidRDefault="271CA81F" w14:paraId="7B298C9B" w14:textId="36DEDD43">
            <w:pPr>
              <w:spacing w:after="0"/>
              <w:jc w:val="both"/>
              <w:rPr>
                <w:rFonts w:eastAsia="Arial" w:cs="Arial"/>
                <w:color w:val="0D0D0D" w:themeColor="text1" w:themeTint="F2"/>
                <w:sz w:val="20"/>
                <w:szCs w:val="20"/>
              </w:rPr>
            </w:pPr>
            <w:r w:rsidRPr="6CCA7313">
              <w:rPr>
                <w:rFonts w:eastAsia="Arial" w:cs="Arial"/>
                <w:color w:val="0D0D0D" w:themeColor="text1" w:themeTint="F2"/>
                <w:sz w:val="20"/>
                <w:szCs w:val="20"/>
              </w:rPr>
              <w:t xml:space="preserve"> </w:t>
            </w:r>
          </w:p>
          <w:p w:rsidR="61B75496" w:rsidP="00EE5679" w:rsidRDefault="271CA81F" w14:paraId="5E791CA7" w14:textId="7E7DEAF1">
            <w:pPr>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Disadvantaged students have high aspirations and clear goals, with access to careers guidance, enrichment, and academic challenge that prepares them for successful transitions into further education, training, or employment.</w:t>
            </w:r>
          </w:p>
          <w:p w:rsidR="61B75496" w:rsidP="00EE5679" w:rsidRDefault="271CA81F" w14:paraId="7C2EAC1A" w14:textId="47C99B26">
            <w:pPr>
              <w:spacing w:after="0"/>
              <w:jc w:val="both"/>
              <w:rPr>
                <w:rFonts w:eastAsia="Arial" w:cs="Arial"/>
                <w:b/>
                <w:bCs/>
                <w:color w:val="0D0D0D" w:themeColor="text1" w:themeTint="F2"/>
                <w:sz w:val="20"/>
                <w:szCs w:val="20"/>
              </w:rPr>
            </w:pPr>
            <w:r w:rsidRPr="47894EA3">
              <w:rPr>
                <w:rFonts w:eastAsia="Arial" w:cs="Arial"/>
                <w:b/>
                <w:bCs/>
                <w:color w:val="0D0D0D" w:themeColor="text1" w:themeTint="F2"/>
                <w:sz w:val="20"/>
                <w:szCs w:val="20"/>
              </w:rPr>
              <w:t xml:space="preserve"> </w:t>
            </w:r>
          </w:p>
        </w:tc>
        <w:tc>
          <w:tcPr>
            <w:tcW w:w="6099" w:type="dxa"/>
            <w:tcBorders>
              <w:top w:val="single" w:color="auto" w:sz="8" w:space="0"/>
              <w:left w:val="single" w:color="auto" w:sz="8" w:space="0"/>
              <w:bottom w:val="single" w:color="auto" w:sz="8" w:space="0"/>
              <w:right w:val="single" w:color="auto" w:sz="8" w:space="0"/>
            </w:tcBorders>
            <w:tcMar>
              <w:left w:w="108" w:type="dxa"/>
              <w:right w:w="108" w:type="dxa"/>
            </w:tcMar>
          </w:tcPr>
          <w:p w:rsidR="61B75496" w:rsidP="00EE5679" w:rsidRDefault="271CA81F" w14:paraId="78330828" w14:textId="2C6869B1">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All disadvantaged students </w:t>
            </w:r>
            <w:r w:rsidRPr="47894EA3">
              <w:rPr>
                <w:rFonts w:eastAsia="Arial" w:cs="Arial"/>
                <w:sz w:val="20"/>
                <w:szCs w:val="20"/>
              </w:rPr>
              <w:t>have priority access to careers guidance and post-16 planning.</w:t>
            </w:r>
            <w:r w:rsidRPr="47894EA3">
              <w:rPr>
                <w:rFonts w:eastAsia="Arial" w:cs="Arial"/>
                <w:color w:val="0D0D0D" w:themeColor="text1" w:themeTint="F2"/>
                <w:sz w:val="20"/>
                <w:szCs w:val="20"/>
              </w:rPr>
              <w:t xml:space="preserve"> </w:t>
            </w:r>
            <w:r w:rsidRPr="47894EA3">
              <w:rPr>
                <w:rFonts w:eastAsia="Arial" w:cs="Arial"/>
                <w:sz w:val="20"/>
                <w:szCs w:val="20"/>
              </w:rPr>
              <w:t xml:space="preserve"> </w:t>
            </w:r>
          </w:p>
          <w:p w:rsidR="61B75496" w:rsidP="00EE5679" w:rsidRDefault="271CA81F" w14:paraId="4BEF4BF2" w14:textId="3351D2AB">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Increased applications to further education, apprenticeships, and employment pathways. </w:t>
            </w:r>
            <w:r w:rsidRPr="47894EA3">
              <w:rPr>
                <w:rFonts w:eastAsia="Arial" w:cs="Arial"/>
                <w:sz w:val="20"/>
                <w:szCs w:val="20"/>
              </w:rPr>
              <w:t xml:space="preserve"> </w:t>
            </w:r>
          </w:p>
          <w:p w:rsidR="61B75496" w:rsidP="00EE5679" w:rsidRDefault="271CA81F" w14:paraId="127FE75C" w14:textId="64D40079">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Positive destinations data for Year 11 and Sixth Form PP students. </w:t>
            </w:r>
            <w:r w:rsidRPr="47894EA3">
              <w:rPr>
                <w:rFonts w:eastAsia="Arial" w:cs="Arial"/>
                <w:sz w:val="20"/>
                <w:szCs w:val="20"/>
              </w:rPr>
              <w:t xml:space="preserve"> </w:t>
            </w:r>
          </w:p>
          <w:p w:rsidR="002E705E" w:rsidP="00EE5679" w:rsidRDefault="002E705E" w14:paraId="59CD5910" w14:textId="330620DE">
            <w:pPr>
              <w:pStyle w:val="ListParagraph"/>
              <w:spacing w:after="0"/>
              <w:jc w:val="both"/>
              <w:rPr>
                <w:rFonts w:eastAsia="Arial" w:cs="Arial"/>
                <w:sz w:val="20"/>
                <w:szCs w:val="20"/>
              </w:rPr>
            </w:pPr>
            <w:r>
              <w:rPr>
                <w:rFonts w:eastAsia="Arial" w:cs="Arial"/>
                <w:sz w:val="20"/>
                <w:szCs w:val="20"/>
              </w:rPr>
              <w:t xml:space="preserve">Attainment and progress outcomes </w:t>
            </w:r>
            <w:r w:rsidR="00E75DE7">
              <w:rPr>
                <w:rFonts w:eastAsia="Arial" w:cs="Arial"/>
                <w:sz w:val="20"/>
                <w:szCs w:val="20"/>
              </w:rPr>
              <w:t xml:space="preserve">meet or exceed national and local </w:t>
            </w:r>
            <w:r w:rsidR="00F56328">
              <w:rPr>
                <w:rFonts w:eastAsia="Arial" w:cs="Arial"/>
                <w:sz w:val="20"/>
                <w:szCs w:val="20"/>
              </w:rPr>
              <w:t>measures</w:t>
            </w:r>
          </w:p>
          <w:p w:rsidR="61B75496" w:rsidP="00EE5679" w:rsidRDefault="271CA81F" w14:paraId="4EDC0B54" w14:textId="7D9F6626">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Removing barriers for attending revision sessions </w:t>
            </w:r>
          </w:p>
          <w:p w:rsidR="61B75496" w:rsidP="00EE5679" w:rsidRDefault="271CA81F" w14:paraId="3F51E252" w14:textId="789E1C85">
            <w:pPr>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 </w:t>
            </w:r>
          </w:p>
        </w:tc>
      </w:tr>
      <w:tr w:rsidR="61B75496" w:rsidTr="000E367B" w14:paraId="04B05802" w14:textId="77777777">
        <w:trPr>
          <w:trHeight w:val="300"/>
        </w:trPr>
        <w:tc>
          <w:tcPr>
            <w:tcW w:w="3251" w:type="dxa"/>
            <w:tcBorders>
              <w:top w:val="single" w:color="auto" w:sz="8" w:space="0"/>
              <w:left w:val="single" w:color="auto" w:sz="8" w:space="0"/>
              <w:bottom w:val="single" w:color="auto" w:sz="8" w:space="0"/>
              <w:right w:val="single" w:color="auto" w:sz="8" w:space="0"/>
            </w:tcBorders>
            <w:shd w:val="clear" w:color="auto" w:fill="7E44F2"/>
            <w:tcMar>
              <w:left w:w="108" w:type="dxa"/>
              <w:right w:w="108" w:type="dxa"/>
            </w:tcMar>
          </w:tcPr>
          <w:p w:rsidR="61B75496" w:rsidP="00EE5679" w:rsidRDefault="20FABBBC" w14:paraId="105DE1DD" w14:textId="2EABD934">
            <w:pPr>
              <w:spacing w:after="0"/>
              <w:jc w:val="both"/>
              <w:rPr>
                <w:rFonts w:eastAsia="Arial" w:cs="Arial"/>
                <w:color w:val="0D0D0D" w:themeColor="text1" w:themeTint="F2"/>
                <w:sz w:val="20"/>
                <w:szCs w:val="20"/>
              </w:rPr>
            </w:pPr>
            <w:r w:rsidRPr="47894EA3">
              <w:rPr>
                <w:rFonts w:eastAsia="Arial" w:cs="Arial"/>
                <w:b/>
                <w:bCs/>
                <w:color w:val="0D0D0D" w:themeColor="text1" w:themeTint="F2"/>
                <w:sz w:val="20"/>
                <w:szCs w:val="20"/>
              </w:rPr>
              <w:t>Life to the Full</w:t>
            </w:r>
            <w:r w:rsidRPr="47894EA3" w:rsidR="271CA81F">
              <w:rPr>
                <w:rFonts w:eastAsia="Arial" w:cs="Arial"/>
                <w:b/>
                <w:bCs/>
                <w:color w:val="0D0D0D" w:themeColor="text1" w:themeTint="F2"/>
                <w:sz w:val="20"/>
                <w:szCs w:val="20"/>
              </w:rPr>
              <w:t xml:space="preserve"> &amp; Cultural Capital</w:t>
            </w:r>
            <w:r w:rsidRPr="47894EA3" w:rsidR="271CA81F">
              <w:rPr>
                <w:rFonts w:eastAsia="Arial" w:cs="Arial"/>
                <w:color w:val="0D0D0D" w:themeColor="text1" w:themeTint="F2"/>
                <w:sz w:val="20"/>
                <w:szCs w:val="20"/>
              </w:rPr>
              <w:t xml:space="preserve">  </w:t>
            </w:r>
          </w:p>
          <w:p w:rsidR="61B75496" w:rsidP="00EE5679" w:rsidRDefault="271CA81F" w14:paraId="30D8EE45" w14:textId="79F150AD">
            <w:pPr>
              <w:spacing w:after="0"/>
              <w:jc w:val="both"/>
              <w:rPr>
                <w:rFonts w:eastAsia="Arial" w:cs="Arial"/>
                <w:color w:val="0D0D0D" w:themeColor="text1" w:themeTint="F2"/>
                <w:sz w:val="20"/>
                <w:szCs w:val="20"/>
              </w:rPr>
            </w:pPr>
            <w:r w:rsidRPr="6CCA7313">
              <w:rPr>
                <w:rFonts w:eastAsia="Arial" w:cs="Arial"/>
                <w:color w:val="0D0D0D" w:themeColor="text1" w:themeTint="F2"/>
                <w:sz w:val="20"/>
                <w:szCs w:val="20"/>
              </w:rPr>
              <w:t xml:space="preserve"> </w:t>
            </w:r>
          </w:p>
          <w:p w:rsidR="61B75496" w:rsidP="00EE5679" w:rsidRDefault="271CA81F" w14:paraId="3D35F2D4" w14:textId="4ADB468D">
            <w:pPr>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Disadvantaged students engage fully in enrichment opportunities, equipped with the personal resources and confidence to </w:t>
            </w:r>
            <w:r w:rsidRPr="6CCA7313">
              <w:rPr>
                <w:rFonts w:eastAsia="Arial" w:cs="Arial"/>
                <w:sz w:val="20"/>
                <w:szCs w:val="20"/>
              </w:rPr>
              <w:t xml:space="preserve">participate in cultural, creative, and </w:t>
            </w:r>
            <w:r w:rsidRPr="6CCA7313">
              <w:rPr>
                <w:rFonts w:eastAsia="Arial" w:cs="Arial"/>
                <w:sz w:val="20"/>
                <w:szCs w:val="20"/>
              </w:rPr>
              <w:lastRenderedPageBreak/>
              <w:t>leadership experiences that broaden their horizons and deepen their understanding of the world.</w:t>
            </w:r>
            <w:r w:rsidRPr="47894EA3">
              <w:rPr>
                <w:rFonts w:eastAsia="Arial" w:cs="Arial"/>
                <w:color w:val="0D0D0D" w:themeColor="text1" w:themeTint="F2"/>
                <w:sz w:val="20"/>
                <w:szCs w:val="20"/>
              </w:rPr>
              <w:t xml:space="preserve"> </w:t>
            </w:r>
          </w:p>
          <w:p w:rsidR="61B75496" w:rsidP="00EE5679" w:rsidRDefault="271CA81F" w14:paraId="6A30B064" w14:textId="48740732">
            <w:pPr>
              <w:spacing w:after="0"/>
              <w:jc w:val="both"/>
              <w:rPr>
                <w:rFonts w:eastAsia="Arial" w:cs="Arial"/>
                <w:b/>
                <w:bCs/>
                <w:color w:val="0D0D0D" w:themeColor="text1" w:themeTint="F2"/>
                <w:sz w:val="20"/>
                <w:szCs w:val="20"/>
              </w:rPr>
            </w:pPr>
            <w:r w:rsidRPr="47894EA3">
              <w:rPr>
                <w:rFonts w:eastAsia="Arial" w:cs="Arial"/>
                <w:b/>
                <w:bCs/>
                <w:color w:val="0D0D0D" w:themeColor="text1" w:themeTint="F2"/>
                <w:sz w:val="20"/>
                <w:szCs w:val="20"/>
              </w:rPr>
              <w:t xml:space="preserve"> </w:t>
            </w:r>
          </w:p>
        </w:tc>
        <w:tc>
          <w:tcPr>
            <w:tcW w:w="6099" w:type="dxa"/>
            <w:tcBorders>
              <w:top w:val="single" w:color="auto" w:sz="8" w:space="0"/>
              <w:left w:val="single" w:color="auto" w:sz="8" w:space="0"/>
              <w:bottom w:val="single" w:color="auto" w:sz="8" w:space="0"/>
              <w:right w:val="single" w:color="auto" w:sz="8" w:space="0"/>
            </w:tcBorders>
            <w:tcMar>
              <w:left w:w="108" w:type="dxa"/>
              <w:right w:w="108" w:type="dxa"/>
            </w:tcMar>
          </w:tcPr>
          <w:p w:rsidR="61B75496" w:rsidP="00EE5679" w:rsidRDefault="271CA81F" w14:paraId="19644DDB" w14:textId="76437EB5">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lastRenderedPageBreak/>
              <w:t xml:space="preserve">Disadvantaged students are overrepresented in enrichment, cultural, and leadership programmes. </w:t>
            </w:r>
          </w:p>
          <w:p w:rsidR="61B75496" w:rsidP="00EE5679" w:rsidRDefault="271CA81F" w14:paraId="411731DD" w14:textId="0508976E">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Increased confidence and participation in public speaking, performances, and community events. </w:t>
            </w:r>
          </w:p>
          <w:p w:rsidR="61B75496" w:rsidP="00EE5679" w:rsidRDefault="271CA81F" w14:paraId="38AF5852" w14:textId="0C98189C">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Curriculum audits show inclusive representation of diverse cultures and experiences. </w:t>
            </w:r>
          </w:p>
          <w:p w:rsidR="61B75496" w:rsidP="00EE5679" w:rsidRDefault="271CA81F" w14:paraId="716E3C00" w14:textId="19DE673C">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lastRenderedPageBreak/>
              <w:t xml:space="preserve">Student feedback reflects increased awareness and appreciation of cultural capital. </w:t>
            </w:r>
          </w:p>
          <w:p w:rsidR="61B75496" w:rsidP="00EE5679" w:rsidRDefault="271CA81F" w14:paraId="2D6959ED" w14:textId="2E7139C6">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Targeted participation in masterclasses, pupil parliament, debating opportunities </w:t>
            </w:r>
          </w:p>
          <w:p w:rsidR="61B75496" w:rsidP="00EE5679" w:rsidRDefault="271CA81F" w14:paraId="3DF87853" w14:textId="3EABEA69">
            <w:pPr>
              <w:pStyle w:val="ListParagraph"/>
              <w:spacing w:after="0"/>
              <w:jc w:val="both"/>
              <w:rPr>
                <w:rFonts w:eastAsia="Arial" w:cs="Arial"/>
                <w:sz w:val="20"/>
                <w:szCs w:val="20"/>
              </w:rPr>
            </w:pPr>
            <w:r w:rsidRPr="47894EA3">
              <w:rPr>
                <w:rFonts w:eastAsia="Arial" w:cs="Arial"/>
                <w:color w:val="0D0D0D" w:themeColor="text1" w:themeTint="F2"/>
                <w:sz w:val="20"/>
                <w:szCs w:val="20"/>
              </w:rPr>
              <w:t xml:space="preserve">Financial support to go on retreat programmes and spiritual/liturgical experiences and any trips </w:t>
            </w:r>
            <w:r w:rsidRPr="47894EA3">
              <w:rPr>
                <w:rFonts w:eastAsia="Arial" w:cs="Arial"/>
                <w:sz w:val="20"/>
                <w:szCs w:val="20"/>
              </w:rPr>
              <w:t xml:space="preserve"> </w:t>
            </w:r>
          </w:p>
          <w:p w:rsidR="61B75496" w:rsidP="00EE5679" w:rsidRDefault="271CA81F" w14:paraId="651046AB" w14:textId="14E21157">
            <w:pPr>
              <w:pStyle w:val="ListParagraph"/>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Universal events and trips ensure everyone participates </w:t>
            </w:r>
          </w:p>
          <w:p w:rsidR="61B75496" w:rsidP="00EE5679" w:rsidRDefault="271CA81F" w14:paraId="26854DE8" w14:textId="5122CAB7">
            <w:pPr>
              <w:spacing w:after="0"/>
              <w:jc w:val="both"/>
              <w:rPr>
                <w:rFonts w:eastAsia="Arial" w:cs="Arial"/>
                <w:color w:val="0D0D0D" w:themeColor="text1" w:themeTint="F2"/>
                <w:sz w:val="20"/>
                <w:szCs w:val="20"/>
              </w:rPr>
            </w:pPr>
            <w:r w:rsidRPr="47894EA3">
              <w:rPr>
                <w:rFonts w:eastAsia="Arial" w:cs="Arial"/>
                <w:color w:val="0D0D0D" w:themeColor="text1" w:themeTint="F2"/>
                <w:sz w:val="20"/>
                <w:szCs w:val="20"/>
              </w:rPr>
              <w:t xml:space="preserve"> </w:t>
            </w:r>
          </w:p>
        </w:tc>
      </w:tr>
    </w:tbl>
    <w:p w:rsidR="00120AB1" w:rsidP="00EE5679" w:rsidRDefault="00120AB1" w14:paraId="5636DB5F" w14:textId="4F8172D6">
      <w:pPr>
        <w:spacing w:after="0" w:line="276" w:lineRule="auto"/>
        <w:jc w:val="both"/>
        <w:rPr>
          <w:rFonts w:ascii="Aptos" w:hAnsi="Aptos" w:eastAsia="Aptos" w:cs="Aptos"/>
        </w:rPr>
      </w:pPr>
    </w:p>
    <w:p w:rsidR="00120AB1" w:rsidP="00EE5679" w:rsidRDefault="00120AB1" w14:paraId="60BAD9F6" w14:textId="2C553679">
      <w:pPr>
        <w:spacing w:after="0"/>
        <w:jc w:val="both"/>
      </w:pPr>
    </w:p>
    <w:p w:rsidR="00E66558" w:rsidP="00EE5679" w:rsidRDefault="009D71E8" w14:paraId="2A7D5512" w14:textId="7B489199">
      <w:pPr>
        <w:pStyle w:val="Heading2"/>
        <w:spacing w:before="0" w:after="0"/>
        <w:jc w:val="both"/>
      </w:pPr>
      <w:r>
        <w:t>Activity in this academic year</w:t>
      </w:r>
    </w:p>
    <w:p w:rsidR="00E66558" w:rsidP="00EE5679" w:rsidRDefault="009D71E8" w14:paraId="2A7D5513" w14:textId="20453EFC">
      <w:pPr>
        <w:spacing w:after="0"/>
        <w:jc w:val="both"/>
      </w:pPr>
      <w:r>
        <w:t xml:space="preserve">This details how we intend to spend our pupil </w:t>
      </w:r>
      <w:r w:rsidRPr="00FD406D">
        <w:t>premium funding</w:t>
      </w:r>
      <w:r>
        <w:t xml:space="preserve"> </w:t>
      </w:r>
      <w:r>
        <w:rPr>
          <w:b/>
          <w:bCs/>
        </w:rPr>
        <w:t>this academic year</w:t>
      </w:r>
      <w:r>
        <w:t xml:space="preserve"> to address the challenges listed above.</w:t>
      </w:r>
    </w:p>
    <w:p w:rsidR="00E66558" w:rsidP="00EE5679" w:rsidRDefault="009D71E8" w14:paraId="2A7D5514" w14:textId="77777777">
      <w:pPr>
        <w:pStyle w:val="Heading3"/>
        <w:spacing w:before="0" w:after="0"/>
        <w:jc w:val="both"/>
      </w:pPr>
      <w:r>
        <w:t>Teaching (for example, CPD, recruitment and retention)</w:t>
      </w:r>
    </w:p>
    <w:p w:rsidR="00E66558" w:rsidP="00EE5679" w:rsidRDefault="009D71E8" w14:paraId="2A7D5515" w14:textId="2F22ED7F">
      <w:pPr>
        <w:spacing w:after="0"/>
        <w:jc w:val="both"/>
        <w:rPr>
          <w:i/>
        </w:rPr>
      </w:pPr>
      <w:r>
        <w:t>Budgeted cost: £</w:t>
      </w:r>
      <w:r w:rsidR="6A324CEA">
        <w:t>126,500</w:t>
      </w:r>
    </w:p>
    <w:tbl>
      <w:tblPr>
        <w:tblW w:w="5001" w:type="pct"/>
        <w:tblInd w:w="-5" w:type="dxa"/>
        <w:tblCellMar>
          <w:left w:w="10" w:type="dxa"/>
          <w:right w:w="10" w:type="dxa"/>
        </w:tblCellMar>
        <w:tblLook w:val="04A0" w:firstRow="1" w:lastRow="0" w:firstColumn="1" w:lastColumn="0" w:noHBand="0" w:noVBand="1"/>
      </w:tblPr>
      <w:tblGrid>
        <w:gridCol w:w="2655"/>
        <w:gridCol w:w="4150"/>
        <w:gridCol w:w="2213"/>
      </w:tblGrid>
      <w:tr w:rsidR="00E66558" w:rsidTr="595BF174" w14:paraId="2A7D5519" w14:textId="77777777">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516" w14:textId="77777777">
            <w:pPr>
              <w:pStyle w:val="TableHeader"/>
              <w:spacing w:before="0" w:after="0"/>
              <w:ind w:left="0" w:right="0"/>
              <w:jc w:val="both"/>
            </w:pPr>
            <w:r>
              <w:t>Activity</w:t>
            </w:r>
          </w:p>
        </w:tc>
        <w:tc>
          <w:tcPr>
            <w:tcW w:w="41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517" w14:textId="77777777">
            <w:pPr>
              <w:pStyle w:val="TableHeader"/>
              <w:spacing w:before="0" w:after="0"/>
              <w:ind w:left="0" w:right="0"/>
              <w:jc w:val="both"/>
            </w:pPr>
            <w:r>
              <w:t>Evidence that supports this approach</w:t>
            </w:r>
          </w:p>
        </w:tc>
        <w:tc>
          <w:tcPr>
            <w:tcW w:w="22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518" w14:textId="77777777">
            <w:pPr>
              <w:pStyle w:val="TableHeader"/>
              <w:spacing w:before="0" w:after="0"/>
              <w:ind w:left="0" w:right="0"/>
              <w:jc w:val="both"/>
            </w:pPr>
            <w:r>
              <w:t>Challenge number(s) addressed</w:t>
            </w:r>
          </w:p>
        </w:tc>
      </w:tr>
      <w:tr w:rsidR="00E66558" w:rsidTr="595BF174" w14:paraId="2A7D551D" w14:textId="77777777">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07883" w:rsidP="00EE5679" w:rsidRDefault="00401FD2" w14:paraId="29728935" w14:textId="40D8D55A">
            <w:pPr>
              <w:spacing w:after="0" w:line="278" w:lineRule="auto"/>
              <w:jc w:val="both"/>
              <w:rPr>
                <w:b/>
                <w:bCs/>
                <w:sz w:val="20"/>
                <w:szCs w:val="20"/>
              </w:rPr>
            </w:pPr>
            <w:r>
              <w:rPr>
                <w:b/>
                <w:bCs/>
                <w:sz w:val="20"/>
                <w:szCs w:val="20"/>
              </w:rPr>
              <w:t xml:space="preserve">Embedding </w:t>
            </w:r>
            <w:r w:rsidR="00CF7B34">
              <w:rPr>
                <w:b/>
                <w:bCs/>
                <w:sz w:val="20"/>
                <w:szCs w:val="20"/>
              </w:rPr>
              <w:t>more opportunities for oracy:</w:t>
            </w:r>
          </w:p>
          <w:p w:rsidR="00E66558" w:rsidP="00EE5679" w:rsidRDefault="10D7A6C4" w14:paraId="06DD2370" w14:textId="61611B95">
            <w:pPr>
              <w:spacing w:after="0" w:line="278" w:lineRule="auto"/>
              <w:jc w:val="both"/>
              <w:rPr>
                <w:sz w:val="20"/>
                <w:szCs w:val="20"/>
              </w:rPr>
            </w:pPr>
            <w:r w:rsidRPr="00310312">
              <w:rPr>
                <w:b/>
                <w:bCs/>
                <w:sz w:val="20"/>
                <w:szCs w:val="20"/>
              </w:rPr>
              <w:t>Oracy CPD and Curriculum Integration</w:t>
            </w:r>
            <w:r w:rsidRPr="00310312">
              <w:rPr>
                <w:sz w:val="20"/>
                <w:szCs w:val="20"/>
              </w:rPr>
              <w:t xml:space="preserve">: Staff have engaged in CPD focused on metacognition, oral and written feedback, and oracy. This includes the development of </w:t>
            </w:r>
            <w:r w:rsidRPr="00310312">
              <w:rPr>
                <w:i/>
                <w:iCs/>
                <w:sz w:val="20"/>
                <w:szCs w:val="20"/>
              </w:rPr>
              <w:t>“Speaking with Confidence” strips</w:t>
            </w:r>
            <w:r w:rsidRPr="00310312">
              <w:rPr>
                <w:sz w:val="20"/>
                <w:szCs w:val="20"/>
              </w:rPr>
              <w:t xml:space="preserve"> and </w:t>
            </w:r>
            <w:r w:rsidRPr="00310312">
              <w:rPr>
                <w:i/>
                <w:iCs/>
                <w:sz w:val="20"/>
                <w:szCs w:val="20"/>
              </w:rPr>
              <w:t>“Roles in Speaking”</w:t>
            </w:r>
            <w:r w:rsidRPr="00310312">
              <w:rPr>
                <w:sz w:val="20"/>
                <w:szCs w:val="20"/>
              </w:rPr>
              <w:t xml:space="preserve"> tools, shared during September INSET. </w:t>
            </w:r>
          </w:p>
          <w:p w:rsidR="00E66558" w:rsidP="00EE5679" w:rsidRDefault="1D9B29BA" w14:paraId="34AE7E45" w14:textId="656BFD0A">
            <w:pPr>
              <w:spacing w:after="0" w:line="278" w:lineRule="auto"/>
              <w:jc w:val="both"/>
              <w:rPr>
                <w:sz w:val="20"/>
                <w:szCs w:val="20"/>
              </w:rPr>
            </w:pPr>
            <w:r w:rsidRPr="7DE9B5ED">
              <w:rPr>
                <w:b/>
                <w:bCs/>
                <w:sz w:val="20"/>
                <w:szCs w:val="20"/>
              </w:rPr>
              <w:t>Maslow-Aligned Oracy Model</w:t>
            </w:r>
            <w:r w:rsidRPr="7DE9B5ED">
              <w:rPr>
                <w:sz w:val="20"/>
                <w:szCs w:val="20"/>
              </w:rPr>
              <w:t xml:space="preserve">: Oracy is explicitly connected to Carmel’s personalised Maslow model, helping students build confidence and dialogue skills in lessons and enrichment activities. </w:t>
            </w:r>
          </w:p>
          <w:p w:rsidR="00E66558" w:rsidP="00EE5679" w:rsidRDefault="1D9B29BA" w14:paraId="136DDE7C" w14:textId="7AD767A2">
            <w:pPr>
              <w:spacing w:after="0" w:line="278" w:lineRule="auto"/>
              <w:jc w:val="both"/>
              <w:rPr>
                <w:sz w:val="20"/>
                <w:szCs w:val="20"/>
              </w:rPr>
            </w:pPr>
            <w:r w:rsidRPr="7DE9B5ED">
              <w:rPr>
                <w:b/>
                <w:bCs/>
                <w:sz w:val="20"/>
                <w:szCs w:val="20"/>
              </w:rPr>
              <w:t>TOTAL Triads CPD</w:t>
            </w:r>
            <w:r w:rsidRPr="7DE9B5ED">
              <w:rPr>
                <w:sz w:val="20"/>
                <w:szCs w:val="20"/>
              </w:rPr>
              <w:t xml:space="preserve">: Staff conducted research and trialled pedagogies in oracy, numeracy, AI, and behaviour for learning, embedding oracy as a core priority. </w:t>
            </w:r>
          </w:p>
          <w:p w:rsidR="00E66558" w:rsidP="00EE5679" w:rsidRDefault="00E66558" w14:paraId="2A7D551A" w14:textId="158A1948">
            <w:pPr>
              <w:pStyle w:val="TableRow"/>
              <w:spacing w:before="0" w:after="0"/>
              <w:ind w:left="0" w:right="0"/>
              <w:jc w:val="both"/>
              <w:rPr>
                <w:i/>
                <w:sz w:val="22"/>
                <w:szCs w:val="22"/>
              </w:rPr>
            </w:pPr>
          </w:p>
        </w:tc>
        <w:tc>
          <w:tcPr>
            <w:tcW w:w="41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1B13" w:rsidR="00E66558" w:rsidP="00EE5679" w:rsidRDefault="00F853DC" w14:paraId="27564000" w14:textId="77777777">
            <w:pPr>
              <w:suppressAutoHyphens w:val="0"/>
              <w:autoSpaceDN/>
              <w:spacing w:after="0" w:line="278" w:lineRule="auto"/>
              <w:jc w:val="both"/>
              <w:rPr>
                <w:sz w:val="22"/>
              </w:rPr>
            </w:pPr>
            <w:r w:rsidRPr="00721AAB">
              <w:rPr>
                <w:b/>
                <w:bCs/>
                <w:sz w:val="20"/>
                <w:szCs w:val="20"/>
              </w:rPr>
              <w:t>Metacognition and self-regulation</w:t>
            </w:r>
            <w:r w:rsidRPr="00721AAB">
              <w:rPr>
                <w:sz w:val="20"/>
                <w:szCs w:val="20"/>
              </w:rPr>
              <w:t xml:space="preserve"> strategies yield up to </w:t>
            </w:r>
            <w:r w:rsidRPr="00721AAB">
              <w:rPr>
                <w:b/>
                <w:bCs/>
                <w:sz w:val="20"/>
                <w:szCs w:val="20"/>
              </w:rPr>
              <w:t>+7 months</w:t>
            </w:r>
            <w:r w:rsidRPr="00721AAB">
              <w:rPr>
                <w:sz w:val="20"/>
                <w:szCs w:val="20"/>
              </w:rPr>
              <w:t xml:space="preserve"> progress for disadvantaged pupils when explicitly taught (</w:t>
            </w:r>
            <w:hyperlink r:id="rId15">
              <w:r w:rsidRPr="59A34215" w:rsidR="43CC2D39">
                <w:rPr>
                  <w:rStyle w:val="Hyperlink"/>
                  <w:sz w:val="20"/>
                  <w:szCs w:val="20"/>
                </w:rPr>
                <w:t>EEF Toolkit</w:t>
              </w:r>
            </w:hyperlink>
            <w:r w:rsidRPr="00721AAB">
              <w:rPr>
                <w:sz w:val="20"/>
                <w:szCs w:val="20"/>
              </w:rPr>
              <w:t xml:space="preserve">). </w:t>
            </w:r>
            <w:hyperlink r:id="rId16">
              <w:r w:rsidRPr="59A34215" w:rsidR="43CC2D39">
                <w:rPr>
                  <w:rStyle w:val="Hyperlink"/>
                  <w:sz w:val="20"/>
                  <w:szCs w:val="20"/>
                </w:rPr>
                <w:t>[www.ase.org.uk]</w:t>
              </w:r>
            </w:hyperlink>
          </w:p>
          <w:p w:rsidR="00051B13" w:rsidP="00EE5679" w:rsidRDefault="4F0467D1" w14:paraId="596812D4" w14:textId="6AFC0E2D">
            <w:pPr>
              <w:suppressAutoHyphens w:val="0"/>
              <w:autoSpaceDN/>
              <w:spacing w:after="0" w:line="278" w:lineRule="auto"/>
              <w:jc w:val="both"/>
              <w:rPr>
                <w:sz w:val="20"/>
                <w:szCs w:val="20"/>
              </w:rPr>
            </w:pPr>
            <w:r w:rsidRPr="3D6D12ED">
              <w:rPr>
                <w:rStyle w:val="Hyperlink"/>
                <w:sz w:val="20"/>
                <w:szCs w:val="20"/>
              </w:rPr>
              <w:t xml:space="preserve">Evidence </w:t>
            </w:r>
            <w:r w:rsidRPr="3D6D12ED">
              <w:rPr>
                <w:sz w:val="20"/>
                <w:szCs w:val="20"/>
              </w:rPr>
              <w:t xml:space="preserve">The </w:t>
            </w:r>
            <w:r w:rsidRPr="3D6D12ED">
              <w:rPr>
                <w:b/>
                <w:bCs/>
                <w:sz w:val="20"/>
                <w:szCs w:val="20"/>
              </w:rPr>
              <w:t>Education Endowment Foundation (EEF)</w:t>
            </w:r>
            <w:r w:rsidRPr="3D6D12ED">
              <w:rPr>
                <w:sz w:val="20"/>
                <w:szCs w:val="20"/>
              </w:rPr>
              <w:t xml:space="preserve"> rates </w:t>
            </w:r>
            <w:r w:rsidRPr="3D6D12ED">
              <w:rPr>
                <w:i/>
                <w:iCs/>
                <w:sz w:val="20"/>
                <w:szCs w:val="20"/>
              </w:rPr>
              <w:t>oral language interventions</w:t>
            </w:r>
            <w:r w:rsidRPr="3D6D12ED">
              <w:rPr>
                <w:sz w:val="20"/>
                <w:szCs w:val="20"/>
              </w:rPr>
              <w:t xml:space="preserve"> as having </w:t>
            </w:r>
            <w:r w:rsidRPr="3D6D12ED">
              <w:rPr>
                <w:b/>
                <w:bCs/>
                <w:sz w:val="20"/>
                <w:szCs w:val="20"/>
              </w:rPr>
              <w:t>high impact (+6 months progress)</w:t>
            </w:r>
            <w:r w:rsidRPr="3D6D12ED">
              <w:rPr>
                <w:sz w:val="20"/>
                <w:szCs w:val="20"/>
              </w:rPr>
              <w:t xml:space="preserve"> for </w:t>
            </w:r>
            <w:r w:rsidRPr="3D6D12ED">
              <w:rPr>
                <w:b/>
                <w:bCs/>
                <w:sz w:val="20"/>
                <w:szCs w:val="20"/>
              </w:rPr>
              <w:t>very low cost</w:t>
            </w:r>
            <w:r w:rsidRPr="3D6D12ED">
              <w:rPr>
                <w:sz w:val="20"/>
                <w:szCs w:val="20"/>
              </w:rPr>
              <w:t>, especially for disadvantaged pupils. These include structured questioning, vocabulary extension, and dialogic teaching (</w:t>
            </w:r>
            <w:hyperlink r:id="rId17">
              <w:r w:rsidRPr="3D6D12ED">
                <w:rPr>
                  <w:rStyle w:val="Hyperlink"/>
                  <w:sz w:val="20"/>
                  <w:szCs w:val="20"/>
                </w:rPr>
                <w:t>EEF Toolkit</w:t>
              </w:r>
              <w:r w:rsidRPr="3D6D12ED">
                <w:rPr>
                  <w:sz w:val="20"/>
                  <w:szCs w:val="20"/>
                </w:rPr>
                <w:t xml:space="preserve">). </w:t>
              </w:r>
            </w:hyperlink>
            <w:hyperlink r:id="rId18">
              <w:r w:rsidRPr="3D6D12ED">
                <w:rPr>
                  <w:rStyle w:val="Hyperlink"/>
                  <w:sz w:val="20"/>
                  <w:szCs w:val="20"/>
                </w:rPr>
                <w:t>[educatione...ion.org.uk]</w:t>
              </w:r>
            </w:hyperlink>
          </w:p>
          <w:p w:rsidRPr="005803A4" w:rsidR="00051B13" w:rsidP="00EE5679" w:rsidRDefault="4F0467D1" w14:paraId="2136058E" w14:textId="77777777">
            <w:pPr>
              <w:suppressAutoHyphens w:val="0"/>
              <w:autoSpaceDN/>
              <w:spacing w:after="0" w:line="278" w:lineRule="auto"/>
              <w:jc w:val="both"/>
              <w:rPr>
                <w:color w:val="0D0D0D" w:themeColor="text1" w:themeTint="F2"/>
              </w:rPr>
            </w:pPr>
            <w:r w:rsidRPr="005803A4">
              <w:rPr>
                <w:sz w:val="20"/>
                <w:szCs w:val="20"/>
              </w:rPr>
              <w:t xml:space="preserve">The </w:t>
            </w:r>
            <w:r w:rsidRPr="005803A4">
              <w:rPr>
                <w:b/>
                <w:bCs/>
                <w:sz w:val="20"/>
                <w:szCs w:val="20"/>
              </w:rPr>
              <w:t>English-Speaking Union’s report</w:t>
            </w:r>
            <w:r w:rsidRPr="005803A4">
              <w:rPr>
                <w:sz w:val="20"/>
                <w:szCs w:val="20"/>
              </w:rPr>
              <w:t xml:space="preserve"> synthesises evidence from psycholinguistics, neuroscience, and education, concluding that oracy improves </w:t>
            </w:r>
            <w:r w:rsidRPr="005803A4">
              <w:rPr>
                <w:b/>
                <w:bCs/>
                <w:sz w:val="20"/>
                <w:szCs w:val="20"/>
              </w:rPr>
              <w:t>life chances, academic outcomes, and teacher development</w:t>
            </w:r>
            <w:r w:rsidRPr="005803A4">
              <w:rPr>
                <w:sz w:val="20"/>
                <w:szCs w:val="20"/>
              </w:rPr>
              <w:t xml:space="preserve"> (</w:t>
            </w:r>
            <w:hyperlink r:id="rId19">
              <w:r w:rsidRPr="005803A4">
                <w:rPr>
                  <w:rStyle w:val="Hyperlink"/>
                  <w:sz w:val="20"/>
                  <w:szCs w:val="20"/>
                </w:rPr>
                <w:t>Why Oracy Matters</w:t>
              </w:r>
              <w:r w:rsidRPr="005803A4">
                <w:rPr>
                  <w:sz w:val="20"/>
                  <w:szCs w:val="20"/>
                </w:rPr>
                <w:t xml:space="preserve">). </w:t>
              </w:r>
            </w:hyperlink>
            <w:hyperlink r:id="rId20">
              <w:r w:rsidRPr="005803A4">
                <w:rPr>
                  <w:rStyle w:val="Hyperlink"/>
                  <w:sz w:val="20"/>
                  <w:szCs w:val="20"/>
                </w:rPr>
                <w:t>[www.esu.org]</w:t>
              </w:r>
            </w:hyperlink>
          </w:p>
          <w:p w:rsidRPr="005803A4" w:rsidR="00051B13" w:rsidP="00EE5679" w:rsidRDefault="4F0467D1" w14:paraId="57A50623" w14:textId="0CA3DE17">
            <w:pPr>
              <w:suppressAutoHyphens w:val="0"/>
              <w:autoSpaceDN/>
              <w:spacing w:after="0" w:line="278" w:lineRule="auto"/>
              <w:jc w:val="both"/>
              <w:rPr>
                <w:color w:val="0D0D0D" w:themeColor="text1" w:themeTint="F2"/>
              </w:rPr>
            </w:pPr>
            <w:r w:rsidRPr="005803A4">
              <w:rPr>
                <w:sz w:val="20"/>
                <w:szCs w:val="20"/>
              </w:rPr>
              <w:t xml:space="preserve">A </w:t>
            </w:r>
            <w:r w:rsidRPr="005803A4">
              <w:rPr>
                <w:b/>
                <w:bCs/>
                <w:sz w:val="20"/>
                <w:szCs w:val="20"/>
              </w:rPr>
              <w:t>Cambridge University study</w:t>
            </w:r>
            <w:r w:rsidRPr="005803A4">
              <w:rPr>
                <w:sz w:val="20"/>
                <w:szCs w:val="20"/>
              </w:rPr>
              <w:t xml:space="preserve"> found that structured exploratory talk significantly improved reasoning, confidence, and engagement among disadvantaged Year 10 students (</w:t>
            </w:r>
            <w:hyperlink r:id="rId21">
              <w:r w:rsidRPr="005803A4">
                <w:rPr>
                  <w:rStyle w:val="Hyperlink"/>
                  <w:sz w:val="20"/>
                  <w:szCs w:val="20"/>
                </w:rPr>
                <w:t>CamtreeResearch</w:t>
              </w:r>
              <w:r w:rsidRPr="005803A4">
                <w:rPr>
                  <w:sz w:val="20"/>
                  <w:szCs w:val="20"/>
                </w:rPr>
                <w:t xml:space="preserve">). </w:t>
              </w:r>
            </w:hyperlink>
            <w:hyperlink r:id="rId22">
              <w:r w:rsidRPr="005803A4">
                <w:rPr>
                  <w:rStyle w:val="Hyperlink"/>
                  <w:sz w:val="20"/>
                  <w:szCs w:val="20"/>
                </w:rPr>
                <w:t>[library.camtree.org]</w:t>
              </w:r>
            </w:hyperlink>
          </w:p>
          <w:p w:rsidRPr="005803A4" w:rsidR="00051B13" w:rsidP="00EE5679" w:rsidRDefault="4F0467D1" w14:paraId="43D25456" w14:textId="77777777">
            <w:pPr>
              <w:suppressAutoHyphens w:val="0"/>
              <w:autoSpaceDN/>
              <w:spacing w:after="0" w:line="278" w:lineRule="auto"/>
              <w:jc w:val="both"/>
              <w:rPr>
                <w:color w:val="0D0D0D" w:themeColor="text1" w:themeTint="F2"/>
              </w:rPr>
            </w:pPr>
            <w:r w:rsidRPr="005803A4">
              <w:rPr>
                <w:sz w:val="20"/>
                <w:szCs w:val="20"/>
              </w:rPr>
              <w:t xml:space="preserve">The </w:t>
            </w:r>
            <w:r w:rsidRPr="005803A4">
              <w:rPr>
                <w:b/>
                <w:bCs/>
                <w:sz w:val="20"/>
                <w:szCs w:val="20"/>
              </w:rPr>
              <w:t>Aspirer Research School</w:t>
            </w:r>
            <w:r w:rsidRPr="005803A4">
              <w:rPr>
                <w:sz w:val="20"/>
                <w:szCs w:val="20"/>
              </w:rPr>
              <w:t xml:space="preserve"> highlights oracy as a “proven lever for equity,” especially for low-attaining and disadvantaged pupils struggling with vocabulary and articulation (</w:t>
            </w:r>
            <w:hyperlink r:id="rId23">
              <w:r w:rsidRPr="005803A4">
                <w:rPr>
                  <w:rStyle w:val="Hyperlink"/>
                  <w:sz w:val="20"/>
                  <w:szCs w:val="20"/>
                </w:rPr>
                <w:t>Aspirer Research</w:t>
              </w:r>
              <w:r w:rsidRPr="005803A4">
                <w:rPr>
                  <w:sz w:val="20"/>
                  <w:szCs w:val="20"/>
                </w:rPr>
                <w:t xml:space="preserve">). </w:t>
              </w:r>
            </w:hyperlink>
            <w:hyperlink r:id="rId24">
              <w:r w:rsidRPr="005803A4">
                <w:rPr>
                  <w:rStyle w:val="Hyperlink"/>
                  <w:sz w:val="20"/>
                  <w:szCs w:val="20"/>
                </w:rPr>
                <w:t>[researchsc...ool.org.uk]</w:t>
              </w:r>
            </w:hyperlink>
          </w:p>
          <w:p w:rsidR="00051B13" w:rsidP="00EE5679" w:rsidRDefault="00051B13" w14:paraId="2A7D551B" w14:textId="6030DFDE">
            <w:pPr>
              <w:suppressAutoHyphens w:val="0"/>
              <w:autoSpaceDN/>
              <w:spacing w:after="0" w:line="278" w:lineRule="auto"/>
              <w:ind w:left="360"/>
              <w:jc w:val="both"/>
              <w:rPr>
                <w:sz w:val="22"/>
                <w:szCs w:val="22"/>
              </w:rPr>
            </w:pPr>
          </w:p>
        </w:tc>
        <w:tc>
          <w:tcPr>
            <w:tcW w:w="22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2281F35F" w14:paraId="2A7D551C" w14:textId="2A74E10B">
            <w:pPr>
              <w:pStyle w:val="TableRowCentered"/>
              <w:spacing w:before="0" w:after="0"/>
              <w:ind w:left="0" w:right="0"/>
              <w:jc w:val="both"/>
              <w:rPr>
                <w:sz w:val="22"/>
                <w:szCs w:val="22"/>
              </w:rPr>
            </w:pPr>
            <w:r w:rsidRPr="7208635F">
              <w:rPr>
                <w:sz w:val="22"/>
                <w:szCs w:val="22"/>
              </w:rPr>
              <w:t>3</w:t>
            </w:r>
            <w:r w:rsidRPr="25341BB8">
              <w:rPr>
                <w:sz w:val="22"/>
                <w:szCs w:val="22"/>
              </w:rPr>
              <w:t>,</w:t>
            </w:r>
            <w:r w:rsidRPr="57279087">
              <w:rPr>
                <w:sz w:val="22"/>
                <w:szCs w:val="22"/>
              </w:rPr>
              <w:t xml:space="preserve"> 4</w:t>
            </w:r>
            <w:r w:rsidRPr="7A7386C3" w:rsidR="21C975B9">
              <w:rPr>
                <w:sz w:val="22"/>
                <w:szCs w:val="22"/>
              </w:rPr>
              <w:t>,</w:t>
            </w:r>
            <w:r w:rsidRPr="50639BDB" w:rsidR="21C975B9">
              <w:rPr>
                <w:sz w:val="22"/>
                <w:szCs w:val="22"/>
              </w:rPr>
              <w:t xml:space="preserve"> 5</w:t>
            </w:r>
          </w:p>
        </w:tc>
      </w:tr>
      <w:tr w:rsidR="00E66558" w:rsidTr="595BF174" w14:paraId="2A7D5521" w14:textId="77777777">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86FB2" w:rsidR="00E66558" w:rsidP="00EE5679" w:rsidRDefault="00350E4B" w14:paraId="09CF3D62" w14:textId="35E5BF0B">
            <w:pPr>
              <w:pStyle w:val="TableRow"/>
              <w:spacing w:before="0" w:after="0"/>
              <w:ind w:left="0" w:right="0"/>
              <w:jc w:val="both"/>
              <w:rPr>
                <w:sz w:val="20"/>
                <w:szCs w:val="20"/>
              </w:rPr>
            </w:pPr>
            <w:r w:rsidRPr="00986FB2">
              <w:rPr>
                <w:iCs/>
                <w:sz w:val="20"/>
                <w:szCs w:val="20"/>
              </w:rPr>
              <w:lastRenderedPageBreak/>
              <w:t xml:space="preserve">Consistent </w:t>
            </w:r>
            <w:r w:rsidRPr="00986FB2" w:rsidR="00986FB2">
              <w:rPr>
                <w:iCs/>
                <w:sz w:val="20"/>
                <w:szCs w:val="20"/>
              </w:rPr>
              <w:t>h</w:t>
            </w:r>
            <w:r w:rsidRPr="00986FB2" w:rsidR="00DE597F">
              <w:rPr>
                <w:iCs/>
                <w:sz w:val="20"/>
                <w:szCs w:val="20"/>
              </w:rPr>
              <w:t>igh</w:t>
            </w:r>
            <w:r w:rsidR="00986FB2">
              <w:rPr>
                <w:iCs/>
                <w:sz w:val="20"/>
                <w:szCs w:val="20"/>
              </w:rPr>
              <w:t>-</w:t>
            </w:r>
            <w:r w:rsidRPr="00986FB2" w:rsidR="00DE597F">
              <w:rPr>
                <w:iCs/>
                <w:sz w:val="20"/>
                <w:szCs w:val="20"/>
              </w:rPr>
              <w:t xml:space="preserve"> quality teaching</w:t>
            </w:r>
            <w:r w:rsidRPr="00986FB2">
              <w:rPr>
                <w:iCs/>
                <w:sz w:val="20"/>
                <w:szCs w:val="20"/>
              </w:rPr>
              <w:t xml:space="preserve"> from experienced experts</w:t>
            </w:r>
            <w:r w:rsidRPr="4B50CF03" w:rsidR="323332C8">
              <w:rPr>
                <w:sz w:val="20"/>
                <w:szCs w:val="20"/>
              </w:rPr>
              <w:t>.</w:t>
            </w:r>
          </w:p>
          <w:p w:rsidRPr="00986FB2" w:rsidR="00E66558" w:rsidP="00EE5679" w:rsidRDefault="323332C8" w14:paraId="2A7D551E" w14:textId="214A4519">
            <w:pPr>
              <w:spacing w:after="0"/>
              <w:jc w:val="both"/>
              <w:rPr>
                <w:iCs/>
                <w:sz w:val="20"/>
                <w:szCs w:val="20"/>
              </w:rPr>
            </w:pPr>
            <w:r w:rsidRPr="00DE7B61">
              <w:rPr>
                <w:sz w:val="20"/>
                <w:szCs w:val="20"/>
              </w:rPr>
              <w:t xml:space="preserve">Teachers plan and deliver lessons using our LEARN model that includes: </w:t>
            </w:r>
            <w:r w:rsidRPr="00DE7B61" w:rsidR="00DE7B61">
              <w:rPr>
                <w:sz w:val="20"/>
                <w:szCs w:val="20"/>
              </w:rPr>
              <w:t>a</w:t>
            </w:r>
            <w:r w:rsidRPr="00DE7B61">
              <w:rPr>
                <w:sz w:val="20"/>
                <w:szCs w:val="20"/>
              </w:rPr>
              <w:t>daptive teaching</w:t>
            </w:r>
            <w:r w:rsidRPr="00DE7B61" w:rsidR="00AA287D">
              <w:rPr>
                <w:sz w:val="20"/>
                <w:szCs w:val="20"/>
              </w:rPr>
              <w:t xml:space="preserve">, </w:t>
            </w:r>
            <w:r w:rsidRPr="00DE7B61" w:rsidR="00455662">
              <w:rPr>
                <w:sz w:val="20"/>
                <w:szCs w:val="20"/>
              </w:rPr>
              <w:t>o</w:t>
            </w:r>
            <w:r w:rsidRPr="00DE7B61" w:rsidR="001F6F6F">
              <w:rPr>
                <w:sz w:val="20"/>
                <w:szCs w:val="20"/>
              </w:rPr>
              <w:t>n</w:t>
            </w:r>
            <w:r w:rsidRPr="00DE7B61" w:rsidR="00455662">
              <w:rPr>
                <w:sz w:val="20"/>
                <w:szCs w:val="20"/>
              </w:rPr>
              <w:t xml:space="preserve"> </w:t>
            </w:r>
            <w:r w:rsidRPr="00DE7B61">
              <w:rPr>
                <w:sz w:val="20"/>
                <w:szCs w:val="20"/>
              </w:rPr>
              <w:t>going formative assessment</w:t>
            </w:r>
            <w:r w:rsidRPr="00DE7B61" w:rsidR="00AD0418">
              <w:rPr>
                <w:sz w:val="20"/>
                <w:szCs w:val="20"/>
              </w:rPr>
              <w:t xml:space="preserve">, </w:t>
            </w:r>
            <w:r w:rsidRPr="00DE7B61" w:rsidR="00455662">
              <w:rPr>
                <w:sz w:val="20"/>
                <w:szCs w:val="20"/>
              </w:rPr>
              <w:t>e</w:t>
            </w:r>
            <w:r w:rsidRPr="00DE7B61">
              <w:rPr>
                <w:sz w:val="20"/>
                <w:szCs w:val="20"/>
              </w:rPr>
              <w:t>xplicit instruction, modelling, and frequent checks for understanding</w:t>
            </w:r>
            <w:r w:rsidRPr="00DE7B61" w:rsidR="00DE7B61">
              <w:rPr>
                <w:sz w:val="20"/>
                <w:szCs w:val="20"/>
              </w:rPr>
              <w:t xml:space="preserve"> using MWB.</w:t>
            </w:r>
            <w:r w:rsidR="00DE7B61">
              <w:rPr>
                <w:sz w:val="20"/>
                <w:szCs w:val="20"/>
              </w:rPr>
              <w:t xml:space="preserve"> </w:t>
            </w:r>
            <w:r w:rsidRPr="00455662">
              <w:rPr>
                <w:bCs/>
                <w:sz w:val="20"/>
                <w:szCs w:val="20"/>
              </w:rPr>
              <w:t>Metacognitive and cognitive strategies embedded in subject-specific contexts.</w:t>
            </w:r>
            <w:r w:rsidRPr="00127F19">
              <w:rPr>
                <w:sz w:val="20"/>
                <w:szCs w:val="20"/>
              </w:rPr>
              <w:t xml:space="preserve"> </w:t>
            </w:r>
          </w:p>
        </w:tc>
        <w:tc>
          <w:tcPr>
            <w:tcW w:w="41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D7E67" w:rsidR="00E66558" w:rsidP="00EE5679" w:rsidRDefault="008D7E67" w14:paraId="2A7D551F" w14:textId="647CAE9E">
            <w:pPr>
              <w:pStyle w:val="TableRowCentered"/>
              <w:spacing w:before="0" w:after="0"/>
              <w:ind w:left="0" w:right="0"/>
              <w:jc w:val="both"/>
              <w:rPr>
                <w:sz w:val="20"/>
              </w:rPr>
            </w:pPr>
            <w:r w:rsidRPr="008D7E67">
              <w:rPr>
                <w:b/>
                <w:bCs/>
                <w:sz w:val="20"/>
              </w:rPr>
              <w:t>EEF Guidance</w:t>
            </w:r>
            <w:r w:rsidRPr="008D7E67">
              <w:rPr>
                <w:sz w:val="20"/>
              </w:rPr>
              <w:t>: High-quality teaching includes scaffolding, flexible grouping, and diagnostic assessment to uncover misconceptions.</w:t>
            </w:r>
          </w:p>
        </w:tc>
        <w:tc>
          <w:tcPr>
            <w:tcW w:w="22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00E66558" w14:paraId="2A7D5520" w14:textId="77777777">
            <w:pPr>
              <w:pStyle w:val="TableRowCentered"/>
              <w:spacing w:before="0" w:after="0"/>
              <w:ind w:left="0" w:right="0"/>
              <w:jc w:val="both"/>
              <w:rPr>
                <w:sz w:val="22"/>
              </w:rPr>
            </w:pPr>
          </w:p>
        </w:tc>
      </w:tr>
    </w:tbl>
    <w:p w:rsidR="00E66558" w:rsidP="00EE5679" w:rsidRDefault="00E66558" w14:paraId="2A7D5522" w14:textId="77777777">
      <w:pPr>
        <w:spacing w:after="0"/>
        <w:jc w:val="both"/>
      </w:pPr>
    </w:p>
    <w:p w:rsidRPr="00AA355B" w:rsidR="00E66558" w:rsidP="00EE5679" w:rsidRDefault="009D71E8" w14:paraId="2A7D5523" w14:textId="5B2BE35F">
      <w:pPr>
        <w:pStyle w:val="Heading3"/>
        <w:spacing w:before="0" w:after="0"/>
        <w:jc w:val="both"/>
      </w:pPr>
      <w:r>
        <w:t xml:space="preserve">Targeted academic support (for example, </w:t>
      </w:r>
      <w:r w:rsidR="00D33FE5">
        <w:t>tutoring, one-to-one support</w:t>
      </w:r>
      <w:r w:rsidR="00F776E1">
        <w:t>,</w:t>
      </w:r>
      <w:r w:rsidR="00D33FE5">
        <w:t xml:space="preserve"> </w:t>
      </w:r>
      <w:r>
        <w:t xml:space="preserve">structured interventions) </w:t>
      </w:r>
    </w:p>
    <w:p w:rsidR="00E66558" w:rsidP="00EE5679" w:rsidRDefault="009D71E8" w14:paraId="2A7D5524" w14:textId="18D7801E">
      <w:pPr>
        <w:spacing w:after="0"/>
        <w:jc w:val="both"/>
        <w:rPr>
          <w:i/>
        </w:rPr>
      </w:pPr>
      <w:r>
        <w:t xml:space="preserve">Budgeted cost: £ </w:t>
      </w:r>
      <w:r w:rsidR="3E392FA3">
        <w:t>63,133</w:t>
      </w:r>
    </w:p>
    <w:tbl>
      <w:tblPr>
        <w:tblW w:w="5091" w:type="pct"/>
        <w:tblInd w:w="-113" w:type="dxa"/>
        <w:tblCellMar>
          <w:left w:w="10" w:type="dxa"/>
          <w:right w:w="10" w:type="dxa"/>
        </w:tblCellMar>
        <w:tblLook w:val="04A0" w:firstRow="1" w:lastRow="0" w:firstColumn="1" w:lastColumn="0" w:noHBand="0" w:noVBand="1"/>
      </w:tblPr>
      <w:tblGrid>
        <w:gridCol w:w="2521"/>
        <w:gridCol w:w="4069"/>
        <w:gridCol w:w="2590"/>
      </w:tblGrid>
      <w:tr w:rsidR="00E66558" w:rsidTr="00F14A33" w14:paraId="2A7D5528" w14:textId="77777777">
        <w:tc>
          <w:tcPr>
            <w:tcW w:w="25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525" w14:textId="77777777">
            <w:pPr>
              <w:pStyle w:val="TableHeader"/>
              <w:spacing w:before="0" w:after="0"/>
              <w:ind w:left="0" w:right="0"/>
              <w:jc w:val="both"/>
            </w:pPr>
            <w:r>
              <w:t>Activity</w:t>
            </w:r>
          </w:p>
        </w:tc>
        <w:tc>
          <w:tcPr>
            <w:tcW w:w="4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526" w14:textId="77777777">
            <w:pPr>
              <w:pStyle w:val="TableHeader"/>
              <w:spacing w:before="0" w:after="0"/>
              <w:ind w:left="0" w:right="0"/>
              <w:jc w:val="both"/>
            </w:pPr>
            <w:r>
              <w:t>Evidence that supports this approach</w:t>
            </w:r>
          </w:p>
        </w:tc>
        <w:tc>
          <w:tcPr>
            <w:tcW w:w="2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527" w14:textId="77777777">
            <w:pPr>
              <w:pStyle w:val="TableHeader"/>
              <w:spacing w:before="0" w:after="0"/>
              <w:ind w:left="0" w:right="0"/>
              <w:jc w:val="both"/>
            </w:pPr>
            <w:r>
              <w:t>Challenge number(s) addressed</w:t>
            </w:r>
          </w:p>
        </w:tc>
      </w:tr>
      <w:tr w:rsidR="00E66558" w:rsidTr="00493249" w14:paraId="2A7D552C" w14:textId="77777777">
        <w:tc>
          <w:tcPr>
            <w:tcW w:w="2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4C9C2F9" w:rsidP="00EE5679" w:rsidRDefault="007121C6" w14:paraId="00F30AA6" w14:textId="02770F6C">
            <w:pPr>
              <w:spacing w:after="0" w:line="278" w:lineRule="auto"/>
              <w:jc w:val="both"/>
              <w:rPr>
                <w:sz w:val="20"/>
                <w:szCs w:val="20"/>
              </w:rPr>
            </w:pPr>
            <w:r>
              <w:rPr>
                <w:sz w:val="20"/>
                <w:szCs w:val="20"/>
              </w:rPr>
              <w:t>Academic interventions prioritised for disadvantaged pupils in English and Maths.</w:t>
            </w:r>
          </w:p>
          <w:p w:rsidR="007121C6" w:rsidP="00EE5679" w:rsidRDefault="007121C6" w14:paraId="4701BECC" w14:textId="29D963FA">
            <w:pPr>
              <w:spacing w:after="0" w:line="278" w:lineRule="auto"/>
              <w:jc w:val="both"/>
              <w:rPr>
                <w:sz w:val="20"/>
                <w:szCs w:val="20"/>
              </w:rPr>
            </w:pPr>
            <w:r>
              <w:rPr>
                <w:sz w:val="20"/>
                <w:szCs w:val="20"/>
              </w:rPr>
              <w:t xml:space="preserve">Learning mentors work with disadvantaged to </w:t>
            </w:r>
            <w:r w:rsidR="00FD4007">
              <w:rPr>
                <w:sz w:val="20"/>
                <w:szCs w:val="20"/>
              </w:rPr>
              <w:t>complete catch up work missed through absence.</w:t>
            </w:r>
          </w:p>
          <w:p w:rsidR="001618AF" w:rsidP="00EE5679" w:rsidRDefault="001441B2" w14:paraId="7AC99DA2" w14:textId="2D9D27DD">
            <w:pPr>
              <w:spacing w:after="0" w:line="278" w:lineRule="auto"/>
              <w:jc w:val="both"/>
              <w:rPr>
                <w:sz w:val="20"/>
                <w:szCs w:val="20"/>
              </w:rPr>
            </w:pPr>
            <w:r>
              <w:rPr>
                <w:sz w:val="20"/>
                <w:szCs w:val="20"/>
              </w:rPr>
              <w:t xml:space="preserve">Summarised </w:t>
            </w:r>
            <w:r w:rsidR="00447C50">
              <w:rPr>
                <w:sz w:val="20"/>
                <w:szCs w:val="20"/>
              </w:rPr>
              <w:t xml:space="preserve">lesson content created for </w:t>
            </w:r>
            <w:r w:rsidR="004A0D39">
              <w:rPr>
                <w:sz w:val="20"/>
                <w:szCs w:val="20"/>
              </w:rPr>
              <w:t>absent pupils</w:t>
            </w:r>
            <w:r w:rsidR="00DD60DC">
              <w:rPr>
                <w:sz w:val="20"/>
                <w:szCs w:val="20"/>
              </w:rPr>
              <w:t>.</w:t>
            </w:r>
          </w:p>
          <w:p w:rsidR="00E66558" w:rsidP="00EE5679" w:rsidRDefault="00E66558" w14:paraId="2A7D5529" w14:textId="7741A639">
            <w:pPr>
              <w:pStyle w:val="TableRow"/>
              <w:spacing w:before="0" w:after="0"/>
              <w:ind w:left="0" w:right="0"/>
              <w:jc w:val="both"/>
            </w:pPr>
          </w:p>
        </w:tc>
        <w:tc>
          <w:tcPr>
            <w:tcW w:w="4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13588" w:rsidR="004B574E" w:rsidP="00EE5679" w:rsidRDefault="00F853DC" w14:paraId="1CF0938F" w14:textId="77777777">
            <w:pPr>
              <w:suppressAutoHyphens w:val="0"/>
              <w:autoSpaceDN/>
              <w:spacing w:after="0" w:line="278" w:lineRule="auto"/>
              <w:jc w:val="both"/>
              <w:rPr>
                <w:sz w:val="20"/>
                <w:szCs w:val="20"/>
              </w:rPr>
            </w:pPr>
            <w:r w:rsidRPr="00413588">
              <w:rPr>
                <w:b/>
                <w:bCs/>
                <w:sz w:val="20"/>
                <w:szCs w:val="20"/>
              </w:rPr>
              <w:t>Evidence Based Education</w:t>
            </w:r>
            <w:r w:rsidRPr="00413588">
              <w:rPr>
                <w:sz w:val="20"/>
                <w:szCs w:val="20"/>
              </w:rPr>
              <w:t xml:space="preserve"> stresses the need for </w:t>
            </w:r>
            <w:r w:rsidRPr="00413588">
              <w:rPr>
                <w:b/>
                <w:bCs/>
                <w:sz w:val="20"/>
                <w:szCs w:val="20"/>
              </w:rPr>
              <w:t>contextualised interventions</w:t>
            </w:r>
            <w:r w:rsidRPr="00413588">
              <w:rPr>
                <w:sz w:val="20"/>
                <w:szCs w:val="20"/>
              </w:rPr>
              <w:t xml:space="preserve"> that respond to individual needs rather than blanket approaches (</w:t>
            </w:r>
            <w:r w:rsidRPr="00413588">
              <w:rPr>
                <w:sz w:val="20"/>
                <w:szCs w:val="20"/>
              </w:rPr>
              <w:fldChar w:fldCharType="begin"/>
            </w:r>
            <w:r w:rsidRPr="00413588">
              <w:rPr>
                <w:sz w:val="20"/>
                <w:szCs w:val="20"/>
              </w:rPr>
              <w:instrText>HYPERLINK "https://evidencebased.education/strategies-for-disadvantaged-students/" \t "_blank"</w:instrText>
            </w:r>
            <w:r w:rsidRPr="00721AAB">
              <w:rPr>
                <w:sz w:val="20"/>
                <w:szCs w:val="20"/>
              </w:rPr>
            </w:r>
            <w:r w:rsidRPr="00413588">
              <w:rPr>
                <w:sz w:val="20"/>
                <w:szCs w:val="20"/>
              </w:rPr>
              <w:fldChar w:fldCharType="separate"/>
            </w:r>
          </w:p>
          <w:p w:rsidRPr="004B574E" w:rsidR="00E66558" w:rsidP="00EE5679" w:rsidRDefault="08E741BA" w14:paraId="3B25929A" w14:textId="77777777">
            <w:pPr>
              <w:spacing w:after="0" w:line="278" w:lineRule="auto"/>
              <w:jc w:val="both"/>
              <w:rPr>
                <w:sz w:val="20"/>
                <w:szCs w:val="20"/>
              </w:rPr>
            </w:pPr>
            <w:r w:rsidRPr="5DC7324A">
              <w:rPr>
                <w:sz w:val="20"/>
                <w:szCs w:val="20"/>
              </w:rPr>
              <w:t xml:space="preserve">The </w:t>
            </w:r>
            <w:r w:rsidRPr="5DC7324A">
              <w:rPr>
                <w:b/>
                <w:bCs/>
                <w:sz w:val="20"/>
                <w:szCs w:val="20"/>
              </w:rPr>
              <w:t>Social Mobility Commission</w:t>
            </w:r>
            <w:r w:rsidRPr="5DC7324A">
              <w:rPr>
                <w:sz w:val="20"/>
                <w:szCs w:val="20"/>
              </w:rPr>
              <w:t xml:space="preserve"> highlights the importance of </w:t>
            </w:r>
            <w:r w:rsidRPr="5DC7324A">
              <w:rPr>
                <w:b/>
                <w:bCs/>
                <w:sz w:val="20"/>
                <w:szCs w:val="20"/>
              </w:rPr>
              <w:t>structured pathways</w:t>
            </w:r>
            <w:r w:rsidRPr="5DC7324A">
              <w:rPr>
                <w:sz w:val="20"/>
                <w:szCs w:val="20"/>
              </w:rPr>
              <w:t xml:space="preserve">, </w:t>
            </w:r>
            <w:r w:rsidRPr="5DC7324A">
              <w:rPr>
                <w:b/>
                <w:bCs/>
                <w:sz w:val="20"/>
                <w:szCs w:val="20"/>
              </w:rPr>
              <w:t>mentoring</w:t>
            </w:r>
            <w:r w:rsidRPr="5DC7324A">
              <w:rPr>
                <w:sz w:val="20"/>
                <w:szCs w:val="20"/>
              </w:rPr>
              <w:t xml:space="preserve">, and </w:t>
            </w:r>
            <w:r w:rsidRPr="5DC7324A">
              <w:rPr>
                <w:b/>
                <w:bCs/>
                <w:sz w:val="20"/>
                <w:szCs w:val="20"/>
              </w:rPr>
              <w:t>early identification of talent</w:t>
            </w:r>
            <w:r w:rsidRPr="5DC7324A">
              <w:rPr>
                <w:sz w:val="20"/>
                <w:szCs w:val="20"/>
              </w:rPr>
              <w:t xml:space="preserve"> to improve outcomes for disadvantaged learners (</w:t>
            </w:r>
            <w:hyperlink r:id="rId25">
              <w:r w:rsidRPr="5DC7324A">
                <w:rPr>
                  <w:rStyle w:val="Hyperlink"/>
                  <w:sz w:val="20"/>
                  <w:szCs w:val="20"/>
                </w:rPr>
                <w:t>GOV.UK FE Sector Review</w:t>
              </w:r>
            </w:hyperlink>
            <w:r w:rsidRPr="5DC7324A">
              <w:rPr>
                <w:sz w:val="20"/>
                <w:szCs w:val="20"/>
              </w:rPr>
              <w:t xml:space="preserve">). </w:t>
            </w:r>
            <w:hyperlink r:id="rId26">
              <w:r w:rsidRPr="5DC7324A">
                <w:rPr>
                  <w:rStyle w:val="Hyperlink"/>
                  <w:sz w:val="20"/>
                  <w:szCs w:val="20"/>
                </w:rPr>
                <w:t>[www.gov.uk]</w:t>
              </w:r>
            </w:hyperlink>
          </w:p>
          <w:p w:rsidRPr="004B574E" w:rsidR="00E66558" w:rsidP="00EE5679" w:rsidRDefault="00F853DC" w14:paraId="2A7D552A" w14:textId="0BC2509C">
            <w:pPr>
              <w:pStyle w:val="TableRowCentered"/>
              <w:spacing w:before="0" w:after="0"/>
              <w:ind w:left="360" w:right="0"/>
              <w:jc w:val="both"/>
              <w:rPr>
                <w:sz w:val="20"/>
              </w:rPr>
            </w:pPr>
            <w:r w:rsidRPr="00721AAB">
              <w:rPr>
                <w:sz w:val="20"/>
              </w:rPr>
              <w:fldChar w:fldCharType="end"/>
            </w:r>
          </w:p>
        </w:tc>
        <w:tc>
          <w:tcPr>
            <w:tcW w:w="2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41F4C0DF" w14:paraId="2A7D552B" w14:textId="19625831">
            <w:pPr>
              <w:pStyle w:val="TableRowCentered"/>
              <w:spacing w:before="0" w:after="0"/>
              <w:ind w:left="0" w:right="0"/>
              <w:jc w:val="both"/>
              <w:rPr>
                <w:sz w:val="22"/>
                <w:szCs w:val="22"/>
              </w:rPr>
            </w:pPr>
            <w:r w:rsidRPr="3AA6D995">
              <w:rPr>
                <w:sz w:val="22"/>
                <w:szCs w:val="22"/>
              </w:rPr>
              <w:t>1,2,3</w:t>
            </w:r>
          </w:p>
        </w:tc>
      </w:tr>
      <w:tr w:rsidR="00E66558" w:rsidTr="00493249" w14:paraId="2A7D5530" w14:textId="77777777">
        <w:tc>
          <w:tcPr>
            <w:tcW w:w="2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35BAA" w:rsidR="00C5723B" w:rsidP="00EE5679" w:rsidRDefault="00C5723B" w14:paraId="70E27394" w14:textId="00735DAC">
            <w:pPr>
              <w:suppressAutoHyphens w:val="0"/>
              <w:autoSpaceDN/>
              <w:spacing w:after="0" w:line="278" w:lineRule="auto"/>
              <w:jc w:val="both"/>
              <w:rPr>
                <w:sz w:val="20"/>
                <w:szCs w:val="20"/>
              </w:rPr>
            </w:pPr>
            <w:r w:rsidRPr="00935BAA">
              <w:rPr>
                <w:b/>
                <w:bCs/>
                <w:sz w:val="20"/>
                <w:szCs w:val="20"/>
              </w:rPr>
              <w:t>Tailored Literacy and Reading Routes</w:t>
            </w:r>
            <w:r w:rsidRPr="00935BAA">
              <w:rPr>
                <w:sz w:val="20"/>
                <w:szCs w:val="20"/>
              </w:rPr>
              <w:t xml:space="preserve">: Carmel’s strategy includes specific literacy pathways to ensure disadvantaged students achieve outcomes above national averages. </w:t>
            </w:r>
          </w:p>
          <w:p w:rsidRPr="00935BAA" w:rsidR="00C5723B" w:rsidP="00EE5679" w:rsidRDefault="00C5723B" w14:paraId="3A78E250" w14:textId="04D43AF9">
            <w:pPr>
              <w:suppressAutoHyphens w:val="0"/>
              <w:autoSpaceDN/>
              <w:spacing w:after="0" w:line="278" w:lineRule="auto"/>
              <w:jc w:val="both"/>
              <w:rPr>
                <w:sz w:val="20"/>
                <w:szCs w:val="20"/>
              </w:rPr>
            </w:pPr>
            <w:r w:rsidRPr="00935BAA">
              <w:rPr>
                <w:b/>
                <w:bCs/>
                <w:sz w:val="20"/>
                <w:szCs w:val="20"/>
              </w:rPr>
              <w:t>Data-Driven Monitoring</w:t>
            </w:r>
            <w:r w:rsidRPr="00935BAA">
              <w:rPr>
                <w:sz w:val="20"/>
                <w:szCs w:val="20"/>
              </w:rPr>
              <w:t xml:space="preserve">: Literacy outcomes are tracked through GCSE attainment, reading age, and engagement metrics, ensuring targeted support. </w:t>
            </w:r>
          </w:p>
          <w:p w:rsidR="00E66558" w:rsidP="00EE5679" w:rsidRDefault="00C5723B" w14:paraId="2A7D552D" w14:textId="72A102FE">
            <w:pPr>
              <w:suppressAutoHyphens w:val="0"/>
              <w:autoSpaceDN/>
              <w:spacing w:after="0" w:line="278" w:lineRule="auto"/>
              <w:jc w:val="both"/>
              <w:rPr>
                <w:i/>
                <w:sz w:val="22"/>
              </w:rPr>
            </w:pPr>
            <w:r w:rsidRPr="00935BAA">
              <w:rPr>
                <w:b/>
                <w:bCs/>
                <w:sz w:val="20"/>
                <w:szCs w:val="20"/>
              </w:rPr>
              <w:t>SEND and PP Literacy Support</w:t>
            </w:r>
            <w:r w:rsidRPr="00935BAA">
              <w:rPr>
                <w:sz w:val="20"/>
                <w:szCs w:val="20"/>
              </w:rPr>
              <w:t xml:space="preserve">: Adaptive teaching CPD and AI tools (e.g., </w:t>
            </w:r>
            <w:r w:rsidRPr="00935BAA">
              <w:rPr>
                <w:sz w:val="20"/>
                <w:szCs w:val="20"/>
              </w:rPr>
              <w:lastRenderedPageBreak/>
              <w:t xml:space="preserve">CAR-SEND Copilot Agent) help staff create bespoke literacy resources for SEND and disadvantaged learners. </w:t>
            </w:r>
          </w:p>
        </w:tc>
        <w:tc>
          <w:tcPr>
            <w:tcW w:w="4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13588" w:rsidR="00931660" w:rsidP="00EE5679" w:rsidRDefault="00931660" w14:paraId="2F33DEB0" w14:textId="77777777">
            <w:pPr>
              <w:suppressAutoHyphens w:val="0"/>
              <w:autoSpaceDN/>
              <w:spacing w:after="0" w:line="278" w:lineRule="auto"/>
              <w:jc w:val="both"/>
              <w:rPr>
                <w:sz w:val="20"/>
                <w:szCs w:val="20"/>
              </w:rPr>
            </w:pPr>
            <w:r w:rsidRPr="00413588">
              <w:rPr>
                <w:sz w:val="20"/>
                <w:szCs w:val="20"/>
              </w:rPr>
              <w:lastRenderedPageBreak/>
              <w:t xml:space="preserve">The </w:t>
            </w:r>
            <w:r w:rsidRPr="00413588">
              <w:rPr>
                <w:b/>
                <w:bCs/>
                <w:sz w:val="20"/>
                <w:szCs w:val="20"/>
              </w:rPr>
              <w:t>EEF Literacy Guidance Reports</w:t>
            </w:r>
            <w:r w:rsidRPr="00413588">
              <w:rPr>
                <w:sz w:val="20"/>
                <w:szCs w:val="20"/>
              </w:rPr>
              <w:t xml:space="preserve"> consistently highlight oral language as a foundational strand of literacy development, especially for disadvantaged pupils. </w:t>
            </w:r>
            <w:hyperlink w:history="1" r:id="rId27">
              <w:r w:rsidRPr="00413588">
                <w:rPr>
                  <w:rStyle w:val="Hyperlink"/>
                  <w:sz w:val="20"/>
                  <w:szCs w:val="20"/>
                </w:rPr>
                <w:t>[researchsc...ool.org.uk]</w:t>
              </w:r>
            </w:hyperlink>
          </w:p>
          <w:p w:rsidR="00E66558" w:rsidP="00EE5679" w:rsidRDefault="00E66558" w14:paraId="2A7D552E" w14:textId="77777777">
            <w:pPr>
              <w:pStyle w:val="TableRowCentered"/>
              <w:spacing w:before="0" w:after="0"/>
              <w:ind w:left="0" w:right="0"/>
              <w:jc w:val="both"/>
              <w:rPr>
                <w:sz w:val="22"/>
              </w:rPr>
            </w:pPr>
          </w:p>
        </w:tc>
        <w:tc>
          <w:tcPr>
            <w:tcW w:w="25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003B34E0" w14:paraId="2A7D552F" w14:textId="1BD47C3E">
            <w:pPr>
              <w:pStyle w:val="TableRowCentered"/>
              <w:spacing w:before="0" w:after="0"/>
              <w:ind w:left="0" w:right="0"/>
              <w:jc w:val="both"/>
              <w:rPr>
                <w:sz w:val="22"/>
              </w:rPr>
            </w:pPr>
            <w:r>
              <w:rPr>
                <w:sz w:val="22"/>
              </w:rPr>
              <w:t>1,2,3</w:t>
            </w:r>
          </w:p>
        </w:tc>
      </w:tr>
    </w:tbl>
    <w:p w:rsidR="00E66558" w:rsidP="00EE5679" w:rsidRDefault="00E66558" w14:paraId="2A7D5531" w14:textId="77777777">
      <w:pPr>
        <w:spacing w:after="0"/>
        <w:jc w:val="both"/>
      </w:pPr>
    </w:p>
    <w:p w:rsidRPr="00AA355B" w:rsidR="00E66558" w:rsidP="00EE5679" w:rsidRDefault="009D71E8" w14:paraId="2A7D5532" w14:textId="59A68BC3">
      <w:pPr>
        <w:pStyle w:val="Heading3"/>
        <w:spacing w:before="0" w:after="0"/>
        <w:jc w:val="both"/>
      </w:pPr>
      <w:r>
        <w:t>Wider strategies (for example, related to attendance, behaviour, wellbeing)</w:t>
      </w:r>
    </w:p>
    <w:p w:rsidR="00E66558" w:rsidP="00EE5679" w:rsidRDefault="009D71E8" w14:paraId="2A7D5533" w14:textId="5C279591">
      <w:pPr>
        <w:spacing w:after="0"/>
        <w:jc w:val="both"/>
        <w:rPr>
          <w:i/>
        </w:rPr>
      </w:pPr>
      <w:r>
        <w:t xml:space="preserve">Budgeted cost: £ </w:t>
      </w:r>
      <w:r w:rsidR="691B0240">
        <w:t>63,133</w:t>
      </w:r>
    </w:p>
    <w:tbl>
      <w:tblPr>
        <w:tblW w:w="5000" w:type="pct"/>
        <w:tblCellMar>
          <w:left w:w="10" w:type="dxa"/>
          <w:right w:w="10" w:type="dxa"/>
        </w:tblCellMar>
        <w:tblLook w:val="04A0" w:firstRow="1" w:lastRow="0" w:firstColumn="1" w:lastColumn="0" w:noHBand="0" w:noVBand="1"/>
      </w:tblPr>
      <w:tblGrid>
        <w:gridCol w:w="2539"/>
        <w:gridCol w:w="4058"/>
        <w:gridCol w:w="2419"/>
      </w:tblGrid>
      <w:tr w:rsidR="00E66558" w:rsidTr="1A05E2C2" w14:paraId="2A7D5537" w14:textId="77777777">
        <w:trPr>
          <w:trHeight w:val="1125"/>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534" w14:textId="77777777">
            <w:pPr>
              <w:pStyle w:val="TableHeader"/>
              <w:spacing w:before="0" w:after="0"/>
              <w:ind w:left="0" w:right="0"/>
              <w:jc w:val="both"/>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535" w14:textId="77777777">
            <w:pPr>
              <w:pStyle w:val="TableHeader"/>
              <w:spacing w:before="0" w:after="0"/>
              <w:ind w:left="0" w:right="0"/>
              <w:jc w:val="both"/>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EE5679" w:rsidRDefault="009D71E8" w14:paraId="2A7D5536" w14:textId="77777777">
            <w:pPr>
              <w:pStyle w:val="TableHeader"/>
              <w:spacing w:before="0" w:after="0"/>
              <w:ind w:left="0" w:right="0"/>
              <w:jc w:val="both"/>
            </w:pPr>
            <w:r>
              <w:t>Challenge number(s) addressed</w:t>
            </w:r>
          </w:p>
        </w:tc>
      </w:tr>
      <w:tr w:rsidR="00E66558" w:rsidTr="2FBCC125"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5723B" w:rsidR="00DB0144" w:rsidP="00EE5679" w:rsidRDefault="00DB0144" w14:paraId="032EA888" w14:textId="795F0074">
            <w:pPr>
              <w:suppressAutoHyphens w:val="0"/>
              <w:autoSpaceDN/>
              <w:spacing w:after="0" w:line="278" w:lineRule="auto"/>
              <w:jc w:val="both"/>
              <w:rPr>
                <w:sz w:val="20"/>
                <w:szCs w:val="20"/>
              </w:rPr>
            </w:pPr>
            <w:r w:rsidRPr="00C5723B">
              <w:rPr>
                <w:sz w:val="20"/>
                <w:szCs w:val="20"/>
              </w:rPr>
              <w:t xml:space="preserve">SLT mentoring for PP students, “We Missed You” conversations, multi-agency referrals, loco parentis role for vulnerable pupils. </w:t>
            </w:r>
          </w:p>
          <w:p w:rsidR="26D57F03" w:rsidP="00EE5679" w:rsidRDefault="26D57F03" w14:paraId="5D792028" w14:textId="25CC5D6A">
            <w:pPr>
              <w:spacing w:after="0" w:line="278" w:lineRule="auto"/>
              <w:jc w:val="both"/>
              <w:rPr>
                <w:sz w:val="20"/>
                <w:szCs w:val="20"/>
              </w:rPr>
            </w:pPr>
            <w:r w:rsidRPr="006046B0">
              <w:rPr>
                <w:sz w:val="20"/>
                <w:szCs w:val="20"/>
              </w:rPr>
              <w:t>Restorative Practice through Oracy:</w:t>
            </w:r>
            <w:r w:rsidRPr="63FB817D">
              <w:rPr>
                <w:sz w:val="20"/>
                <w:szCs w:val="20"/>
              </w:rPr>
              <w:t xml:space="preserve"> Teacher-led interventions in P4L use oracy and ELSA approaches to support student reflection and restorative dialogue. </w:t>
            </w:r>
          </w:p>
          <w:p w:rsidR="563FBDBC" w:rsidP="00EE5679" w:rsidRDefault="55060311" w14:paraId="192B3C05" w14:textId="401111B9">
            <w:pPr>
              <w:spacing w:after="0" w:line="278" w:lineRule="auto"/>
              <w:jc w:val="both"/>
              <w:rPr>
                <w:sz w:val="20"/>
                <w:szCs w:val="20"/>
              </w:rPr>
            </w:pPr>
            <w:r w:rsidRPr="2F85BA05">
              <w:rPr>
                <w:sz w:val="20"/>
                <w:szCs w:val="20"/>
              </w:rPr>
              <w:t>Trauma informed practi</w:t>
            </w:r>
            <w:r w:rsidRPr="2F85BA05" w:rsidR="06DF4F39">
              <w:rPr>
                <w:sz w:val="20"/>
                <w:szCs w:val="20"/>
              </w:rPr>
              <w:t>c</w:t>
            </w:r>
            <w:r w:rsidRPr="2F85BA05">
              <w:rPr>
                <w:sz w:val="20"/>
                <w:szCs w:val="20"/>
              </w:rPr>
              <w:t>e CPD and inclusion leadership training</w:t>
            </w:r>
            <w:r w:rsidRPr="2856ED94" w:rsidR="2512B822">
              <w:rPr>
                <w:sz w:val="20"/>
                <w:szCs w:val="20"/>
              </w:rPr>
              <w:t xml:space="preserve"> to</w:t>
            </w:r>
            <w:r w:rsidRPr="6030E546" w:rsidR="2512B822">
              <w:rPr>
                <w:sz w:val="20"/>
                <w:szCs w:val="20"/>
              </w:rPr>
              <w:t xml:space="preserve"> support teachers</w:t>
            </w:r>
            <w:r w:rsidRPr="431FC830" w:rsidR="2512B822">
              <w:rPr>
                <w:sz w:val="20"/>
                <w:szCs w:val="20"/>
              </w:rPr>
              <w:t xml:space="preserve"> </w:t>
            </w:r>
            <w:r w:rsidRPr="2BDF844E" w:rsidR="2512B822">
              <w:rPr>
                <w:sz w:val="20"/>
                <w:szCs w:val="20"/>
              </w:rPr>
              <w:t xml:space="preserve">to use the </w:t>
            </w:r>
            <w:r w:rsidRPr="25D12D50" w:rsidR="2512B822">
              <w:rPr>
                <w:sz w:val="20"/>
                <w:szCs w:val="20"/>
              </w:rPr>
              <w:t xml:space="preserve">right </w:t>
            </w:r>
            <w:r w:rsidRPr="7080960C" w:rsidR="2512B822">
              <w:rPr>
                <w:sz w:val="20"/>
                <w:szCs w:val="20"/>
              </w:rPr>
              <w:t xml:space="preserve">language </w:t>
            </w:r>
            <w:r w:rsidRPr="2BD442B6" w:rsidR="2512B822">
              <w:rPr>
                <w:sz w:val="20"/>
                <w:szCs w:val="20"/>
              </w:rPr>
              <w:t xml:space="preserve">and strategies </w:t>
            </w:r>
            <w:r w:rsidRPr="731878C1" w:rsidR="26A3969F">
              <w:rPr>
                <w:sz w:val="20"/>
                <w:szCs w:val="20"/>
              </w:rPr>
              <w:t xml:space="preserve">to reduce </w:t>
            </w:r>
            <w:r w:rsidRPr="604CE1B5" w:rsidR="26A3969F">
              <w:rPr>
                <w:sz w:val="20"/>
                <w:szCs w:val="20"/>
              </w:rPr>
              <w:t xml:space="preserve">behaviour </w:t>
            </w:r>
            <w:r w:rsidRPr="07FB7EA2" w:rsidR="26A3969F">
              <w:rPr>
                <w:sz w:val="20"/>
                <w:szCs w:val="20"/>
              </w:rPr>
              <w:t>issues</w:t>
            </w:r>
          </w:p>
          <w:p w:rsidR="00E66558" w:rsidP="00EE5679" w:rsidRDefault="00E66558" w14:paraId="2A7D5538" w14:textId="559C3575">
            <w:pPr>
              <w:pStyle w:val="TableRow"/>
              <w:spacing w:before="0" w:after="0"/>
              <w:ind w:left="0" w:right="0"/>
              <w:jc w:val="both"/>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21AAB" w:rsidR="0018754D" w:rsidP="00EE5679" w:rsidRDefault="0018754D" w14:paraId="287E9B7B" w14:textId="77777777">
            <w:pPr>
              <w:suppressAutoHyphens w:val="0"/>
              <w:autoSpaceDN/>
              <w:spacing w:after="0" w:line="278" w:lineRule="auto"/>
              <w:jc w:val="both"/>
              <w:rPr>
                <w:sz w:val="20"/>
                <w:szCs w:val="20"/>
              </w:rPr>
            </w:pPr>
            <w:r w:rsidRPr="00721AAB">
              <w:rPr>
                <w:sz w:val="20"/>
                <w:szCs w:val="20"/>
              </w:rPr>
              <w:t xml:space="preserve">The </w:t>
            </w:r>
            <w:r w:rsidRPr="00721AAB">
              <w:rPr>
                <w:b/>
                <w:bCs/>
                <w:sz w:val="20"/>
                <w:szCs w:val="20"/>
              </w:rPr>
              <w:t>EEF Teaching &amp; Learning Toolkit</w:t>
            </w:r>
            <w:r w:rsidRPr="00721AAB">
              <w:rPr>
                <w:sz w:val="20"/>
                <w:szCs w:val="20"/>
              </w:rPr>
              <w:t xml:space="preserve"> identifies </w:t>
            </w:r>
            <w:r w:rsidRPr="00721AAB">
              <w:rPr>
                <w:b/>
                <w:bCs/>
                <w:sz w:val="20"/>
                <w:szCs w:val="20"/>
              </w:rPr>
              <w:t>parental engagement</w:t>
            </w:r>
            <w:r w:rsidRPr="00721AAB">
              <w:rPr>
                <w:sz w:val="20"/>
                <w:szCs w:val="20"/>
              </w:rPr>
              <w:t xml:space="preserve"> (+4 months) and </w:t>
            </w:r>
            <w:r w:rsidRPr="00721AAB">
              <w:rPr>
                <w:b/>
                <w:bCs/>
                <w:sz w:val="20"/>
                <w:szCs w:val="20"/>
              </w:rPr>
              <w:t>social &amp; emotional learning</w:t>
            </w:r>
            <w:r w:rsidRPr="00721AAB">
              <w:rPr>
                <w:sz w:val="20"/>
                <w:szCs w:val="20"/>
              </w:rPr>
              <w:t xml:space="preserve"> (+4 months) as impactful strategies for disadvantaged learners (</w:t>
            </w:r>
            <w:hyperlink r:id="rId28">
              <w:r w:rsidRPr="63C37758" w:rsidR="54BE0225">
                <w:rPr>
                  <w:rStyle w:val="Hyperlink"/>
                  <w:sz w:val="20"/>
                  <w:szCs w:val="20"/>
                </w:rPr>
                <w:t>EEF Toolkit</w:t>
              </w:r>
            </w:hyperlink>
            <w:r w:rsidRPr="00721AAB">
              <w:rPr>
                <w:sz w:val="20"/>
                <w:szCs w:val="20"/>
              </w:rPr>
              <w:t xml:space="preserve">). </w:t>
            </w:r>
            <w:hyperlink r:id="rId29">
              <w:r w:rsidRPr="63C37758" w:rsidR="54BE0225">
                <w:rPr>
                  <w:rStyle w:val="Hyperlink"/>
                  <w:sz w:val="20"/>
                  <w:szCs w:val="20"/>
                </w:rPr>
                <w:t>[www.ase.org.uk]</w:t>
              </w:r>
            </w:hyperlink>
          </w:p>
          <w:p w:rsidR="00E66558" w:rsidP="00EE5679" w:rsidRDefault="0018754D" w14:paraId="78CF786B" w14:textId="69412C61">
            <w:pPr>
              <w:suppressAutoHyphens w:val="0"/>
              <w:autoSpaceDN/>
              <w:spacing w:after="0" w:line="278" w:lineRule="auto"/>
              <w:jc w:val="both"/>
              <w:rPr>
                <w:sz w:val="22"/>
                <w:szCs w:val="22"/>
              </w:rPr>
            </w:pPr>
            <w:r w:rsidRPr="00721AAB">
              <w:rPr>
                <w:sz w:val="20"/>
                <w:szCs w:val="20"/>
              </w:rPr>
              <w:t xml:space="preserve">The </w:t>
            </w:r>
            <w:r w:rsidRPr="00721AAB">
              <w:rPr>
                <w:b/>
                <w:bCs/>
                <w:sz w:val="20"/>
                <w:szCs w:val="20"/>
              </w:rPr>
              <w:t>Varkey Foundation</w:t>
            </w:r>
            <w:r w:rsidRPr="00721AAB">
              <w:rPr>
                <w:sz w:val="20"/>
                <w:szCs w:val="20"/>
              </w:rPr>
              <w:t xml:space="preserve"> report on effective teachers for disadvantaged students emphasises the importance of </w:t>
            </w:r>
            <w:r w:rsidRPr="00721AAB">
              <w:rPr>
                <w:b/>
                <w:bCs/>
                <w:sz w:val="20"/>
                <w:szCs w:val="20"/>
              </w:rPr>
              <w:t>trusted adult relationships</w:t>
            </w:r>
            <w:r w:rsidRPr="00721AAB">
              <w:rPr>
                <w:sz w:val="20"/>
                <w:szCs w:val="20"/>
              </w:rPr>
              <w:t xml:space="preserve">, </w:t>
            </w:r>
            <w:r w:rsidRPr="00721AAB">
              <w:rPr>
                <w:b/>
                <w:bCs/>
                <w:sz w:val="20"/>
                <w:szCs w:val="20"/>
              </w:rPr>
              <w:t>empathy</w:t>
            </w:r>
            <w:r w:rsidRPr="00721AAB">
              <w:rPr>
                <w:sz w:val="20"/>
                <w:szCs w:val="20"/>
              </w:rPr>
              <w:t xml:space="preserve">, and </w:t>
            </w:r>
            <w:r w:rsidRPr="00721AAB">
              <w:rPr>
                <w:b/>
                <w:bCs/>
                <w:sz w:val="20"/>
                <w:szCs w:val="20"/>
              </w:rPr>
              <w:t>consistent support structures</w:t>
            </w:r>
            <w:r w:rsidRPr="00721AAB">
              <w:rPr>
                <w:sz w:val="20"/>
                <w:szCs w:val="20"/>
              </w:rPr>
              <w:t xml:space="preserve">. </w:t>
            </w:r>
          </w:p>
          <w:p w:rsidR="00E66558" w:rsidP="00EE5679" w:rsidRDefault="53741C8F" w14:paraId="22383642" w14:textId="62470649">
            <w:pPr>
              <w:suppressAutoHyphens w:val="0"/>
              <w:autoSpaceDN/>
              <w:spacing w:after="0" w:line="278" w:lineRule="auto"/>
              <w:jc w:val="both"/>
              <w:rPr>
                <w:rFonts w:eastAsia="Arial" w:cs="Arial"/>
                <w:color w:val="0D0D0D" w:themeColor="text1" w:themeTint="F2"/>
              </w:rPr>
            </w:pPr>
            <w:r w:rsidRPr="3526D4FD">
              <w:rPr>
                <w:rFonts w:eastAsia="Arial" w:cs="Arial"/>
                <w:b/>
                <w:bCs/>
                <w:sz w:val="20"/>
                <w:szCs w:val="20"/>
              </w:rPr>
              <w:t xml:space="preserve">Frontiers in Education – Trauma-Informed Classrooms </w:t>
            </w:r>
            <w:r w:rsidRPr="3526D4FD">
              <w:rPr>
                <w:rFonts w:eastAsia="Arial" w:cs="Arial"/>
                <w:sz w:val="20"/>
                <w:szCs w:val="20"/>
              </w:rPr>
              <w:t>This review explores how trauma-informed classrooms benefit pupils with ACEs (Adverse Childhood Experiences), including those affected by domestic violence, neglect, or displacement. It highlights improved engagement, reduced behavioural issues, and the importance of teacher awareness and collaboration (</w:t>
            </w:r>
            <w:hyperlink r:id="rId30">
              <w:r w:rsidRPr="56C6E7FF">
                <w:rPr>
                  <w:rStyle w:val="Hyperlink"/>
                  <w:rFonts w:eastAsia="Arial" w:cs="Arial"/>
                  <w:sz w:val="20"/>
                  <w:szCs w:val="20"/>
                </w:rPr>
                <w:t>Sweetman, 2022</w:t>
              </w:r>
            </w:hyperlink>
            <w:r w:rsidRPr="3526D4FD">
              <w:rPr>
                <w:rFonts w:eastAsia="Arial" w:cs="Arial"/>
                <w:sz w:val="20"/>
                <w:szCs w:val="20"/>
              </w:rPr>
              <w:t>).</w:t>
            </w:r>
          </w:p>
          <w:p w:rsidR="00E66558" w:rsidP="45936345" w:rsidRDefault="0D9926BA" w14:paraId="2948FD31" w14:textId="7B71C3B8">
            <w:pPr>
              <w:suppressAutoHyphens w:val="0"/>
              <w:autoSpaceDN/>
              <w:spacing w:after="0" w:line="278" w:lineRule="auto"/>
              <w:jc w:val="both"/>
              <w:rPr>
                <w:rFonts w:eastAsia="Arial" w:cs="Arial"/>
                <w:color w:val="0D0D0D" w:themeColor="text1" w:themeTint="F2"/>
                <w:sz w:val="20"/>
                <w:szCs w:val="20"/>
              </w:rPr>
            </w:pPr>
            <w:r w:rsidRPr="6B74A548">
              <w:rPr>
                <w:rFonts w:eastAsia="Arial" w:cs="Arial"/>
                <w:b/>
                <w:bCs/>
                <w:sz w:val="20"/>
                <w:szCs w:val="20"/>
              </w:rPr>
              <w:t>Educational Psychology Research and Practice – Operationalising Trauma-Informed Practice.</w:t>
            </w:r>
            <w:r w:rsidRPr="05850100">
              <w:rPr>
                <w:rFonts w:eastAsia="Arial" w:cs="Arial"/>
                <w:b/>
                <w:bCs/>
                <w:sz w:val="20"/>
                <w:szCs w:val="20"/>
              </w:rPr>
              <w:t xml:space="preserve"> </w:t>
            </w:r>
            <w:r w:rsidRPr="6B74A548">
              <w:rPr>
                <w:rFonts w:eastAsia="Arial" w:cs="Arial"/>
                <w:sz w:val="20"/>
                <w:szCs w:val="20"/>
              </w:rPr>
              <w:t>This paper introduces two models: the Applied Trauma Responsive Classroom Model (ATRCM) and the Resilience Support Programme. It links trauma to distressed behaviours and learning barriers, especially for disadvantaged pupils, and calls for systemic change in educational settings (</w:t>
            </w:r>
            <w:hyperlink r:id="rId31">
              <w:r w:rsidRPr="571CBF7F">
                <w:rPr>
                  <w:rStyle w:val="Hyperlink"/>
                  <w:rFonts w:eastAsia="Arial" w:cs="Arial"/>
                  <w:sz w:val="20"/>
                  <w:szCs w:val="20"/>
                </w:rPr>
                <w:t>Carter &amp; Borrett, 2023</w:t>
              </w:r>
            </w:hyperlink>
            <w:r w:rsidRPr="23894ED4">
              <w:rPr>
                <w:rFonts w:eastAsia="Arial" w:cs="Arial"/>
                <w:sz w:val="20"/>
                <w:szCs w:val="20"/>
              </w:rPr>
              <w:t>).</w:t>
            </w:r>
            <w:hyperlink r:id="rId32">
              <w:r w:rsidRPr="571CBF7F">
                <w:rPr>
                  <w:rStyle w:val="Hyperlink"/>
                  <w:rFonts w:eastAsia="Arial" w:cs="Arial"/>
                  <w:sz w:val="20"/>
                  <w:szCs w:val="20"/>
                </w:rPr>
                <w:t>[repository.uel.ac.uk]</w:t>
              </w:r>
            </w:hyperlink>
          </w:p>
          <w:p w:rsidR="00E66558" w:rsidP="00EE5679" w:rsidRDefault="71C47144" w14:paraId="2A7D5539" w14:textId="323F85B7">
            <w:pPr>
              <w:suppressAutoHyphens w:val="0"/>
              <w:autoSpaceDN/>
              <w:spacing w:after="0" w:line="278" w:lineRule="auto"/>
              <w:jc w:val="both"/>
              <w:rPr>
                <w:rFonts w:eastAsia="Arial" w:cs="Arial"/>
                <w:sz w:val="20"/>
                <w:szCs w:val="20"/>
              </w:rPr>
            </w:pPr>
            <w:r w:rsidRPr="1B9D4BEA">
              <w:rPr>
                <w:rFonts w:eastAsia="Arial" w:cs="Arial"/>
                <w:color w:val="000000" w:themeColor="text1"/>
                <w:sz w:val="20"/>
                <w:szCs w:val="20"/>
              </w:rPr>
              <w:t>AP Behaviour accessed Inclusive Leader</w:t>
            </w:r>
            <w:r w:rsidRPr="1B9D4BEA" w:rsidR="0C2322D2">
              <w:rPr>
                <w:rFonts w:eastAsia="Arial" w:cs="Arial"/>
                <w:color w:val="000000" w:themeColor="text1"/>
                <w:sz w:val="20"/>
                <w:szCs w:val="20"/>
              </w:rPr>
              <w:t xml:space="preserve">ship </w:t>
            </w:r>
            <w:r w:rsidRPr="1B9D4BEA">
              <w:rPr>
                <w:rFonts w:eastAsia="Arial" w:cs="Arial"/>
                <w:color w:val="000000" w:themeColor="text1"/>
                <w:sz w:val="20"/>
                <w:szCs w:val="20"/>
              </w:rPr>
              <w:t>CPD through the Education Charity,</w:t>
            </w:r>
            <w:r w:rsidRPr="1B9D4BEA">
              <w:rPr>
                <w:rFonts w:eastAsia="Arial" w:cs="Arial"/>
                <w:color w:val="000000" w:themeColor="text1"/>
                <w:sz w:val="16"/>
                <w:szCs w:val="16"/>
              </w:rPr>
              <w:t xml:space="preserve"> </w:t>
            </w:r>
            <w:hyperlink r:id="rId33">
              <w:r w:rsidRPr="1B9D4BEA">
                <w:rPr>
                  <w:rStyle w:val="Hyperlink"/>
                  <w:rFonts w:eastAsia="Arial" w:cs="Arial"/>
                  <w:sz w:val="20"/>
                  <w:szCs w:val="20"/>
                </w:rPr>
                <w:t>The Difference</w:t>
              </w:r>
              <w:r w:rsidRPr="1B9D4BEA" w:rsidR="33D1A123">
                <w:rPr>
                  <w:rStyle w:val="Hyperlink"/>
                  <w:rFonts w:eastAsia="Arial" w:cs="Arial"/>
                  <w:sz w:val="20"/>
                  <w:szCs w:val="20"/>
                </w:rPr>
                <w:t>.</w:t>
              </w:r>
            </w:hyperlink>
            <w:r w:rsidRPr="1B9D4BEA" w:rsidR="33D1A123">
              <w:rPr>
                <w:rFonts w:eastAsia="Arial" w:cs="Arial"/>
              </w:rPr>
              <w:t xml:space="preserve"> </w:t>
            </w:r>
            <w:r w:rsidRPr="1B9D4BEA" w:rsidR="33D1A123">
              <w:rPr>
                <w:rFonts w:eastAsia="Arial" w:cs="Arial"/>
                <w:sz w:val="20"/>
                <w:szCs w:val="20"/>
              </w:rPr>
              <w:t>Oppo</w:t>
            </w:r>
            <w:r w:rsidRPr="1B9D4BEA" w:rsidR="33D1A123">
              <w:rPr>
                <w:rFonts w:eastAsia="Arial" w:cs="Arial"/>
              </w:rPr>
              <w:t>r</w:t>
            </w:r>
            <w:r w:rsidRPr="1B9D4BEA" w:rsidR="33D1A123">
              <w:rPr>
                <w:rFonts w:eastAsia="Arial" w:cs="Arial"/>
                <w:sz w:val="20"/>
                <w:szCs w:val="20"/>
              </w:rPr>
              <w:t>tunities taken to deliver CPD to develop staff practice of Trauma informed Inclusion</w:t>
            </w:r>
            <w:r w:rsidRPr="1B9D4BEA" w:rsidR="651A3564">
              <w:rPr>
                <w:rFonts w:eastAsia="Arial" w:cs="Arial"/>
                <w:sz w:val="20"/>
                <w:szCs w:val="20"/>
              </w:rPr>
              <w: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003B34E0" w14:paraId="2A7D553A" w14:textId="41AF0581">
            <w:pPr>
              <w:pStyle w:val="TableRowCentered"/>
              <w:spacing w:before="0" w:after="0"/>
              <w:ind w:left="0" w:right="0"/>
              <w:jc w:val="both"/>
              <w:rPr>
                <w:sz w:val="22"/>
              </w:rPr>
            </w:pPr>
            <w:r>
              <w:rPr>
                <w:sz w:val="22"/>
              </w:rPr>
              <w:t>1,</w:t>
            </w:r>
            <w:r w:rsidR="00632418">
              <w:rPr>
                <w:sz w:val="22"/>
              </w:rPr>
              <w:t>2,3</w:t>
            </w:r>
          </w:p>
        </w:tc>
      </w:tr>
      <w:tr w:rsidR="00E66558" w:rsidTr="2FBCC125"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7254" w:rsidR="000F7B0C" w:rsidP="00EE5679" w:rsidRDefault="003D038C" w14:paraId="1129E8FF" w14:textId="3B1D8FFB">
            <w:pPr>
              <w:suppressAutoHyphens w:val="0"/>
              <w:autoSpaceDN/>
              <w:spacing w:after="0" w:line="278" w:lineRule="auto"/>
              <w:jc w:val="both"/>
              <w:rPr>
                <w:sz w:val="20"/>
                <w:szCs w:val="20"/>
              </w:rPr>
            </w:pPr>
            <w:r w:rsidRPr="006046B0">
              <w:rPr>
                <w:sz w:val="20"/>
                <w:szCs w:val="20"/>
              </w:rPr>
              <w:lastRenderedPageBreak/>
              <w:t xml:space="preserve">Assistant pastoral learning managers use </w:t>
            </w:r>
            <w:r w:rsidRPr="00C07254" w:rsidR="000F7B0C">
              <w:rPr>
                <w:sz w:val="20"/>
                <w:szCs w:val="20"/>
              </w:rPr>
              <w:t xml:space="preserve">ClassCharts &amp; CPOMS Analysis: Forensic tracking of behaviour and attendance trends to inform early interventions. </w:t>
            </w:r>
          </w:p>
          <w:p w:rsidRPr="003634C2" w:rsidR="00E66558" w:rsidP="00EE5679" w:rsidRDefault="000F7B0C" w14:paraId="5D16A267" w14:textId="77777777">
            <w:pPr>
              <w:suppressAutoHyphens w:val="0"/>
              <w:autoSpaceDN/>
              <w:spacing w:after="0" w:line="278" w:lineRule="auto"/>
              <w:jc w:val="both"/>
              <w:rPr>
                <w:i/>
                <w:sz w:val="22"/>
                <w:szCs w:val="22"/>
              </w:rPr>
            </w:pPr>
            <w:r w:rsidRPr="00C07254">
              <w:rPr>
                <w:sz w:val="20"/>
                <w:szCs w:val="20"/>
              </w:rPr>
              <w:t xml:space="preserve">Weekly Pastoral Reports: Used to identify at-risk students and implement support plans promptly. </w:t>
            </w:r>
          </w:p>
          <w:p w:rsidRPr="003634C2" w:rsidR="003634C2" w:rsidP="00EE5679" w:rsidRDefault="003634C2" w14:paraId="2A7D553C" w14:textId="0CC1258F">
            <w:pPr>
              <w:suppressAutoHyphens w:val="0"/>
              <w:autoSpaceDN/>
              <w:spacing w:after="0" w:line="278" w:lineRule="auto"/>
              <w:jc w:val="both"/>
              <w:rPr>
                <w:sz w:val="20"/>
                <w:szCs w:val="20"/>
              </w:rPr>
            </w:pPr>
            <w:r w:rsidRPr="00721AAB">
              <w:rPr>
                <w:sz w:val="20"/>
                <w:szCs w:val="20"/>
              </w:rPr>
              <w:t>Happy Bus, Emmaus Provision, customised reintegration plans</w:t>
            </w:r>
            <w:r w:rsidRPr="43E6486A" w:rsidR="02D72A13">
              <w:rPr>
                <w:sz w:val="20"/>
                <w:szCs w:val="20"/>
              </w:rPr>
              <w:t xml:space="preserve"> </w:t>
            </w:r>
            <w:r w:rsidRPr="3A395BCA" w:rsidR="02D72A13">
              <w:rPr>
                <w:sz w:val="20"/>
                <w:szCs w:val="20"/>
              </w:rPr>
              <w:t>created by</w:t>
            </w:r>
            <w:r w:rsidRPr="202D4B35" w:rsidR="02D72A13">
              <w:rPr>
                <w:sz w:val="20"/>
                <w:szCs w:val="20"/>
              </w:rPr>
              <w:t xml:space="preserve"> </w:t>
            </w:r>
            <w:r w:rsidRPr="551F9B7A" w:rsidR="02D72A13">
              <w:rPr>
                <w:sz w:val="20"/>
                <w:szCs w:val="20"/>
              </w:rPr>
              <w:t>pastoral team.</w:t>
            </w:r>
            <w:r w:rsidRPr="530A86E9" w:rsidR="5B150EE4">
              <w:rPr>
                <w:sz w:val="20"/>
                <w:szCs w:val="20"/>
              </w:rPr>
              <w:t xml:space="preserve"> </w:t>
            </w:r>
            <w:r w:rsidRPr="2CD1262F" w:rsidR="5B150EE4">
              <w:rPr>
                <w:sz w:val="20"/>
                <w:szCs w:val="20"/>
              </w:rPr>
              <w:t xml:space="preserve">Engagement of </w:t>
            </w:r>
            <w:r w:rsidRPr="01F93220" w:rsidR="5B150EE4">
              <w:rPr>
                <w:sz w:val="20"/>
                <w:szCs w:val="20"/>
              </w:rPr>
              <w:t xml:space="preserve">external agencies to </w:t>
            </w:r>
            <w:r w:rsidRPr="4E9450C5" w:rsidR="5B150EE4">
              <w:rPr>
                <w:sz w:val="20"/>
                <w:szCs w:val="20"/>
              </w:rPr>
              <w:t xml:space="preserve">support well being </w:t>
            </w:r>
            <w:r w:rsidRPr="3A33AF2C" w:rsidR="5B150EE4">
              <w:rPr>
                <w:sz w:val="20"/>
                <w:szCs w:val="20"/>
              </w:rPr>
              <w:t>and attendance</w:t>
            </w:r>
            <w:r w:rsidRPr="1C9D47F4" w:rsidR="5B150EE4">
              <w:rPr>
                <w:sz w:val="20"/>
                <w:szCs w:val="20"/>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21AAB" w:rsidR="00113530" w:rsidP="00EE5679" w:rsidRDefault="00113530" w14:paraId="2A9B9740" w14:textId="77777777">
            <w:pPr>
              <w:suppressAutoHyphens w:val="0"/>
              <w:autoSpaceDN/>
              <w:spacing w:after="0" w:line="278" w:lineRule="auto"/>
              <w:jc w:val="both"/>
              <w:rPr>
                <w:sz w:val="20"/>
                <w:szCs w:val="20"/>
              </w:rPr>
            </w:pPr>
            <w:r w:rsidRPr="00721AAB">
              <w:rPr>
                <w:sz w:val="20"/>
                <w:szCs w:val="20"/>
              </w:rPr>
              <w:t xml:space="preserve">The </w:t>
            </w:r>
            <w:r w:rsidRPr="00721AAB">
              <w:rPr>
                <w:b/>
                <w:bCs/>
                <w:sz w:val="20"/>
                <w:szCs w:val="20"/>
              </w:rPr>
              <w:t>Education Endowment Foundation (EEF)</w:t>
            </w:r>
            <w:r w:rsidRPr="00721AAB">
              <w:rPr>
                <w:sz w:val="20"/>
                <w:szCs w:val="20"/>
              </w:rPr>
              <w:t xml:space="preserve"> rapid evidence assessment confirms that </w:t>
            </w:r>
            <w:r w:rsidRPr="00721AAB">
              <w:rPr>
                <w:b/>
                <w:bCs/>
                <w:sz w:val="20"/>
                <w:szCs w:val="20"/>
              </w:rPr>
              <w:t>responsive interventions</w:t>
            </w:r>
            <w:r w:rsidRPr="00721AAB">
              <w:rPr>
                <w:sz w:val="20"/>
                <w:szCs w:val="20"/>
              </w:rPr>
              <w:t xml:space="preserve"> and </w:t>
            </w:r>
            <w:r w:rsidRPr="00721AAB">
              <w:rPr>
                <w:b/>
                <w:bCs/>
                <w:sz w:val="20"/>
                <w:szCs w:val="20"/>
              </w:rPr>
              <w:t>parental engagement</w:t>
            </w:r>
            <w:r w:rsidRPr="00721AAB">
              <w:rPr>
                <w:sz w:val="20"/>
                <w:szCs w:val="20"/>
              </w:rPr>
              <w:t xml:space="preserve"> are effective in improving attendance among disadvantaged pupils (</w:t>
            </w:r>
            <w:hyperlink r:id="rId34">
              <w:r w:rsidRPr="56F7B17B" w:rsidR="618AC73D">
                <w:rPr>
                  <w:rStyle w:val="Hyperlink"/>
                  <w:sz w:val="20"/>
                  <w:szCs w:val="20"/>
                </w:rPr>
                <w:t>EEF Attendance Review</w:t>
              </w:r>
            </w:hyperlink>
            <w:r w:rsidRPr="00721AAB">
              <w:rPr>
                <w:sz w:val="20"/>
                <w:szCs w:val="20"/>
              </w:rPr>
              <w:t xml:space="preserve">). </w:t>
            </w:r>
            <w:hyperlink r:id="rId35">
              <w:r w:rsidRPr="56F7B17B" w:rsidR="618AC73D">
                <w:rPr>
                  <w:rStyle w:val="Hyperlink"/>
                  <w:sz w:val="20"/>
                  <w:szCs w:val="20"/>
                </w:rPr>
                <w:t>[educatione...ion.org.uk]</w:t>
              </w:r>
            </w:hyperlink>
          </w:p>
          <w:p w:rsidRPr="00721AAB" w:rsidR="00113530" w:rsidP="00EE5679" w:rsidRDefault="00113530" w14:paraId="2E063BFB" w14:textId="77777777">
            <w:pPr>
              <w:suppressAutoHyphens w:val="0"/>
              <w:autoSpaceDN/>
              <w:spacing w:after="0" w:line="278" w:lineRule="auto"/>
              <w:jc w:val="both"/>
              <w:rPr>
                <w:sz w:val="20"/>
                <w:szCs w:val="20"/>
              </w:rPr>
            </w:pPr>
            <w:r w:rsidRPr="00721AAB">
              <w:rPr>
                <w:b/>
                <w:bCs/>
                <w:sz w:val="20"/>
                <w:szCs w:val="20"/>
              </w:rPr>
              <w:t>Attendance Works</w:t>
            </w:r>
            <w:r w:rsidRPr="00721AAB">
              <w:rPr>
                <w:sz w:val="20"/>
                <w:szCs w:val="20"/>
              </w:rPr>
              <w:t xml:space="preserve"> highlights the impact of </w:t>
            </w:r>
            <w:r w:rsidRPr="00721AAB">
              <w:rPr>
                <w:b/>
                <w:bCs/>
                <w:sz w:val="20"/>
                <w:szCs w:val="20"/>
              </w:rPr>
              <w:t>home visits</w:t>
            </w:r>
            <w:r w:rsidRPr="00721AAB">
              <w:rPr>
                <w:sz w:val="20"/>
                <w:szCs w:val="20"/>
              </w:rPr>
              <w:t xml:space="preserve">, </w:t>
            </w:r>
            <w:r w:rsidRPr="00721AAB">
              <w:rPr>
                <w:b/>
                <w:bCs/>
                <w:sz w:val="20"/>
                <w:szCs w:val="20"/>
              </w:rPr>
              <w:t>behavioural nudges</w:t>
            </w:r>
            <w:r w:rsidRPr="00721AAB">
              <w:rPr>
                <w:sz w:val="20"/>
                <w:szCs w:val="20"/>
              </w:rPr>
              <w:t xml:space="preserve">, and </w:t>
            </w:r>
            <w:r w:rsidRPr="00721AAB">
              <w:rPr>
                <w:b/>
                <w:bCs/>
                <w:sz w:val="20"/>
                <w:szCs w:val="20"/>
              </w:rPr>
              <w:t>community partnerships</w:t>
            </w:r>
            <w:r w:rsidRPr="00721AAB">
              <w:rPr>
                <w:sz w:val="20"/>
                <w:szCs w:val="20"/>
              </w:rPr>
              <w:t xml:space="preserve"> in reducing chronic absenteeism (</w:t>
            </w:r>
            <w:hyperlink r:id="rId36">
              <w:r w:rsidRPr="30EA18B3" w:rsidR="618AC73D">
                <w:rPr>
                  <w:rStyle w:val="Hyperlink"/>
                  <w:sz w:val="20"/>
                  <w:szCs w:val="20"/>
                </w:rPr>
                <w:t>Attendance Works</w:t>
              </w:r>
            </w:hyperlink>
            <w:r w:rsidRPr="00721AAB">
              <w:rPr>
                <w:sz w:val="20"/>
                <w:szCs w:val="20"/>
              </w:rPr>
              <w:t xml:space="preserve">). </w:t>
            </w:r>
            <w:hyperlink r:id="rId37">
              <w:r w:rsidRPr="30EA18B3" w:rsidR="618AC73D">
                <w:rPr>
                  <w:rStyle w:val="Hyperlink"/>
                  <w:sz w:val="20"/>
                  <w:szCs w:val="20"/>
                </w:rPr>
                <w:t>[www.attend...eworks.org]</w:t>
              </w:r>
            </w:hyperlink>
          </w:p>
          <w:p w:rsidR="06C7F7C5" w:rsidP="00EE5679" w:rsidRDefault="06C7F7C5" w14:paraId="16B53184" w14:textId="1C4281FF">
            <w:pPr>
              <w:spacing w:after="0"/>
              <w:jc w:val="both"/>
              <w:rPr>
                <w:rFonts w:eastAsia="Arial" w:cs="Arial"/>
                <w:color w:val="0D0D0D" w:themeColor="text1" w:themeTint="F2"/>
              </w:rPr>
            </w:pPr>
            <w:hyperlink r:id="rId38">
              <w:r w:rsidRPr="30EA18B3">
                <w:rPr>
                  <w:rStyle w:val="Hyperlink"/>
                  <w:rFonts w:eastAsia="Arial" w:cs="Arial"/>
                  <w:sz w:val="20"/>
                  <w:szCs w:val="20"/>
                </w:rPr>
                <w:t>EEF Evidence Brief</w:t>
              </w:r>
            </w:hyperlink>
            <w:r w:rsidRPr="30EA18B3">
              <w:rPr>
                <w:rFonts w:eastAsia="Arial" w:cs="Arial"/>
                <w:sz w:val="20"/>
                <w:szCs w:val="20"/>
              </w:rPr>
              <w:t xml:space="preserve"> outlines promising strategies including mentoring and personalised parental engagement. </w:t>
            </w:r>
            <w:hyperlink r:id="rId39">
              <w:r w:rsidRPr="30EA18B3">
                <w:rPr>
                  <w:rStyle w:val="Hyperlink"/>
                  <w:rFonts w:eastAsia="Arial" w:cs="Arial"/>
                  <w:sz w:val="20"/>
                  <w:szCs w:val="20"/>
                </w:rPr>
                <w:t>[educatione...ion.org.uk]</w:t>
              </w:r>
            </w:hyperlink>
          </w:p>
          <w:p w:rsidR="06C7F7C5" w:rsidP="00EE5679" w:rsidRDefault="06C7F7C5" w14:paraId="47A82CF9" w14:textId="6C6E5B34">
            <w:pPr>
              <w:spacing w:after="0"/>
              <w:jc w:val="both"/>
              <w:rPr>
                <w:rFonts w:eastAsia="Arial" w:cs="Arial"/>
                <w:color w:val="0D0D0D" w:themeColor="text1" w:themeTint="F2"/>
              </w:rPr>
            </w:pPr>
            <w:hyperlink r:id="rId40">
              <w:r w:rsidRPr="30EA18B3">
                <w:rPr>
                  <w:rStyle w:val="Hyperlink"/>
                  <w:rFonts w:eastAsia="Arial" w:cs="Arial"/>
                  <w:sz w:val="20"/>
                  <w:szCs w:val="20"/>
                </w:rPr>
                <w:t>RISE Attendance Toolkit</w:t>
              </w:r>
            </w:hyperlink>
            <w:r w:rsidRPr="30EA18B3">
              <w:rPr>
                <w:rFonts w:eastAsia="Arial" w:cs="Arial"/>
                <w:sz w:val="20"/>
                <w:szCs w:val="20"/>
              </w:rPr>
              <w:t xml:space="preserve"> provides best practice guidance for schools and local authorities. </w:t>
            </w:r>
            <w:hyperlink r:id="rId41">
              <w:r w:rsidRPr="30EA18B3">
                <w:rPr>
                  <w:rStyle w:val="Hyperlink"/>
                  <w:rFonts w:eastAsia="Arial" w:cs="Arial"/>
                  <w:sz w:val="20"/>
                  <w:szCs w:val="20"/>
                </w:rPr>
                <w:t>[www.gov.uk]</w:t>
              </w:r>
            </w:hyperlink>
          </w:p>
          <w:p w:rsidR="06C7F7C5" w:rsidP="00EE5679" w:rsidRDefault="06C7F7C5" w14:paraId="02472617" w14:textId="7F9ECF74">
            <w:pPr>
              <w:spacing w:after="0"/>
              <w:jc w:val="both"/>
              <w:rPr>
                <w:rFonts w:eastAsia="Arial" w:cs="Arial"/>
                <w:color w:val="0D0D0D" w:themeColor="text1" w:themeTint="F2"/>
              </w:rPr>
            </w:pPr>
            <w:hyperlink r:id="rId42">
              <w:r w:rsidRPr="30EA18B3">
                <w:rPr>
                  <w:rStyle w:val="Hyperlink"/>
                  <w:rFonts w:eastAsia="Arial" w:cs="Arial"/>
                  <w:sz w:val="20"/>
                  <w:szCs w:val="20"/>
                </w:rPr>
                <w:t>Centre for Young Lives Report</w:t>
              </w:r>
            </w:hyperlink>
            <w:r w:rsidRPr="30EA18B3">
              <w:rPr>
                <w:rFonts w:eastAsia="Arial" w:cs="Arial"/>
                <w:sz w:val="20"/>
                <w:szCs w:val="20"/>
              </w:rPr>
              <w:t xml:space="preserve"> advocates for a holistic, place-based approach to tackle persistent absence, especially in disadvantaged regions. </w:t>
            </w:r>
            <w:hyperlink r:id="rId43">
              <w:r w:rsidRPr="30EA18B3">
                <w:rPr>
                  <w:rStyle w:val="Hyperlink"/>
                  <w:rFonts w:eastAsia="Arial" w:cs="Arial"/>
                  <w:sz w:val="20"/>
                  <w:szCs w:val="20"/>
                </w:rPr>
                <w:t>[www.n8rese...rch.org.uk]</w:t>
              </w:r>
            </w:hyperlink>
          </w:p>
          <w:p w:rsidR="00E66558" w:rsidP="00EE5679" w:rsidRDefault="06C7F7C5" w14:paraId="2A7D553D" w14:textId="0659AFB3">
            <w:pPr>
              <w:spacing w:after="0"/>
              <w:jc w:val="both"/>
              <w:rPr>
                <w:sz w:val="22"/>
              </w:rPr>
            </w:pPr>
            <w:hyperlink r:id="rId44">
              <w:r w:rsidRPr="30EA18B3">
                <w:rPr>
                  <w:rStyle w:val="Hyperlink"/>
                  <w:rFonts w:eastAsia="Arial" w:cs="Arial"/>
                  <w:sz w:val="20"/>
                  <w:szCs w:val="20"/>
                </w:rPr>
                <w:t>Being Present Report</w:t>
              </w:r>
            </w:hyperlink>
            <w:r w:rsidRPr="30EA18B3">
              <w:rPr>
                <w:rFonts w:eastAsia="Arial" w:cs="Arial"/>
                <w:sz w:val="20"/>
                <w:szCs w:val="20"/>
              </w:rPr>
              <w:t xml:space="preserve"> confirms that poor attendance and school mobility are key risk factors for lower GCSE outcomes among disadvantaged pupils.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E5679" w:rsidRDefault="00632418" w14:paraId="2A7D553E" w14:textId="7A0EF281">
            <w:pPr>
              <w:pStyle w:val="TableRowCentered"/>
              <w:spacing w:before="0" w:after="0"/>
              <w:ind w:left="0" w:right="0"/>
              <w:jc w:val="both"/>
              <w:rPr>
                <w:sz w:val="22"/>
              </w:rPr>
            </w:pPr>
            <w:r>
              <w:rPr>
                <w:sz w:val="22"/>
              </w:rPr>
              <w:t>1,2,3</w:t>
            </w:r>
          </w:p>
        </w:tc>
      </w:tr>
      <w:tr w:rsidR="00EE6FB3" w:rsidTr="2FBCC125" w14:paraId="52C86D7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E6FB3" w:rsidP="00EE5679" w:rsidRDefault="00EE6FB3" w14:paraId="40536B1B" w14:textId="772F1DAF">
            <w:pPr>
              <w:suppressAutoHyphens w:val="0"/>
              <w:autoSpaceDN/>
              <w:spacing w:after="0" w:line="278" w:lineRule="auto"/>
              <w:jc w:val="both"/>
              <w:rPr>
                <w:b/>
                <w:bCs/>
                <w:sz w:val="20"/>
                <w:szCs w:val="20"/>
              </w:rPr>
            </w:pPr>
            <w:r w:rsidRPr="00EE6FB3">
              <w:rPr>
                <w:b/>
                <w:bCs/>
                <w:sz w:val="20"/>
                <w:szCs w:val="20"/>
              </w:rPr>
              <w:t>Culture Festival &amp; Educational Visits</w:t>
            </w:r>
            <w:r w:rsidRPr="00EE6FB3">
              <w:rPr>
                <w:sz w:val="20"/>
                <w:szCs w:val="20"/>
              </w:rPr>
              <w:t>: Large-scale events and trips that provide memorable learning experiences beyond the classroom</w:t>
            </w:r>
            <w:r w:rsidR="00686EE2">
              <w:rPr>
                <w:sz w:val="20"/>
                <w:szCs w:val="20"/>
              </w:rPr>
              <w:t xml:space="preserve"> such as yr 8 culture trail and yr 9 Formal dinner and celebration</w:t>
            </w:r>
            <w:r w:rsidRPr="00EE6FB3">
              <w:rPr>
                <w:sz w:val="20"/>
                <w:szCs w:val="20"/>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21AAB" w:rsidR="00EE6FB3" w:rsidP="00EE5679" w:rsidRDefault="5C36C204" w14:paraId="7C5D3F99" w14:textId="64A10860">
            <w:pPr>
              <w:suppressAutoHyphens w:val="0"/>
              <w:autoSpaceDN/>
              <w:spacing w:after="0" w:line="278" w:lineRule="auto"/>
              <w:jc w:val="both"/>
              <w:rPr>
                <w:rFonts w:eastAsia="Arial" w:cs="Arial"/>
                <w:color w:val="0D0D0D" w:themeColor="text1" w:themeTint="F2"/>
                <w:sz w:val="20"/>
                <w:szCs w:val="20"/>
              </w:rPr>
            </w:pPr>
            <w:r w:rsidRPr="65D36F09">
              <w:rPr>
                <w:rFonts w:eastAsia="Arial" w:cs="Arial"/>
                <w:b/>
                <w:bCs/>
                <w:sz w:val="20"/>
                <w:szCs w:val="20"/>
              </w:rPr>
              <w:t>Duke</w:t>
            </w:r>
            <w:r w:rsidRPr="169DBB24">
              <w:rPr>
                <w:rFonts w:eastAsia="Arial" w:cs="Arial"/>
                <w:b/>
                <w:bCs/>
                <w:sz w:val="20"/>
                <w:szCs w:val="20"/>
              </w:rPr>
              <w:t xml:space="preserve"> of Edinburgh’s Award &amp; Big Education – Enrichment </w:t>
            </w:r>
            <w:r w:rsidRPr="33DDD583">
              <w:rPr>
                <w:rFonts w:eastAsia="Arial" w:cs="Arial"/>
                <w:b/>
                <w:bCs/>
                <w:sz w:val="20"/>
                <w:szCs w:val="20"/>
              </w:rPr>
              <w:t>Benchmarks</w:t>
            </w:r>
            <w:r w:rsidRPr="33DDD583">
              <w:rPr>
                <w:rFonts w:eastAsia="Arial" w:cs="Arial"/>
                <w:sz w:val="20"/>
                <w:szCs w:val="20"/>
              </w:rPr>
              <w:t>This</w:t>
            </w:r>
            <w:r w:rsidRPr="169DBB24">
              <w:rPr>
                <w:rFonts w:eastAsia="Arial" w:cs="Arial"/>
                <w:sz w:val="20"/>
                <w:szCs w:val="20"/>
              </w:rPr>
              <w:t xml:space="preserve"> </w:t>
            </w:r>
            <w:r w:rsidRPr="5E685D54">
              <w:rPr>
                <w:rFonts w:eastAsia="Arial" w:cs="Arial"/>
                <w:sz w:val="20"/>
                <w:szCs w:val="20"/>
              </w:rPr>
              <w:t>report</w:t>
            </w:r>
            <w:r w:rsidRPr="169DBB24">
              <w:rPr>
                <w:rFonts w:eastAsia="Arial" w:cs="Arial"/>
                <w:sz w:val="20"/>
                <w:szCs w:val="20"/>
              </w:rPr>
              <w:t xml:space="preserve"> argues that embedding enrichment into school systems is vital for developing belonging, skills, and opportunity—especially for disadvantaged pupils. It highlights how non-formal learning deepens engagement and supports emotional development. </w:t>
            </w:r>
            <w:hyperlink r:id="rId45">
              <w:r w:rsidRPr="20511715">
                <w:rPr>
                  <w:rStyle w:val="Hyperlink"/>
                  <w:rFonts w:eastAsia="Arial" w:cs="Arial"/>
                  <w:sz w:val="20"/>
                  <w:szCs w:val="20"/>
                </w:rPr>
                <w:t>[www.dofe.org]</w:t>
              </w:r>
            </w:hyperlink>
          </w:p>
          <w:p w:rsidRPr="00721AAB" w:rsidR="00EE6FB3" w:rsidP="00EE5679" w:rsidRDefault="5C36C204" w14:paraId="4CE3A8F6" w14:textId="296DBE99">
            <w:pPr>
              <w:suppressAutoHyphens w:val="0"/>
              <w:autoSpaceDN/>
              <w:spacing w:after="0" w:line="278" w:lineRule="auto"/>
              <w:jc w:val="both"/>
              <w:rPr>
                <w:rFonts w:eastAsia="Arial" w:cs="Arial"/>
                <w:color w:val="0D0D0D" w:themeColor="text1" w:themeTint="F2"/>
                <w:sz w:val="20"/>
                <w:szCs w:val="20"/>
              </w:rPr>
            </w:pPr>
            <w:r w:rsidRPr="169DBB24">
              <w:rPr>
                <w:rFonts w:eastAsia="Arial" w:cs="Arial"/>
                <w:b/>
                <w:bCs/>
                <w:sz w:val="20"/>
                <w:szCs w:val="20"/>
              </w:rPr>
              <w:t xml:space="preserve">Centre for Education and Youth (CfEY) – Education and </w:t>
            </w:r>
            <w:r w:rsidRPr="187F6850">
              <w:rPr>
                <w:rFonts w:eastAsia="Arial" w:cs="Arial"/>
                <w:b/>
                <w:bCs/>
                <w:sz w:val="20"/>
                <w:szCs w:val="20"/>
              </w:rPr>
              <w:t>Enrichment</w:t>
            </w:r>
            <w:r w:rsidRPr="187F6850">
              <w:rPr>
                <w:rFonts w:eastAsia="Arial" w:cs="Arial"/>
                <w:sz w:val="20"/>
                <w:szCs w:val="20"/>
              </w:rPr>
              <w:t>CfEY’s</w:t>
            </w:r>
            <w:r w:rsidRPr="169DBB24">
              <w:rPr>
                <w:rFonts w:eastAsia="Arial" w:cs="Arial"/>
                <w:sz w:val="20"/>
                <w:szCs w:val="20"/>
              </w:rPr>
              <w:t xml:space="preserve"> </w:t>
            </w:r>
            <w:hyperlink r:id="rId46">
              <w:r w:rsidRPr="6A089D05">
                <w:rPr>
                  <w:rStyle w:val="Hyperlink"/>
                  <w:rFonts w:eastAsia="Arial" w:cs="Arial"/>
                  <w:sz w:val="20"/>
                  <w:szCs w:val="20"/>
                </w:rPr>
                <w:t>research</w:t>
              </w:r>
            </w:hyperlink>
            <w:r w:rsidRPr="169DBB24">
              <w:rPr>
                <w:rFonts w:eastAsia="Arial" w:cs="Arial"/>
                <w:sz w:val="20"/>
                <w:szCs w:val="20"/>
              </w:rPr>
              <w:t xml:space="preserve"> shows that enrichment activities (sports, arts, volunteering) improve mental health, engagement, and educational outcomes. It also identifies a growing “enrichment gap” affecting disadvantaged pupils disproportionately. </w:t>
            </w:r>
            <w:hyperlink r:id="rId47">
              <w:r w:rsidRPr="16763093">
                <w:rPr>
                  <w:rStyle w:val="Hyperlink"/>
                  <w:rFonts w:eastAsia="Arial" w:cs="Arial"/>
                  <w:sz w:val="20"/>
                  <w:szCs w:val="20"/>
                </w:rPr>
                <w:t>[cfey.org]</w:t>
              </w:r>
            </w:hyperlink>
          </w:p>
          <w:p w:rsidRPr="00721AAB" w:rsidR="00EE6FB3" w:rsidP="00EE5679" w:rsidRDefault="5C36C204" w14:paraId="39004CDC" w14:textId="3E2B614B">
            <w:pPr>
              <w:suppressAutoHyphens w:val="0"/>
              <w:autoSpaceDN/>
              <w:spacing w:after="0" w:line="278" w:lineRule="auto"/>
              <w:jc w:val="both"/>
              <w:rPr>
                <w:rFonts w:eastAsia="Arial" w:cs="Arial"/>
                <w:color w:val="0D0D0D" w:themeColor="text1" w:themeTint="F2"/>
                <w:sz w:val="20"/>
                <w:szCs w:val="20"/>
              </w:rPr>
            </w:pPr>
            <w:r w:rsidRPr="169DBB24">
              <w:rPr>
                <w:rFonts w:eastAsia="Arial" w:cs="Arial"/>
                <w:b/>
                <w:bCs/>
                <w:sz w:val="20"/>
                <w:szCs w:val="20"/>
              </w:rPr>
              <w:t xml:space="preserve">Centre for Young Lives – Tackling School </w:t>
            </w:r>
            <w:r w:rsidRPr="571F56B2">
              <w:rPr>
                <w:rFonts w:eastAsia="Arial" w:cs="Arial"/>
                <w:b/>
                <w:bCs/>
                <w:sz w:val="20"/>
                <w:szCs w:val="20"/>
              </w:rPr>
              <w:t>Absence</w:t>
            </w:r>
            <w:r w:rsidRPr="571F56B2">
              <w:rPr>
                <w:rFonts w:eastAsia="Arial" w:cs="Arial"/>
                <w:sz w:val="20"/>
                <w:szCs w:val="20"/>
              </w:rPr>
              <w:t>This</w:t>
            </w:r>
            <w:r w:rsidRPr="169DBB24">
              <w:rPr>
                <w:rFonts w:eastAsia="Arial" w:cs="Arial"/>
                <w:sz w:val="20"/>
                <w:szCs w:val="20"/>
              </w:rPr>
              <w:t xml:space="preserve"> </w:t>
            </w:r>
            <w:hyperlink r:id="rId48">
              <w:r w:rsidRPr="16763093">
                <w:rPr>
                  <w:rStyle w:val="Hyperlink"/>
                  <w:rFonts w:eastAsia="Arial" w:cs="Arial"/>
                  <w:sz w:val="20"/>
                  <w:szCs w:val="20"/>
                </w:rPr>
                <w:t>report</w:t>
              </w:r>
            </w:hyperlink>
            <w:r w:rsidRPr="169DBB24">
              <w:rPr>
                <w:rFonts w:eastAsia="Arial" w:cs="Arial"/>
                <w:sz w:val="20"/>
                <w:szCs w:val="20"/>
              </w:rPr>
              <w:t xml:space="preserve"> finds a direct correlation between enrichment participation and improved school attendance, espe</w:t>
            </w:r>
            <w:r w:rsidRPr="169DBB24">
              <w:rPr>
                <w:rFonts w:eastAsia="Arial" w:cs="Arial"/>
                <w:sz w:val="20"/>
                <w:szCs w:val="20"/>
              </w:rPr>
              <w:lastRenderedPageBreak/>
              <w:t xml:space="preserve">cially among marginalised pupils. It advocates for an “enrichment guarantee” of 80 hours per year. </w:t>
            </w:r>
            <w:hyperlink r:id="rId49">
              <w:r w:rsidRPr="16763093">
                <w:rPr>
                  <w:rStyle w:val="Hyperlink"/>
                  <w:rFonts w:eastAsia="Arial" w:cs="Arial"/>
                  <w:sz w:val="20"/>
                  <w:szCs w:val="20"/>
                </w:rPr>
                <w:t>[www.centre...ves.org.uk]</w:t>
              </w:r>
            </w:hyperlink>
          </w:p>
          <w:p w:rsidRPr="00721AAB" w:rsidR="00EE6FB3" w:rsidP="00EE5679" w:rsidRDefault="5C36C204" w14:paraId="486411FE" w14:textId="393B45F3">
            <w:pPr>
              <w:suppressAutoHyphens w:val="0"/>
              <w:autoSpaceDN/>
              <w:spacing w:after="0" w:line="278" w:lineRule="auto"/>
              <w:jc w:val="both"/>
              <w:rPr>
                <w:rFonts w:eastAsia="Arial" w:cs="Arial"/>
                <w:color w:val="0D0D0D" w:themeColor="text1" w:themeTint="F2"/>
              </w:rPr>
            </w:pPr>
            <w:r w:rsidRPr="169DBB24">
              <w:rPr>
                <w:rFonts w:eastAsia="Arial" w:cs="Arial"/>
                <w:b/>
                <w:bCs/>
                <w:sz w:val="20"/>
                <w:szCs w:val="20"/>
              </w:rPr>
              <w:t xml:space="preserve">NCFE &amp; AoC – Valuing </w:t>
            </w:r>
            <w:r w:rsidRPr="2309A7B9">
              <w:rPr>
                <w:rFonts w:eastAsia="Arial" w:cs="Arial"/>
                <w:b/>
                <w:bCs/>
                <w:sz w:val="20"/>
                <w:szCs w:val="20"/>
              </w:rPr>
              <w:t xml:space="preserve">Enrichment </w:t>
            </w:r>
            <w:r w:rsidRPr="2309A7B9">
              <w:rPr>
                <w:rFonts w:eastAsia="Arial" w:cs="Arial"/>
                <w:sz w:val="20"/>
                <w:szCs w:val="20"/>
              </w:rPr>
              <w:t>The</w:t>
            </w:r>
            <w:r w:rsidRPr="169DBB24">
              <w:rPr>
                <w:rFonts w:eastAsia="Arial" w:cs="Arial"/>
                <w:sz w:val="20"/>
                <w:szCs w:val="20"/>
              </w:rPr>
              <w:t xml:space="preserve"> </w:t>
            </w:r>
            <w:hyperlink r:id="rId50">
              <w:r w:rsidRPr="16763093">
                <w:rPr>
                  <w:rStyle w:val="Hyperlink"/>
                  <w:rFonts w:eastAsia="Arial" w:cs="Arial"/>
                  <w:sz w:val="20"/>
                  <w:szCs w:val="20"/>
                </w:rPr>
                <w:t>Valuing Enrichment</w:t>
              </w:r>
            </w:hyperlink>
            <w:r w:rsidRPr="169DBB24">
              <w:rPr>
                <w:rFonts w:eastAsia="Arial" w:cs="Arial"/>
                <w:sz w:val="20"/>
                <w:szCs w:val="20"/>
              </w:rPr>
              <w:t xml:space="preserve"> report highlights how enrichment boosts confidence, resilience, and life skills. It calls for better funding and integration of enrichment into post-16 education, especially for disadvantaged learners.</w:t>
            </w:r>
          </w:p>
          <w:p w:rsidRPr="00721AAB" w:rsidR="00EE6FB3" w:rsidP="00EE5679" w:rsidRDefault="00EE6FB3" w14:paraId="5B40B822" w14:textId="32A25165">
            <w:pPr>
              <w:suppressAutoHyphens w:val="0"/>
              <w:autoSpaceDN/>
              <w:spacing w:after="0" w:line="278" w:lineRule="auto"/>
              <w:ind w:left="360"/>
              <w:jc w:val="both"/>
              <w:rPr>
                <w:sz w:val="20"/>
                <w:szCs w:val="20"/>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E6FB3" w:rsidP="00EE5679" w:rsidRDefault="00632418" w14:paraId="5CE4DB93" w14:textId="7A363533">
            <w:pPr>
              <w:pStyle w:val="TableRowCentered"/>
              <w:spacing w:before="0" w:after="0"/>
              <w:ind w:left="0" w:right="0"/>
              <w:jc w:val="both"/>
              <w:rPr>
                <w:sz w:val="22"/>
              </w:rPr>
            </w:pPr>
            <w:r>
              <w:rPr>
                <w:sz w:val="22"/>
              </w:rPr>
              <w:lastRenderedPageBreak/>
              <w:t>4,5</w:t>
            </w:r>
          </w:p>
        </w:tc>
      </w:tr>
    </w:tbl>
    <w:p w:rsidR="354AFB72" w:rsidP="00EE5679" w:rsidRDefault="354AFB72" w14:paraId="6FADFEEE" w14:textId="66529068">
      <w:pPr>
        <w:spacing w:after="0"/>
        <w:jc w:val="both"/>
      </w:pPr>
    </w:p>
    <w:p w:rsidR="00E66558" w:rsidP="00EE5679" w:rsidRDefault="00E66558" w14:paraId="2A7D5540" w14:textId="77777777">
      <w:pPr>
        <w:spacing w:after="0"/>
        <w:jc w:val="both"/>
        <w:rPr>
          <w:b/>
          <w:bCs/>
          <w:color w:val="104F75"/>
          <w:sz w:val="28"/>
          <w:szCs w:val="28"/>
        </w:rPr>
      </w:pPr>
    </w:p>
    <w:p w:rsidR="00E66558" w:rsidP="00EE5679" w:rsidRDefault="009D71E8" w14:paraId="2A7D5541" w14:textId="3CE141E7">
      <w:pPr>
        <w:spacing w:after="0"/>
        <w:jc w:val="both"/>
        <w:rPr>
          <w:i/>
          <w:color w:val="104F75"/>
          <w:sz w:val="28"/>
          <w:szCs w:val="28"/>
        </w:rPr>
      </w:pPr>
      <w:r>
        <w:rPr>
          <w:b/>
          <w:bCs/>
          <w:color w:val="104F75"/>
          <w:sz w:val="28"/>
          <w:szCs w:val="28"/>
        </w:rPr>
        <w:t xml:space="preserve">Total budgeted cost: £ </w:t>
      </w:r>
      <w:r w:rsidRPr="5E5AED5A" w:rsidR="50617D3C">
        <w:rPr>
          <w:b/>
          <w:bCs/>
          <w:color w:val="104F75"/>
          <w:sz w:val="28"/>
          <w:szCs w:val="28"/>
        </w:rPr>
        <w:t>252</w:t>
      </w:r>
      <w:r w:rsidRPr="4F65AABD" w:rsidR="50617D3C">
        <w:rPr>
          <w:b/>
          <w:bCs/>
          <w:color w:val="104F75"/>
          <w:sz w:val="28"/>
          <w:szCs w:val="28"/>
        </w:rPr>
        <w:t>,</w:t>
      </w:r>
      <w:r w:rsidRPr="1761CEB0" w:rsidR="50617D3C">
        <w:rPr>
          <w:b/>
          <w:bCs/>
          <w:color w:val="104F75"/>
          <w:sz w:val="28"/>
          <w:szCs w:val="28"/>
        </w:rPr>
        <w:t>767</w:t>
      </w:r>
    </w:p>
    <w:p w:rsidRPr="00794276" w:rsidR="00E66558" w:rsidP="00EE5679" w:rsidRDefault="009D71E8" w14:paraId="2A7D5542" w14:textId="11072F63">
      <w:pPr>
        <w:pStyle w:val="Heading1"/>
        <w:spacing w:after="0"/>
        <w:jc w:val="both"/>
        <w:rPr>
          <w:u w:val="single"/>
        </w:rPr>
      </w:pPr>
      <w:r w:rsidRPr="00064366">
        <w:lastRenderedPageBreak/>
        <w:t>Part B: Review of the previous academic year</w:t>
      </w:r>
      <w:r w:rsidR="00794276">
        <w:t xml:space="preserve"> </w:t>
      </w:r>
      <w:r w:rsidRPr="00794276" w:rsidR="00794276">
        <w:rPr>
          <w:u w:val="single"/>
        </w:rPr>
        <w:t>(2024-2025)</w:t>
      </w:r>
    </w:p>
    <w:p w:rsidR="008B6404" w:rsidP="00EE5679" w:rsidRDefault="00064366" w14:paraId="751285B7" w14:textId="72ACB452">
      <w:pPr>
        <w:pStyle w:val="Heading2"/>
        <w:spacing w:before="0" w:after="0"/>
        <w:jc w:val="both"/>
      </w:pPr>
      <w:r w:rsidRPr="00173D4C">
        <w:t>Outcomes for disadvantaged pupils</w:t>
      </w:r>
    </w:p>
    <w:tbl>
      <w:tblPr>
        <w:tblW w:w="9666" w:type="dxa"/>
        <w:tblCellMar>
          <w:left w:w="10" w:type="dxa"/>
          <w:right w:w="10" w:type="dxa"/>
        </w:tblCellMar>
        <w:tblLook w:val="04A0" w:firstRow="1" w:lastRow="0" w:firstColumn="1" w:lastColumn="0" w:noHBand="0" w:noVBand="1"/>
      </w:tblPr>
      <w:tblGrid>
        <w:gridCol w:w="9666"/>
      </w:tblGrid>
      <w:tr w:rsidR="00173D4C" w:rsidTr="53729184" w14:paraId="7FB51099" w14:textId="77777777">
        <w:trPr>
          <w:trHeight w:val="1095"/>
        </w:trPr>
        <w:tc>
          <w:tcPr>
            <w:tcW w:w="9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C3A35" w:rsidR="0002461E" w:rsidP="469A689D" w:rsidRDefault="001C3A35" w14:paraId="73301348" w14:textId="2108D3E4">
            <w:pPr>
              <w:spacing w:after="0"/>
              <w:jc w:val="both"/>
              <w:rPr>
                <w:rFonts w:eastAsia="Arial" w:cs="Arial"/>
                <w:b/>
                <w:bCs/>
                <w:color w:val="auto"/>
                <w:sz w:val="20"/>
                <w:szCs w:val="20"/>
              </w:rPr>
            </w:pPr>
            <w:r w:rsidRPr="001C3A35">
              <w:rPr>
                <w:rFonts w:eastAsia="Arial" w:cs="Arial"/>
                <w:b/>
                <w:bCs/>
                <w:color w:val="auto"/>
                <w:sz w:val="20"/>
                <w:szCs w:val="20"/>
              </w:rPr>
              <w:t>Behaviour outcomes for Disadvantaged pupils</w:t>
            </w:r>
          </w:p>
          <w:p w:rsidRPr="008D57E0" w:rsidR="00DB3340" w:rsidP="469A689D" w:rsidRDefault="00BF6BEF" w14:paraId="17016F44" w14:textId="61F8FCF3">
            <w:pPr>
              <w:spacing w:after="0"/>
              <w:jc w:val="both"/>
              <w:rPr>
                <w:rFonts w:eastAsia="Arial" w:cs="Arial"/>
                <w:color w:val="auto"/>
                <w:sz w:val="20"/>
                <w:szCs w:val="20"/>
              </w:rPr>
            </w:pPr>
            <w:r w:rsidRPr="008D57E0">
              <w:rPr>
                <w:rFonts w:eastAsia="Arial" w:cs="Arial"/>
                <w:color w:val="auto"/>
                <w:sz w:val="20"/>
                <w:szCs w:val="20"/>
              </w:rPr>
              <w:t xml:space="preserve">Analysis of the college’s Behaviour Management system, </w:t>
            </w:r>
            <w:r w:rsidRPr="008D57E0" w:rsidR="00A3418D">
              <w:rPr>
                <w:rFonts w:eastAsia="Arial" w:cs="Arial"/>
                <w:color w:val="auto"/>
                <w:sz w:val="20"/>
                <w:szCs w:val="20"/>
              </w:rPr>
              <w:t>Class Charts</w:t>
            </w:r>
            <w:r w:rsidRPr="008D57E0">
              <w:rPr>
                <w:rFonts w:eastAsia="Arial" w:cs="Arial"/>
                <w:color w:val="auto"/>
                <w:sz w:val="20"/>
                <w:szCs w:val="20"/>
              </w:rPr>
              <w:t xml:space="preserve">, demonstrates a positive impact on Disadvantaged students </w:t>
            </w:r>
            <w:r w:rsidRPr="008D57E0" w:rsidR="00884C4B">
              <w:rPr>
                <w:rFonts w:eastAsia="Arial" w:cs="Arial"/>
                <w:color w:val="auto"/>
                <w:sz w:val="20"/>
                <w:szCs w:val="20"/>
              </w:rPr>
              <w:t>There was a 155% increase in positive points awarded to PP students</w:t>
            </w:r>
            <w:r w:rsidRPr="008D57E0">
              <w:rPr>
                <w:rFonts w:eastAsia="Arial" w:cs="Arial"/>
                <w:color w:val="auto"/>
                <w:sz w:val="20"/>
                <w:szCs w:val="20"/>
              </w:rPr>
              <w:t xml:space="preserve"> </w:t>
            </w:r>
            <w:r w:rsidRPr="008D57E0" w:rsidR="005D4042">
              <w:rPr>
                <w:rFonts w:eastAsia="Arial" w:cs="Arial"/>
                <w:color w:val="auto"/>
                <w:sz w:val="20"/>
                <w:szCs w:val="20"/>
              </w:rPr>
              <w:t xml:space="preserve">during the last academic </w:t>
            </w:r>
            <w:r w:rsidRPr="008D57E0" w:rsidR="00A3418D">
              <w:rPr>
                <w:rFonts w:eastAsia="Arial" w:cs="Arial"/>
                <w:color w:val="auto"/>
                <w:sz w:val="20"/>
                <w:szCs w:val="20"/>
              </w:rPr>
              <w:t>year. Disadvantaged</w:t>
            </w:r>
            <w:r w:rsidRPr="008D57E0" w:rsidR="00DB3340">
              <w:rPr>
                <w:rFonts w:eastAsia="Arial" w:cs="Arial"/>
                <w:color w:val="auto"/>
                <w:sz w:val="20"/>
                <w:szCs w:val="20"/>
              </w:rPr>
              <w:t xml:space="preserve"> students received positive recognition in relation to virtues 17,270 times representing 42% of the virtue’s points rewarded demonstrating the emphasis on rewarding and supporting the most vulnerable in our community</w:t>
            </w:r>
            <w:r w:rsidR="00605D92">
              <w:rPr>
                <w:rFonts w:eastAsia="Arial" w:cs="Arial"/>
                <w:color w:val="auto"/>
                <w:sz w:val="20"/>
                <w:szCs w:val="20"/>
              </w:rPr>
              <w:t>.</w:t>
            </w:r>
            <w:r w:rsidRPr="008D57E0" w:rsidR="00DB3340">
              <w:rPr>
                <w:rFonts w:eastAsia="Arial" w:cs="Arial"/>
                <w:color w:val="auto"/>
                <w:sz w:val="20"/>
                <w:szCs w:val="20"/>
              </w:rPr>
              <w:t> Disadvantaged students were rewarded significantly beyond their context in relation to Self-Belief (39%), Confidence (42%) and Resilience (53%). This demonstrates opportunities taken for students to flourish amongst their peers in lessons.  </w:t>
            </w:r>
          </w:p>
          <w:p w:rsidRPr="008D57E0" w:rsidR="00097FD4" w:rsidP="469A689D" w:rsidRDefault="00E32CA0" w14:paraId="43CE8282" w14:textId="4213A306">
            <w:pPr>
              <w:spacing w:after="0"/>
              <w:jc w:val="both"/>
              <w:rPr>
                <w:rFonts w:eastAsia="Arial" w:cs="Arial"/>
                <w:color w:val="auto"/>
                <w:sz w:val="20"/>
                <w:szCs w:val="20"/>
              </w:rPr>
            </w:pPr>
            <w:r w:rsidRPr="008D57E0">
              <w:rPr>
                <w:rFonts w:eastAsia="Arial" w:cs="Arial"/>
                <w:color w:val="auto"/>
                <w:sz w:val="20"/>
                <w:szCs w:val="20"/>
              </w:rPr>
              <w:t xml:space="preserve">Suspensions of </w:t>
            </w:r>
            <w:r w:rsidRPr="008D57E0" w:rsidR="000D3455">
              <w:rPr>
                <w:rFonts w:eastAsia="Arial" w:cs="Arial"/>
                <w:color w:val="auto"/>
                <w:sz w:val="20"/>
                <w:szCs w:val="20"/>
              </w:rPr>
              <w:t xml:space="preserve">PP </w:t>
            </w:r>
            <w:r w:rsidRPr="008D57E0">
              <w:rPr>
                <w:rFonts w:eastAsia="Arial" w:cs="Arial"/>
                <w:color w:val="auto"/>
                <w:sz w:val="20"/>
                <w:szCs w:val="20"/>
              </w:rPr>
              <w:t xml:space="preserve">students have decreased over the previous 3 years by </w:t>
            </w:r>
            <w:r w:rsidRPr="008D57E0" w:rsidR="000D3455">
              <w:rPr>
                <w:rFonts w:eastAsia="Arial" w:cs="Arial"/>
                <w:color w:val="auto"/>
                <w:sz w:val="20"/>
                <w:szCs w:val="20"/>
              </w:rPr>
              <w:t>36%</w:t>
            </w:r>
            <w:r w:rsidR="002453C9">
              <w:rPr>
                <w:rFonts w:eastAsia="Arial" w:cs="Arial"/>
                <w:color w:val="auto"/>
                <w:sz w:val="20"/>
                <w:szCs w:val="20"/>
              </w:rPr>
              <w:t>.</w:t>
            </w:r>
            <w:r w:rsidR="00F405F2">
              <w:rPr>
                <w:rFonts w:eastAsia="Arial" w:cs="Arial"/>
                <w:color w:val="auto"/>
                <w:sz w:val="20"/>
                <w:szCs w:val="20"/>
              </w:rPr>
              <w:t xml:space="preserve"> T</w:t>
            </w:r>
            <w:r w:rsidRPr="008D57E0" w:rsidR="00E22E8A">
              <w:rPr>
                <w:rFonts w:eastAsia="Arial" w:cs="Arial"/>
                <w:color w:val="auto"/>
                <w:sz w:val="20"/>
                <w:szCs w:val="20"/>
              </w:rPr>
              <w:t xml:space="preserve">he school’s rates of Permanent exclusion and Fixed term suspension are </w:t>
            </w:r>
            <w:r w:rsidRPr="008D57E0" w:rsidR="008054BA">
              <w:rPr>
                <w:rFonts w:eastAsia="Arial" w:cs="Arial"/>
                <w:color w:val="auto"/>
                <w:sz w:val="20"/>
                <w:szCs w:val="20"/>
              </w:rPr>
              <w:t>significantly</w:t>
            </w:r>
            <w:r w:rsidRPr="008D57E0" w:rsidR="00E22E8A">
              <w:rPr>
                <w:rFonts w:eastAsia="Arial" w:cs="Arial"/>
                <w:color w:val="auto"/>
                <w:sz w:val="20"/>
                <w:szCs w:val="20"/>
              </w:rPr>
              <w:t xml:space="preserve"> belo</w:t>
            </w:r>
            <w:r w:rsidRPr="008D57E0" w:rsidR="008054BA">
              <w:rPr>
                <w:rFonts w:eastAsia="Arial" w:cs="Arial"/>
                <w:color w:val="auto"/>
                <w:sz w:val="20"/>
                <w:szCs w:val="20"/>
              </w:rPr>
              <w:t>w national and regional rates and continuing to fall</w:t>
            </w:r>
            <w:r w:rsidRPr="008D57E0" w:rsidR="00097FD4">
              <w:rPr>
                <w:rFonts w:eastAsia="Arial" w:cs="Arial"/>
                <w:color w:val="auto"/>
                <w:sz w:val="20"/>
                <w:szCs w:val="20"/>
              </w:rPr>
              <w:t xml:space="preserve"> (See below)</w:t>
            </w:r>
            <w:r w:rsidRPr="008D57E0" w:rsidR="008054BA">
              <w:rPr>
                <w:rFonts w:eastAsia="Arial" w:cs="Arial"/>
                <w:color w:val="auto"/>
                <w:sz w:val="20"/>
                <w:szCs w:val="20"/>
              </w:rPr>
              <w:t>.</w:t>
            </w:r>
          </w:p>
          <w:p w:rsidR="00E32CA0" w:rsidP="469A689D" w:rsidRDefault="1F90432A" w14:paraId="2D07BBC8" w14:textId="5A3782F4">
            <w:pPr>
              <w:spacing w:after="0"/>
              <w:ind w:left="360"/>
              <w:jc w:val="both"/>
              <w:rPr>
                <w:rFonts w:eastAsia="Arial" w:cs="Arial"/>
                <w:i/>
                <w:iCs/>
                <w:color w:val="00B050"/>
              </w:rPr>
            </w:pPr>
            <w:r>
              <w:rPr>
                <w:noProof/>
              </w:rPr>
              <w:drawing>
                <wp:inline distT="0" distB="0" distL="0" distR="0" wp14:anchorId="0D63102B" wp14:editId="155ED20F">
                  <wp:extent cx="5770418" cy="1537335"/>
                  <wp:effectExtent l="0" t="0" r="1905" b="5715"/>
                  <wp:docPr id="4" name="Picture 3">
                    <a:extLst xmlns:a="http://schemas.openxmlformats.org/drawingml/2006/main">
                      <a:ext uri="{FF2B5EF4-FFF2-40B4-BE49-F238E27FC236}">
                        <a16:creationId xmlns:a16="http://schemas.microsoft.com/office/drawing/2014/main" id="{2E52BB02-04ED-710E-B632-A4E47DD3C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E52BB02-04ED-710E-B632-A4E47DD3C89C}"/>
                              </a:ext>
                            </a:extLst>
                          </pic:cNvPr>
                          <pic:cNvPicPr>
                            <a:picLocks noChangeAspect="1"/>
                          </pic:cNvPicPr>
                        </pic:nvPicPr>
                        <pic:blipFill>
                          <a:blip r:embed="rId51"/>
                          <a:stretch>
                            <a:fillRect/>
                          </a:stretch>
                        </pic:blipFill>
                        <pic:spPr>
                          <a:xfrm>
                            <a:off x="0" y="0"/>
                            <a:ext cx="5771460" cy="1537613"/>
                          </a:xfrm>
                          <a:prstGeom prst="rect">
                            <a:avLst/>
                          </a:prstGeom>
                        </pic:spPr>
                      </pic:pic>
                    </a:graphicData>
                  </a:graphic>
                </wp:inline>
              </w:drawing>
            </w:r>
            <w:r w:rsidR="008054BA">
              <w:rPr>
                <w:rFonts w:eastAsia="Arial" w:cs="Arial"/>
                <w:i/>
                <w:iCs/>
                <w:color w:val="00B050"/>
              </w:rPr>
              <w:t xml:space="preserve"> </w:t>
            </w:r>
          </w:p>
          <w:p w:rsidRPr="001006B1" w:rsidR="00903805" w:rsidP="469A689D" w:rsidRDefault="00903805" w14:paraId="022D4705" w14:textId="5879E181">
            <w:pPr>
              <w:spacing w:after="0"/>
              <w:jc w:val="both"/>
              <w:rPr>
                <w:rFonts w:eastAsia="Arial" w:cs="Arial"/>
                <w:color w:val="auto"/>
                <w:sz w:val="20"/>
                <w:szCs w:val="20"/>
              </w:rPr>
            </w:pPr>
            <w:r w:rsidRPr="001006B1">
              <w:rPr>
                <w:rFonts w:eastAsia="Arial" w:cs="Arial"/>
                <w:color w:val="auto"/>
                <w:sz w:val="20"/>
                <w:szCs w:val="20"/>
              </w:rPr>
              <w:t xml:space="preserve">The reduction in suspension rates has been </w:t>
            </w:r>
            <w:r w:rsidRPr="001006B1" w:rsidR="00543533">
              <w:rPr>
                <w:rFonts w:eastAsia="Arial" w:cs="Arial"/>
                <w:color w:val="auto"/>
                <w:sz w:val="20"/>
                <w:szCs w:val="20"/>
              </w:rPr>
              <w:t xml:space="preserve">supported </w:t>
            </w:r>
            <w:r w:rsidRPr="001006B1" w:rsidR="009966FB">
              <w:rPr>
                <w:rFonts w:eastAsia="Arial" w:cs="Arial"/>
                <w:color w:val="auto"/>
                <w:sz w:val="20"/>
                <w:szCs w:val="20"/>
              </w:rPr>
              <w:t>using</w:t>
            </w:r>
            <w:r w:rsidRPr="001006B1" w:rsidR="00543533">
              <w:rPr>
                <w:rFonts w:eastAsia="Arial" w:cs="Arial"/>
                <w:color w:val="auto"/>
                <w:sz w:val="20"/>
                <w:szCs w:val="20"/>
              </w:rPr>
              <w:t xml:space="preserve"> </w:t>
            </w:r>
            <w:r w:rsidRPr="001006B1" w:rsidR="009966FB">
              <w:rPr>
                <w:rFonts w:eastAsia="Arial" w:cs="Arial"/>
                <w:color w:val="auto"/>
                <w:sz w:val="20"/>
                <w:szCs w:val="20"/>
              </w:rPr>
              <w:t>s</w:t>
            </w:r>
            <w:r w:rsidRPr="001006B1" w:rsidR="00543533">
              <w:rPr>
                <w:rFonts w:eastAsia="Arial" w:cs="Arial"/>
                <w:color w:val="auto"/>
                <w:sz w:val="20"/>
                <w:szCs w:val="20"/>
              </w:rPr>
              <w:t>taffing to support reset so students can be supported before their behaviour escalates and results in a serious behaviour or consequence.</w:t>
            </w:r>
            <w:r w:rsidRPr="469A689D" w:rsidR="00021CE0">
              <w:rPr>
                <w:rFonts w:ascii="Calibri" w:hAnsi="Calibri" w:cs="Calibri"/>
                <w:color w:val="auto"/>
                <w:sz w:val="20"/>
                <w:szCs w:val="20"/>
              </w:rPr>
              <w:t xml:space="preserve"> </w:t>
            </w:r>
          </w:p>
          <w:p w:rsidR="009128CF" w:rsidP="469A689D" w:rsidRDefault="009128CF" w14:paraId="1C578A15" w14:textId="37E0CE6B">
            <w:pPr>
              <w:spacing w:after="0"/>
              <w:jc w:val="both"/>
              <w:rPr>
                <w:rFonts w:eastAsia="Arial" w:cs="Arial"/>
                <w:color w:val="auto"/>
                <w:sz w:val="20"/>
                <w:szCs w:val="20"/>
              </w:rPr>
            </w:pPr>
            <w:r w:rsidRPr="001006B1">
              <w:rPr>
                <w:rFonts w:eastAsia="Arial" w:cs="Arial"/>
                <w:color w:val="auto"/>
                <w:sz w:val="20"/>
                <w:szCs w:val="20"/>
              </w:rPr>
              <w:t xml:space="preserve">Numbers of repeat referrals for isolation have fallen by </w:t>
            </w:r>
            <w:r w:rsidRPr="001006B1" w:rsidR="006D08D1">
              <w:rPr>
                <w:rFonts w:eastAsia="Arial" w:cs="Arial"/>
                <w:color w:val="auto"/>
                <w:sz w:val="20"/>
                <w:szCs w:val="20"/>
              </w:rPr>
              <w:t>47</w:t>
            </w:r>
            <w:r w:rsidRPr="001006B1" w:rsidR="00A4139A">
              <w:rPr>
                <w:rFonts w:eastAsia="Arial" w:cs="Arial"/>
                <w:color w:val="auto"/>
                <w:sz w:val="20"/>
                <w:szCs w:val="20"/>
              </w:rPr>
              <w:t>%</w:t>
            </w:r>
            <w:r w:rsidRPr="001006B1" w:rsidR="006D08D1">
              <w:rPr>
                <w:rFonts w:eastAsia="Arial" w:cs="Arial"/>
                <w:color w:val="auto"/>
                <w:sz w:val="20"/>
                <w:szCs w:val="20"/>
              </w:rPr>
              <w:t xml:space="preserve"> for PP students</w:t>
            </w:r>
            <w:r w:rsidRPr="001006B1" w:rsidR="00A4139A">
              <w:rPr>
                <w:rFonts w:eastAsia="Arial" w:cs="Arial"/>
                <w:color w:val="auto"/>
                <w:sz w:val="20"/>
                <w:szCs w:val="20"/>
              </w:rPr>
              <w:t xml:space="preserve"> </w:t>
            </w:r>
            <w:r w:rsidRPr="001006B1" w:rsidR="00090988">
              <w:rPr>
                <w:rFonts w:eastAsia="Arial" w:cs="Arial"/>
                <w:color w:val="auto"/>
                <w:sz w:val="20"/>
                <w:szCs w:val="20"/>
              </w:rPr>
              <w:t xml:space="preserve">and by 30% for students with SEND </w:t>
            </w:r>
            <w:r w:rsidRPr="001006B1" w:rsidR="00A4139A">
              <w:rPr>
                <w:rFonts w:eastAsia="Arial" w:cs="Arial"/>
                <w:color w:val="auto"/>
                <w:sz w:val="20"/>
                <w:szCs w:val="20"/>
              </w:rPr>
              <w:t>in the previous 3 years</w:t>
            </w:r>
            <w:r w:rsidRPr="001006B1" w:rsidR="00090988">
              <w:rPr>
                <w:rFonts w:eastAsia="Arial" w:cs="Arial"/>
                <w:color w:val="auto"/>
                <w:sz w:val="20"/>
                <w:szCs w:val="20"/>
              </w:rPr>
              <w:t>.</w:t>
            </w:r>
            <w:r w:rsidRPr="001006B1" w:rsidR="00894140">
              <w:rPr>
                <w:rFonts w:eastAsia="Arial" w:cs="Arial"/>
                <w:color w:val="auto"/>
                <w:sz w:val="20"/>
                <w:szCs w:val="20"/>
              </w:rPr>
              <w:t xml:space="preserve"> For LAC students there has been a 75% decrease in repeat referrals to P4L.</w:t>
            </w:r>
          </w:p>
          <w:p w:rsidR="007A2B35" w:rsidP="469A689D" w:rsidRDefault="007A2B35" w14:paraId="498CF817" w14:textId="25451E63">
            <w:pPr>
              <w:spacing w:after="0"/>
              <w:jc w:val="both"/>
              <w:rPr>
                <w:rFonts w:eastAsia="Arial" w:cs="Arial"/>
                <w:color w:val="auto"/>
                <w:sz w:val="20"/>
                <w:szCs w:val="20"/>
              </w:rPr>
            </w:pPr>
            <w:r w:rsidRPr="007A2B35">
              <w:rPr>
                <w:rFonts w:eastAsia="Arial" w:cs="Arial"/>
                <w:color w:val="auto"/>
                <w:sz w:val="20"/>
                <w:szCs w:val="20"/>
              </w:rPr>
              <w:t>CPD on Trauma informed and relational practice delivered at the beginning of the Spring term led to a 31% increase in rewards and a 35% decrease in sanctions for vulnerable groups when compared with the same time period in the previous academic year.</w:t>
            </w:r>
          </w:p>
          <w:p w:rsidRPr="001006B1" w:rsidR="00E9338F" w:rsidP="469A689D" w:rsidRDefault="00E9338F" w14:paraId="5EE7D9EE" w14:textId="6851A0F6">
            <w:pPr>
              <w:spacing w:after="0"/>
              <w:jc w:val="both"/>
              <w:rPr>
                <w:rFonts w:eastAsia="Arial" w:cs="Arial"/>
                <w:color w:val="auto"/>
                <w:sz w:val="20"/>
                <w:szCs w:val="20"/>
              </w:rPr>
            </w:pPr>
            <w:r w:rsidRPr="469A689D">
              <w:rPr>
                <w:rFonts w:eastAsia="Arial" w:cs="Arial"/>
                <w:color w:val="auto"/>
                <w:sz w:val="20"/>
                <w:szCs w:val="20"/>
              </w:rPr>
              <w:t>91% o</w:t>
            </w:r>
            <w:r w:rsidRPr="469A689D" w:rsidR="00E507BE">
              <w:rPr>
                <w:rFonts w:eastAsia="Arial" w:cs="Arial"/>
                <w:color w:val="auto"/>
                <w:sz w:val="20"/>
                <w:szCs w:val="20"/>
              </w:rPr>
              <w:t>f</w:t>
            </w:r>
            <w:r w:rsidRPr="469A689D">
              <w:rPr>
                <w:rFonts w:eastAsia="Arial" w:cs="Arial"/>
                <w:color w:val="auto"/>
                <w:sz w:val="20"/>
                <w:szCs w:val="20"/>
              </w:rPr>
              <w:t xml:space="preserve"> pupils said that bullying is not a problem and that it is dealt with well by staff with 98% stating that they feel safe at school.</w:t>
            </w:r>
            <w:r w:rsidRPr="00E9338F">
              <w:rPr>
                <w:rFonts w:eastAsia="Arial" w:cs="Arial"/>
                <w:color w:val="auto"/>
                <w:sz w:val="20"/>
                <w:szCs w:val="20"/>
              </w:rPr>
              <w:t> </w:t>
            </w:r>
          </w:p>
          <w:p w:rsidR="469A689D" w:rsidP="469A689D" w:rsidRDefault="469A689D" w14:paraId="2D1FDFE7" w14:textId="450FD110">
            <w:pPr>
              <w:spacing w:after="0"/>
              <w:jc w:val="both"/>
              <w:rPr>
                <w:rFonts w:eastAsia="Arial" w:cs="Arial"/>
                <w:color w:val="auto"/>
                <w:sz w:val="20"/>
                <w:szCs w:val="20"/>
              </w:rPr>
            </w:pPr>
          </w:p>
          <w:p w:rsidRPr="0002461E" w:rsidR="000C45D9" w:rsidP="469A689D" w:rsidRDefault="000C45D9" w14:paraId="37333A84" w14:textId="7B9D0FAD">
            <w:pPr>
              <w:spacing w:after="0" w:line="278" w:lineRule="auto"/>
              <w:jc w:val="both"/>
              <w:rPr>
                <w:rFonts w:cs="Arial"/>
                <w:b/>
                <w:bCs/>
                <w:sz w:val="20"/>
                <w:szCs w:val="20"/>
              </w:rPr>
            </w:pPr>
            <w:r w:rsidRPr="0002461E">
              <w:rPr>
                <w:rFonts w:cs="Arial"/>
                <w:b/>
                <w:bCs/>
                <w:sz w:val="20"/>
                <w:szCs w:val="20"/>
              </w:rPr>
              <w:t>Attendance Success for Disadvantaged Students</w:t>
            </w:r>
          </w:p>
          <w:p w:rsidR="469A689D" w:rsidP="469A689D" w:rsidRDefault="000C45D9" w14:paraId="3DE10BBA" w14:textId="25FB442A">
            <w:pPr>
              <w:spacing w:after="0" w:line="278" w:lineRule="auto"/>
              <w:jc w:val="both"/>
              <w:rPr>
                <w:rFonts w:cs="Arial"/>
                <w:sz w:val="20"/>
                <w:szCs w:val="20"/>
              </w:rPr>
            </w:pPr>
            <w:r w:rsidRPr="0002461E">
              <w:rPr>
                <w:rFonts w:cs="Arial"/>
                <w:sz w:val="20"/>
                <w:szCs w:val="20"/>
              </w:rPr>
              <w:t xml:space="preserve">Over the past </w:t>
            </w:r>
            <w:r w:rsidRPr="0002461E" w:rsidR="00E15F86">
              <w:rPr>
                <w:rFonts w:cs="Arial"/>
                <w:sz w:val="20"/>
                <w:szCs w:val="20"/>
              </w:rPr>
              <w:t>three</w:t>
            </w:r>
            <w:r w:rsidRPr="0002461E">
              <w:rPr>
                <w:rFonts w:cs="Arial"/>
                <w:sz w:val="20"/>
                <w:szCs w:val="20"/>
              </w:rPr>
              <w:t xml:space="preserve"> academic years, disadvantaged students at Carmel have consistently outperformed national averages in both overall and persistent absence, demonstrating the impact of targeted pastoral strategies and inclusive support systems.</w:t>
            </w:r>
            <w:r w:rsidR="00FA5B15">
              <w:br/>
            </w:r>
            <w:r w:rsidRPr="0002461E">
              <w:rPr>
                <w:rFonts w:cs="Arial"/>
                <w:sz w:val="20"/>
                <w:szCs w:val="20"/>
              </w:rPr>
              <w:t xml:space="preserve">Overall Absence for disadvantaged students has remained significantly below national figures each year. In 2024–25, absence dropped to 9.6%, compared to the national average of 13.7%, marking the lowest rate in </w:t>
            </w:r>
            <w:r w:rsidRPr="0002461E" w:rsidR="00E15F86">
              <w:rPr>
                <w:rFonts w:cs="Arial"/>
                <w:sz w:val="20"/>
                <w:szCs w:val="20"/>
              </w:rPr>
              <w:t>three</w:t>
            </w:r>
            <w:r w:rsidRPr="0002461E">
              <w:rPr>
                <w:rFonts w:cs="Arial"/>
                <w:sz w:val="20"/>
                <w:szCs w:val="20"/>
              </w:rPr>
              <w:t xml:space="preserve"> years and a notable improvement from the previous year</w:t>
            </w:r>
            <w:r w:rsidRPr="0002461E" w:rsidR="00AC40FD">
              <w:rPr>
                <w:rFonts w:cs="Arial"/>
                <w:sz w:val="20"/>
                <w:szCs w:val="20"/>
              </w:rPr>
              <w:t xml:space="preserve"> of 11.3%.</w:t>
            </w:r>
            <w:r w:rsidR="00FA5B15">
              <w:br/>
            </w:r>
            <w:r w:rsidRPr="0002461E">
              <w:rPr>
                <w:rFonts w:cs="Arial"/>
                <w:sz w:val="20"/>
                <w:szCs w:val="20"/>
              </w:rPr>
              <w:t>Persistent Absence has also seen a substantial reduction. In 2024–25, the rate fell to 29.3%, well below the national average of 41.2%. This represents a 7.8 percentage point improvement from 2023–24 and reflects sustained efforts to re-engage students at risk of disengagement.</w:t>
            </w:r>
            <w:r w:rsidRPr="0002461E" w:rsidR="00FA5B15">
              <w:rPr>
                <w:rFonts w:cs="Arial"/>
                <w:sz w:val="20"/>
                <w:szCs w:val="20"/>
              </w:rPr>
              <w:t xml:space="preserve"> </w:t>
            </w:r>
            <w:r w:rsidRPr="0002461E">
              <w:rPr>
                <w:rFonts w:cs="Arial"/>
                <w:sz w:val="20"/>
                <w:szCs w:val="20"/>
              </w:rPr>
              <w:t xml:space="preserve">These outcomes highlight the </w:t>
            </w:r>
            <w:r w:rsidRPr="0002461E" w:rsidR="00E137A6">
              <w:rPr>
                <w:rFonts w:cs="Arial"/>
                <w:sz w:val="20"/>
                <w:szCs w:val="20"/>
              </w:rPr>
              <w:t>C</w:t>
            </w:r>
            <w:r w:rsidRPr="0002461E">
              <w:rPr>
                <w:rFonts w:cs="Arial"/>
                <w:sz w:val="20"/>
                <w:szCs w:val="20"/>
              </w:rPr>
              <w:t>ollege’s commitment to equity and the success of its pastoral care approach in narrowing attendance gaps between disadvantaged and non-disadvantaged students. The data evidences a culture of high expectations and effective intervention, ensuring all students have the opportunity to thrive.</w:t>
            </w:r>
          </w:p>
          <w:p w:rsidR="003B34E0" w:rsidP="469A689D" w:rsidRDefault="003B34E0" w14:paraId="5450902C" w14:textId="77777777">
            <w:pPr>
              <w:spacing w:after="0" w:line="278" w:lineRule="auto"/>
              <w:jc w:val="both"/>
              <w:rPr>
                <w:rFonts w:cs="Arial"/>
                <w:sz w:val="20"/>
                <w:szCs w:val="20"/>
              </w:rPr>
            </w:pPr>
          </w:p>
          <w:p w:rsidR="003B34E0" w:rsidP="469A689D" w:rsidRDefault="003B34E0" w14:paraId="72DB3E94" w14:textId="77777777">
            <w:pPr>
              <w:spacing w:after="0" w:line="278" w:lineRule="auto"/>
              <w:jc w:val="both"/>
              <w:rPr>
                <w:rFonts w:cs="Arial"/>
                <w:sz w:val="20"/>
                <w:szCs w:val="20"/>
              </w:rPr>
            </w:pPr>
          </w:p>
          <w:p w:rsidR="469A689D" w:rsidP="469A689D" w:rsidRDefault="469A689D" w14:paraId="7536D9EA" w14:textId="4D923FE3">
            <w:pPr>
              <w:spacing w:after="0" w:line="278" w:lineRule="auto"/>
              <w:jc w:val="both"/>
              <w:rPr>
                <w:rFonts w:cs="Arial"/>
                <w:sz w:val="20"/>
                <w:szCs w:val="20"/>
              </w:rPr>
            </w:pPr>
          </w:p>
          <w:p w:rsidRPr="005D25D4" w:rsidR="069F0F23" w:rsidP="469A689D" w:rsidRDefault="006C786F" w14:paraId="7AA3202C" w14:textId="32CAA489">
            <w:pPr>
              <w:spacing w:after="0" w:line="278" w:lineRule="auto"/>
              <w:jc w:val="both"/>
              <w:rPr>
                <w:rFonts w:eastAsia="Arial" w:cs="Arial"/>
                <w:i/>
                <w:color w:val="00B050"/>
              </w:rPr>
            </w:pPr>
            <w:r w:rsidRPr="006C786F">
              <w:rPr>
                <w:rFonts w:cs="Arial"/>
                <w:b/>
                <w:bCs/>
                <w:sz w:val="20"/>
                <w:szCs w:val="20"/>
              </w:rPr>
              <w:lastRenderedPageBreak/>
              <w:t>Outcomes for Disadvantaged pupils</w:t>
            </w:r>
          </w:p>
          <w:p w:rsidR="76754C37" w:rsidP="469A689D" w:rsidRDefault="23DAF6C0" w14:paraId="188B2566" w14:textId="7E395C0D">
            <w:pPr>
              <w:spacing w:after="0" w:line="278" w:lineRule="auto"/>
              <w:jc w:val="both"/>
              <w:rPr>
                <w:rFonts w:cs="Arial"/>
                <w:b/>
                <w:bCs/>
                <w:sz w:val="20"/>
                <w:szCs w:val="20"/>
              </w:rPr>
            </w:pPr>
            <w:r w:rsidRPr="71D4050D">
              <w:rPr>
                <w:rFonts w:cs="Arial"/>
                <w:b/>
                <w:bCs/>
                <w:sz w:val="20"/>
                <w:szCs w:val="20"/>
              </w:rPr>
              <w:t xml:space="preserve">Three year </w:t>
            </w:r>
            <w:r w:rsidRPr="71D4050D" w:rsidR="7F95674F">
              <w:rPr>
                <w:rFonts w:cs="Arial"/>
                <w:b/>
                <w:bCs/>
                <w:sz w:val="20"/>
                <w:szCs w:val="20"/>
              </w:rPr>
              <w:t>average performance</w:t>
            </w:r>
          </w:p>
          <w:tbl>
            <w:tblPr>
              <w:tblW w:w="5852" w:type="dxa"/>
              <w:tblCellMar>
                <w:top w:w="15" w:type="dxa"/>
                <w:left w:w="15" w:type="dxa"/>
                <w:bottom w:w="15" w:type="dxa"/>
                <w:right w:w="15" w:type="dxa"/>
              </w:tblCellMar>
              <w:tblLook w:val="04A0" w:firstRow="1" w:lastRow="0" w:firstColumn="1" w:lastColumn="0" w:noHBand="0" w:noVBand="1"/>
            </w:tblPr>
            <w:tblGrid>
              <w:gridCol w:w="2707"/>
              <w:gridCol w:w="969"/>
              <w:gridCol w:w="992"/>
              <w:gridCol w:w="1134"/>
              <w:gridCol w:w="50"/>
            </w:tblGrid>
            <w:tr w:rsidRPr="00946F75" w:rsidR="00960ACF" w:rsidTr="00F92FBC" w14:paraId="7C426DD0" w14:textId="77777777">
              <w:trPr>
                <w:trHeight w:val="21"/>
              </w:trPr>
              <w:tc>
                <w:tcPr>
                  <w:tcW w:w="27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65B55ED9" w14:textId="77777777">
                  <w:pPr>
                    <w:spacing w:after="0" w:line="240" w:lineRule="auto"/>
                    <w:rPr>
                      <w:rFonts w:ascii="Aptos" w:hAnsi="Aptos"/>
                      <w:color w:val="000000"/>
                      <w:sz w:val="20"/>
                      <w:szCs w:val="20"/>
                    </w:rPr>
                  </w:pPr>
                  <w:r w:rsidRPr="00946F75">
                    <w:rPr>
                      <w:rFonts w:ascii="Aptos" w:hAnsi="Aptos"/>
                      <w:b/>
                      <w:bCs/>
                      <w:color w:val="000000"/>
                      <w:sz w:val="20"/>
                      <w:szCs w:val="20"/>
                    </w:rPr>
                    <w:t>Measure</w:t>
                  </w:r>
                </w:p>
              </w:tc>
              <w:tc>
                <w:tcPr>
                  <w:tcW w:w="969" w:type="dxa"/>
                  <w:tcBorders>
                    <w:top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7A048737" w14:textId="77777777">
                  <w:pPr>
                    <w:spacing w:after="0" w:line="240" w:lineRule="auto"/>
                    <w:jc w:val="right"/>
                    <w:rPr>
                      <w:rFonts w:ascii="Aptos" w:hAnsi="Aptos"/>
                      <w:color w:val="000000"/>
                      <w:sz w:val="20"/>
                      <w:szCs w:val="20"/>
                    </w:rPr>
                  </w:pPr>
                  <w:r w:rsidRPr="00F0010E">
                    <w:rPr>
                      <w:rFonts w:ascii="Aptos" w:hAnsi="Aptos"/>
                      <w:b/>
                      <w:bCs/>
                      <w:color w:val="000000"/>
                      <w:sz w:val="20"/>
                      <w:szCs w:val="20"/>
                    </w:rPr>
                    <w:t>PP</w:t>
                  </w:r>
                </w:p>
              </w:tc>
              <w:tc>
                <w:tcPr>
                  <w:tcW w:w="992" w:type="dxa"/>
                  <w:tcBorders>
                    <w:top w:val="single" w:color="auto" w:sz="8" w:space="0"/>
                    <w:bottom w:val="single" w:color="auto" w:sz="8" w:space="0"/>
                    <w:right w:val="single" w:color="auto" w:sz="8" w:space="0"/>
                  </w:tcBorders>
                  <w:shd w:val="clear" w:color="auto" w:fill="FFFFFF"/>
                </w:tcPr>
                <w:p w:rsidRPr="00F0010E" w:rsidR="00960ACF" w:rsidP="00960ACF" w:rsidRDefault="00960ACF" w14:paraId="1AC447C3" w14:textId="77777777">
                  <w:pPr>
                    <w:tabs>
                      <w:tab w:val="left" w:pos="390"/>
                    </w:tabs>
                    <w:spacing w:after="0" w:line="240" w:lineRule="auto"/>
                    <w:jc w:val="center"/>
                    <w:rPr>
                      <w:rFonts w:ascii="Aptos" w:hAnsi="Aptos"/>
                      <w:b/>
                      <w:bCs/>
                      <w:color w:val="000000"/>
                      <w:sz w:val="20"/>
                      <w:szCs w:val="20"/>
                    </w:rPr>
                  </w:pPr>
                  <w:r w:rsidRPr="00F0010E">
                    <w:rPr>
                      <w:rFonts w:ascii="Aptos" w:hAnsi="Aptos"/>
                      <w:b/>
                      <w:bCs/>
                      <w:color w:val="000000"/>
                      <w:sz w:val="20"/>
                      <w:szCs w:val="20"/>
                    </w:rPr>
                    <w:t>National PP</w:t>
                  </w:r>
                </w:p>
              </w:tc>
              <w:tc>
                <w:tcPr>
                  <w:tcW w:w="1134" w:type="dxa"/>
                  <w:tcBorders>
                    <w:top w:val="single" w:color="auto" w:sz="8" w:space="0"/>
                    <w:bottom w:val="single" w:color="auto" w:sz="8" w:space="0"/>
                  </w:tcBorders>
                  <w:shd w:val="clear" w:color="auto" w:fill="FFFFFF"/>
                  <w:vAlign w:val="center"/>
                </w:tcPr>
                <w:p w:rsidRPr="00F0010E" w:rsidR="00960ACF" w:rsidP="00960ACF" w:rsidRDefault="00960ACF" w14:paraId="7701C433" w14:textId="77777777">
                  <w:pPr>
                    <w:tabs>
                      <w:tab w:val="left" w:pos="390"/>
                    </w:tabs>
                    <w:spacing w:after="0" w:line="240" w:lineRule="auto"/>
                    <w:rPr>
                      <w:rFonts w:ascii="Aptos" w:hAnsi="Aptos"/>
                      <w:b/>
                      <w:bCs/>
                      <w:color w:val="000000"/>
                      <w:sz w:val="20"/>
                      <w:szCs w:val="20"/>
                    </w:rPr>
                  </w:pPr>
                  <w:r w:rsidRPr="00F0010E">
                    <w:rPr>
                      <w:rFonts w:ascii="Aptos" w:hAnsi="Aptos"/>
                      <w:b/>
                      <w:bCs/>
                      <w:color w:val="000000"/>
                      <w:sz w:val="20"/>
                      <w:szCs w:val="20"/>
                    </w:rPr>
                    <w:t xml:space="preserve">      </w:t>
                  </w:r>
                  <w:r w:rsidRPr="00946F75">
                    <w:rPr>
                      <w:rFonts w:ascii="Aptos" w:hAnsi="Aptos"/>
                      <w:b/>
                      <w:bCs/>
                      <w:color w:val="000000"/>
                      <w:sz w:val="20"/>
                      <w:szCs w:val="20"/>
                    </w:rPr>
                    <w:t>Other</w:t>
                  </w:r>
                </w:p>
              </w:tc>
              <w:tc>
                <w:tcPr>
                  <w:tcW w:w="50" w:type="dxa"/>
                  <w:tcBorders>
                    <w:top w:val="single" w:color="auto" w:sz="8" w:space="0"/>
                    <w:bottom w:val="single" w:color="auto" w:sz="8" w:space="0"/>
                    <w:right w:val="single" w:color="auto" w:sz="8" w:space="0"/>
                  </w:tcBorders>
                  <w:shd w:val="clear" w:color="auto" w:fill="FFFFFF"/>
                </w:tcPr>
                <w:p w:rsidR="00960ACF" w:rsidP="00960ACF" w:rsidRDefault="00960ACF" w14:paraId="19D0D9DB" w14:textId="77777777">
                  <w:pPr>
                    <w:tabs>
                      <w:tab w:val="left" w:pos="390"/>
                    </w:tabs>
                    <w:spacing w:after="0" w:line="240" w:lineRule="auto"/>
                    <w:rPr>
                      <w:rFonts w:ascii="Aptos" w:hAnsi="Aptos"/>
                      <w:b/>
                      <w:bCs/>
                      <w:color w:val="000000"/>
                    </w:rPr>
                  </w:pPr>
                </w:p>
              </w:tc>
            </w:tr>
            <w:tr w:rsidRPr="00946F75" w:rsidR="00960ACF" w:rsidTr="00F92FBC" w14:paraId="0156CE6D" w14:textId="77777777">
              <w:trPr>
                <w:trHeight w:val="21"/>
              </w:trPr>
              <w:tc>
                <w:tcPr>
                  <w:tcW w:w="2707" w:type="dxa"/>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1B7BBACD" w14:textId="77777777">
                  <w:pPr>
                    <w:spacing w:after="0" w:line="240" w:lineRule="auto"/>
                    <w:rPr>
                      <w:rFonts w:ascii="Aptos" w:hAnsi="Aptos"/>
                      <w:color w:val="000000"/>
                      <w:sz w:val="20"/>
                      <w:szCs w:val="20"/>
                    </w:rPr>
                  </w:pPr>
                  <w:r w:rsidRPr="00946F75">
                    <w:rPr>
                      <w:rFonts w:ascii="Aptos" w:hAnsi="Aptos"/>
                      <w:color w:val="000000"/>
                      <w:sz w:val="20"/>
                      <w:szCs w:val="20"/>
                    </w:rPr>
                    <w:t>Progress 8 Score</w:t>
                  </w:r>
                </w:p>
              </w:tc>
              <w:tc>
                <w:tcPr>
                  <w:tcW w:w="969" w:type="dxa"/>
                  <w:tcBorders>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74BA1639" w14:textId="77777777">
                  <w:pPr>
                    <w:spacing w:after="0" w:line="240" w:lineRule="auto"/>
                    <w:jc w:val="right"/>
                    <w:rPr>
                      <w:rFonts w:ascii="Aptos" w:hAnsi="Aptos"/>
                      <w:color w:val="000000"/>
                      <w:sz w:val="20"/>
                      <w:szCs w:val="20"/>
                    </w:rPr>
                  </w:pPr>
                  <w:r w:rsidRPr="00946F75">
                    <w:rPr>
                      <w:rFonts w:ascii="Aptos" w:hAnsi="Aptos"/>
                      <w:color w:val="000000"/>
                      <w:sz w:val="20"/>
                      <w:szCs w:val="20"/>
                    </w:rPr>
                    <w:t>-0.03</w:t>
                  </w:r>
                </w:p>
              </w:tc>
              <w:tc>
                <w:tcPr>
                  <w:tcW w:w="992" w:type="dxa"/>
                  <w:tcBorders>
                    <w:bottom w:val="single" w:color="auto" w:sz="8" w:space="0"/>
                    <w:right w:val="single" w:color="auto" w:sz="8" w:space="0"/>
                  </w:tcBorders>
                  <w:shd w:val="clear" w:color="auto" w:fill="FFFFFF"/>
                </w:tcPr>
                <w:p w:rsidRPr="00F0010E" w:rsidR="00960ACF" w:rsidP="00960ACF" w:rsidRDefault="00960ACF" w14:paraId="21F37B0D" w14:textId="77777777">
                  <w:pPr>
                    <w:spacing w:after="0" w:line="240" w:lineRule="auto"/>
                    <w:jc w:val="right"/>
                    <w:rPr>
                      <w:rFonts w:ascii="Aptos" w:hAnsi="Aptos"/>
                      <w:color w:val="000000"/>
                      <w:sz w:val="20"/>
                      <w:szCs w:val="20"/>
                    </w:rPr>
                  </w:pPr>
                </w:p>
              </w:tc>
              <w:tc>
                <w:tcPr>
                  <w:tcW w:w="1134" w:type="dxa"/>
                  <w:tcBorders>
                    <w:bottom w:val="single" w:color="auto" w:sz="8" w:space="0"/>
                  </w:tcBorders>
                  <w:shd w:val="clear" w:color="auto" w:fill="FFFFFF"/>
                  <w:vAlign w:val="center"/>
                </w:tcPr>
                <w:p w:rsidRPr="00F0010E" w:rsidR="00960ACF" w:rsidP="00960ACF" w:rsidRDefault="00960ACF" w14:paraId="14C45C65" w14:textId="77777777">
                  <w:pPr>
                    <w:spacing w:after="0" w:line="240" w:lineRule="auto"/>
                    <w:jc w:val="center"/>
                    <w:rPr>
                      <w:rFonts w:ascii="Aptos" w:hAnsi="Aptos"/>
                      <w:color w:val="000000"/>
                      <w:sz w:val="20"/>
                      <w:szCs w:val="20"/>
                    </w:rPr>
                  </w:pPr>
                  <w:r w:rsidRPr="00946F75">
                    <w:rPr>
                      <w:rFonts w:ascii="Aptos" w:hAnsi="Aptos"/>
                      <w:color w:val="000000"/>
                      <w:sz w:val="20"/>
                      <w:szCs w:val="20"/>
                    </w:rPr>
                    <w:t>0.43</w:t>
                  </w:r>
                </w:p>
              </w:tc>
              <w:tc>
                <w:tcPr>
                  <w:tcW w:w="50" w:type="dxa"/>
                  <w:tcBorders>
                    <w:bottom w:val="single" w:color="auto" w:sz="8" w:space="0"/>
                    <w:right w:val="single" w:color="auto" w:sz="8" w:space="0"/>
                  </w:tcBorders>
                  <w:shd w:val="clear" w:color="auto" w:fill="FFFFFF"/>
                </w:tcPr>
                <w:p w:rsidRPr="00946F75" w:rsidR="00960ACF" w:rsidP="00960ACF" w:rsidRDefault="00960ACF" w14:paraId="4C194AC9" w14:textId="77777777">
                  <w:pPr>
                    <w:spacing w:after="0" w:line="240" w:lineRule="auto"/>
                    <w:jc w:val="right"/>
                    <w:rPr>
                      <w:rFonts w:ascii="Aptos" w:hAnsi="Aptos"/>
                      <w:color w:val="000000"/>
                    </w:rPr>
                  </w:pPr>
                </w:p>
              </w:tc>
            </w:tr>
            <w:tr w:rsidRPr="00946F75" w:rsidR="00960ACF" w:rsidTr="00F92FBC" w14:paraId="132D1D86" w14:textId="77777777">
              <w:trPr>
                <w:trHeight w:val="21"/>
              </w:trPr>
              <w:tc>
                <w:tcPr>
                  <w:tcW w:w="2707" w:type="dxa"/>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7A39D10F" w14:textId="77777777">
                  <w:pPr>
                    <w:spacing w:after="0" w:line="240" w:lineRule="auto"/>
                    <w:rPr>
                      <w:rFonts w:ascii="Aptos" w:hAnsi="Aptos"/>
                      <w:color w:val="000000"/>
                      <w:sz w:val="20"/>
                      <w:szCs w:val="20"/>
                    </w:rPr>
                  </w:pPr>
                  <w:r w:rsidRPr="00946F75">
                    <w:rPr>
                      <w:rFonts w:ascii="Aptos" w:hAnsi="Aptos"/>
                      <w:color w:val="000000"/>
                      <w:sz w:val="20"/>
                      <w:szCs w:val="20"/>
                    </w:rPr>
                    <w:t>Attainment 8 Score</w:t>
                  </w:r>
                </w:p>
              </w:tc>
              <w:tc>
                <w:tcPr>
                  <w:tcW w:w="969" w:type="dxa"/>
                  <w:tcBorders>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171625C3" w14:textId="77777777">
                  <w:pPr>
                    <w:spacing w:after="0" w:line="240" w:lineRule="auto"/>
                    <w:jc w:val="right"/>
                    <w:rPr>
                      <w:rFonts w:ascii="Aptos" w:hAnsi="Aptos"/>
                      <w:color w:val="000000"/>
                      <w:sz w:val="20"/>
                      <w:szCs w:val="20"/>
                    </w:rPr>
                  </w:pPr>
                  <w:r w:rsidRPr="00946F75">
                    <w:rPr>
                      <w:rFonts w:ascii="Aptos" w:hAnsi="Aptos"/>
                      <w:color w:val="000000"/>
                      <w:sz w:val="20"/>
                      <w:szCs w:val="20"/>
                    </w:rPr>
                    <w:t>42.4</w:t>
                  </w:r>
                </w:p>
              </w:tc>
              <w:tc>
                <w:tcPr>
                  <w:tcW w:w="992" w:type="dxa"/>
                  <w:tcBorders>
                    <w:bottom w:val="single" w:color="auto" w:sz="8" w:space="0"/>
                    <w:right w:val="single" w:color="auto" w:sz="8" w:space="0"/>
                  </w:tcBorders>
                  <w:shd w:val="clear" w:color="auto" w:fill="FFFFFF"/>
                </w:tcPr>
                <w:p w:rsidRPr="00F0010E" w:rsidR="00960ACF" w:rsidP="00960ACF" w:rsidRDefault="00960ACF" w14:paraId="47B36BDA" w14:textId="77777777">
                  <w:pPr>
                    <w:spacing w:after="0" w:line="240" w:lineRule="auto"/>
                    <w:jc w:val="center"/>
                    <w:rPr>
                      <w:rFonts w:ascii="Aptos" w:hAnsi="Aptos"/>
                      <w:color w:val="000000"/>
                      <w:sz w:val="20"/>
                      <w:szCs w:val="20"/>
                    </w:rPr>
                  </w:pPr>
                  <w:r w:rsidRPr="00F0010E">
                    <w:rPr>
                      <w:rFonts w:ascii="Aptos" w:hAnsi="Aptos"/>
                      <w:color w:val="000000"/>
                      <w:sz w:val="20"/>
                      <w:szCs w:val="20"/>
                    </w:rPr>
                    <w:t>34.6</w:t>
                  </w:r>
                </w:p>
              </w:tc>
              <w:tc>
                <w:tcPr>
                  <w:tcW w:w="1134" w:type="dxa"/>
                  <w:tcBorders>
                    <w:bottom w:val="single" w:color="auto" w:sz="8" w:space="0"/>
                  </w:tcBorders>
                  <w:shd w:val="clear" w:color="auto" w:fill="FFFFFF"/>
                  <w:vAlign w:val="center"/>
                </w:tcPr>
                <w:p w:rsidRPr="00F0010E" w:rsidR="00960ACF" w:rsidP="00960ACF" w:rsidRDefault="00960ACF" w14:paraId="493D6502" w14:textId="77777777">
                  <w:pPr>
                    <w:spacing w:after="0" w:line="240" w:lineRule="auto"/>
                    <w:jc w:val="center"/>
                    <w:rPr>
                      <w:rFonts w:ascii="Aptos" w:hAnsi="Aptos"/>
                      <w:color w:val="000000"/>
                      <w:sz w:val="20"/>
                      <w:szCs w:val="20"/>
                    </w:rPr>
                  </w:pPr>
                  <w:r w:rsidRPr="00946F75">
                    <w:rPr>
                      <w:rFonts w:ascii="Aptos" w:hAnsi="Aptos"/>
                      <w:color w:val="000000"/>
                      <w:sz w:val="20"/>
                      <w:szCs w:val="20"/>
                    </w:rPr>
                    <w:t>55.6</w:t>
                  </w:r>
                </w:p>
              </w:tc>
              <w:tc>
                <w:tcPr>
                  <w:tcW w:w="50" w:type="dxa"/>
                  <w:tcBorders>
                    <w:bottom w:val="single" w:color="auto" w:sz="8" w:space="0"/>
                    <w:right w:val="single" w:color="auto" w:sz="8" w:space="0"/>
                  </w:tcBorders>
                  <w:shd w:val="clear" w:color="auto" w:fill="FFFFFF"/>
                </w:tcPr>
                <w:p w:rsidR="00960ACF" w:rsidP="00960ACF" w:rsidRDefault="00960ACF" w14:paraId="5358DD42" w14:textId="77777777">
                  <w:pPr>
                    <w:spacing w:after="0" w:line="240" w:lineRule="auto"/>
                    <w:jc w:val="center"/>
                    <w:rPr>
                      <w:rFonts w:ascii="Aptos" w:hAnsi="Aptos"/>
                      <w:color w:val="000000"/>
                    </w:rPr>
                  </w:pPr>
                </w:p>
              </w:tc>
            </w:tr>
            <w:tr w:rsidRPr="00946F75" w:rsidR="00960ACF" w:rsidTr="00F92FBC" w14:paraId="64E6F174" w14:textId="77777777">
              <w:trPr>
                <w:trHeight w:val="21"/>
              </w:trPr>
              <w:tc>
                <w:tcPr>
                  <w:tcW w:w="2707" w:type="dxa"/>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44D24A69" w14:textId="77777777">
                  <w:pPr>
                    <w:spacing w:after="0" w:line="240" w:lineRule="auto"/>
                    <w:rPr>
                      <w:rFonts w:ascii="Aptos" w:hAnsi="Aptos"/>
                      <w:color w:val="000000"/>
                      <w:sz w:val="20"/>
                      <w:szCs w:val="20"/>
                    </w:rPr>
                  </w:pPr>
                  <w:r w:rsidRPr="00946F75">
                    <w:rPr>
                      <w:rFonts w:ascii="Aptos" w:hAnsi="Aptos"/>
                      <w:color w:val="000000"/>
                      <w:sz w:val="20"/>
                      <w:szCs w:val="20"/>
                    </w:rPr>
                    <w:t>% at 9-5 in English &amp; Maths</w:t>
                  </w:r>
                </w:p>
              </w:tc>
              <w:tc>
                <w:tcPr>
                  <w:tcW w:w="969" w:type="dxa"/>
                  <w:tcBorders>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527D88D7" w14:textId="77777777">
                  <w:pPr>
                    <w:spacing w:after="0" w:line="240" w:lineRule="auto"/>
                    <w:jc w:val="right"/>
                    <w:rPr>
                      <w:rFonts w:ascii="Aptos" w:hAnsi="Aptos"/>
                      <w:color w:val="000000"/>
                      <w:sz w:val="20"/>
                      <w:szCs w:val="20"/>
                    </w:rPr>
                  </w:pPr>
                  <w:r w:rsidRPr="00946F75">
                    <w:rPr>
                      <w:rFonts w:ascii="Aptos" w:hAnsi="Aptos"/>
                      <w:color w:val="000000"/>
                      <w:sz w:val="20"/>
                      <w:szCs w:val="20"/>
                    </w:rPr>
                    <w:t>34%</w:t>
                  </w:r>
                </w:p>
              </w:tc>
              <w:tc>
                <w:tcPr>
                  <w:tcW w:w="992" w:type="dxa"/>
                  <w:tcBorders>
                    <w:bottom w:val="single" w:color="auto" w:sz="8" w:space="0"/>
                    <w:right w:val="single" w:color="auto" w:sz="8" w:space="0"/>
                  </w:tcBorders>
                  <w:shd w:val="clear" w:color="auto" w:fill="FFFFFF"/>
                </w:tcPr>
                <w:p w:rsidRPr="00F0010E" w:rsidR="00960ACF" w:rsidP="00960ACF" w:rsidRDefault="00960ACF" w14:paraId="34F7931F" w14:textId="77777777">
                  <w:pPr>
                    <w:spacing w:after="0" w:line="240" w:lineRule="auto"/>
                    <w:jc w:val="center"/>
                    <w:rPr>
                      <w:rFonts w:ascii="Aptos" w:hAnsi="Aptos"/>
                      <w:color w:val="000000"/>
                      <w:sz w:val="20"/>
                      <w:szCs w:val="20"/>
                    </w:rPr>
                  </w:pPr>
                  <w:r w:rsidRPr="00F0010E">
                    <w:rPr>
                      <w:rFonts w:ascii="Aptos" w:hAnsi="Aptos"/>
                      <w:color w:val="000000"/>
                      <w:sz w:val="20"/>
                      <w:szCs w:val="20"/>
                    </w:rPr>
                    <w:t>26%</w:t>
                  </w:r>
                </w:p>
              </w:tc>
              <w:tc>
                <w:tcPr>
                  <w:tcW w:w="1134" w:type="dxa"/>
                  <w:tcBorders>
                    <w:bottom w:val="single" w:color="auto" w:sz="8" w:space="0"/>
                  </w:tcBorders>
                  <w:shd w:val="clear" w:color="auto" w:fill="FFFFFF"/>
                  <w:vAlign w:val="center"/>
                </w:tcPr>
                <w:p w:rsidRPr="00F0010E" w:rsidR="00960ACF" w:rsidP="00960ACF" w:rsidRDefault="00960ACF" w14:paraId="18D3DF23" w14:textId="77777777">
                  <w:pPr>
                    <w:spacing w:after="0" w:line="240" w:lineRule="auto"/>
                    <w:jc w:val="center"/>
                    <w:rPr>
                      <w:rFonts w:ascii="Aptos" w:hAnsi="Aptos"/>
                      <w:color w:val="000000"/>
                      <w:sz w:val="20"/>
                      <w:szCs w:val="20"/>
                    </w:rPr>
                  </w:pPr>
                  <w:r w:rsidRPr="00946F75">
                    <w:rPr>
                      <w:rFonts w:ascii="Aptos" w:hAnsi="Aptos"/>
                      <w:color w:val="000000"/>
                      <w:sz w:val="20"/>
                      <w:szCs w:val="20"/>
                    </w:rPr>
                    <w:t>66%</w:t>
                  </w:r>
                </w:p>
              </w:tc>
              <w:tc>
                <w:tcPr>
                  <w:tcW w:w="50" w:type="dxa"/>
                  <w:tcBorders>
                    <w:bottom w:val="single" w:color="auto" w:sz="8" w:space="0"/>
                    <w:right w:val="single" w:color="auto" w:sz="8" w:space="0"/>
                  </w:tcBorders>
                  <w:shd w:val="clear" w:color="auto" w:fill="FFFFFF"/>
                </w:tcPr>
                <w:p w:rsidR="00960ACF" w:rsidP="00960ACF" w:rsidRDefault="00960ACF" w14:paraId="1323F126" w14:textId="77777777">
                  <w:pPr>
                    <w:spacing w:after="0" w:line="240" w:lineRule="auto"/>
                    <w:jc w:val="center"/>
                    <w:rPr>
                      <w:rFonts w:ascii="Aptos" w:hAnsi="Aptos"/>
                      <w:color w:val="000000"/>
                    </w:rPr>
                  </w:pPr>
                </w:p>
              </w:tc>
            </w:tr>
            <w:tr w:rsidRPr="00946F75" w:rsidR="00960ACF" w:rsidTr="00F92FBC" w14:paraId="0F055979" w14:textId="77777777">
              <w:trPr>
                <w:trHeight w:val="21"/>
              </w:trPr>
              <w:tc>
                <w:tcPr>
                  <w:tcW w:w="2707" w:type="dxa"/>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0AC9E741" w14:textId="77777777">
                  <w:pPr>
                    <w:spacing w:after="0" w:line="240" w:lineRule="auto"/>
                    <w:rPr>
                      <w:rFonts w:ascii="Aptos" w:hAnsi="Aptos"/>
                      <w:color w:val="000000"/>
                      <w:sz w:val="20"/>
                      <w:szCs w:val="20"/>
                    </w:rPr>
                  </w:pPr>
                  <w:r w:rsidRPr="00946F75">
                    <w:rPr>
                      <w:rFonts w:ascii="Aptos" w:hAnsi="Aptos"/>
                      <w:color w:val="000000"/>
                      <w:sz w:val="20"/>
                      <w:szCs w:val="20"/>
                    </w:rPr>
                    <w:t>% at 9-4 in English &amp; Maths</w:t>
                  </w:r>
                </w:p>
              </w:tc>
              <w:tc>
                <w:tcPr>
                  <w:tcW w:w="969" w:type="dxa"/>
                  <w:tcBorders>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7EB9629B" w14:textId="77777777">
                  <w:pPr>
                    <w:spacing w:after="0" w:line="240" w:lineRule="auto"/>
                    <w:jc w:val="right"/>
                    <w:rPr>
                      <w:rFonts w:ascii="Aptos" w:hAnsi="Aptos"/>
                      <w:color w:val="000000"/>
                      <w:sz w:val="20"/>
                      <w:szCs w:val="20"/>
                    </w:rPr>
                  </w:pPr>
                  <w:r w:rsidRPr="00946F75">
                    <w:rPr>
                      <w:rFonts w:ascii="Aptos" w:hAnsi="Aptos"/>
                      <w:color w:val="000000"/>
                      <w:sz w:val="20"/>
                      <w:szCs w:val="20"/>
                    </w:rPr>
                    <w:t>63%</w:t>
                  </w:r>
                </w:p>
              </w:tc>
              <w:tc>
                <w:tcPr>
                  <w:tcW w:w="992" w:type="dxa"/>
                  <w:tcBorders>
                    <w:bottom w:val="single" w:color="auto" w:sz="8" w:space="0"/>
                    <w:right w:val="single" w:color="auto" w:sz="8" w:space="0"/>
                  </w:tcBorders>
                  <w:shd w:val="clear" w:color="auto" w:fill="FFFFFF"/>
                </w:tcPr>
                <w:p w:rsidRPr="00F0010E" w:rsidR="00960ACF" w:rsidP="00960ACF" w:rsidRDefault="00960ACF" w14:paraId="2908C4C7" w14:textId="77777777">
                  <w:pPr>
                    <w:spacing w:after="0" w:line="240" w:lineRule="auto"/>
                    <w:jc w:val="center"/>
                    <w:rPr>
                      <w:rFonts w:ascii="Aptos" w:hAnsi="Aptos"/>
                      <w:color w:val="000000"/>
                      <w:sz w:val="20"/>
                      <w:szCs w:val="20"/>
                    </w:rPr>
                  </w:pPr>
                  <w:r w:rsidRPr="00F0010E">
                    <w:rPr>
                      <w:rFonts w:ascii="Aptos" w:hAnsi="Aptos"/>
                      <w:color w:val="000000"/>
                      <w:sz w:val="20"/>
                      <w:szCs w:val="20"/>
                    </w:rPr>
                    <w:t>43%</w:t>
                  </w:r>
                </w:p>
              </w:tc>
              <w:tc>
                <w:tcPr>
                  <w:tcW w:w="1134" w:type="dxa"/>
                  <w:tcBorders>
                    <w:bottom w:val="single" w:color="auto" w:sz="8" w:space="0"/>
                  </w:tcBorders>
                  <w:shd w:val="clear" w:color="auto" w:fill="FFFFFF"/>
                  <w:vAlign w:val="center"/>
                </w:tcPr>
                <w:p w:rsidRPr="00F0010E" w:rsidR="00960ACF" w:rsidP="00960ACF" w:rsidRDefault="00960ACF" w14:paraId="5071D27F" w14:textId="77777777">
                  <w:pPr>
                    <w:spacing w:after="0" w:line="240" w:lineRule="auto"/>
                    <w:jc w:val="center"/>
                    <w:rPr>
                      <w:rFonts w:ascii="Aptos" w:hAnsi="Aptos"/>
                      <w:color w:val="000000"/>
                      <w:sz w:val="20"/>
                      <w:szCs w:val="20"/>
                    </w:rPr>
                  </w:pPr>
                  <w:r w:rsidRPr="00946F75">
                    <w:rPr>
                      <w:rFonts w:ascii="Aptos" w:hAnsi="Aptos"/>
                      <w:color w:val="000000"/>
                      <w:sz w:val="20"/>
                      <w:szCs w:val="20"/>
                    </w:rPr>
                    <w:t>86%</w:t>
                  </w:r>
                </w:p>
              </w:tc>
              <w:tc>
                <w:tcPr>
                  <w:tcW w:w="50" w:type="dxa"/>
                  <w:tcBorders>
                    <w:bottom w:val="single" w:color="auto" w:sz="8" w:space="0"/>
                    <w:right w:val="single" w:color="auto" w:sz="8" w:space="0"/>
                  </w:tcBorders>
                  <w:shd w:val="clear" w:color="auto" w:fill="FFFFFF"/>
                </w:tcPr>
                <w:p w:rsidR="00960ACF" w:rsidP="00960ACF" w:rsidRDefault="00960ACF" w14:paraId="39A52190" w14:textId="77777777">
                  <w:pPr>
                    <w:spacing w:after="0" w:line="240" w:lineRule="auto"/>
                    <w:jc w:val="center"/>
                    <w:rPr>
                      <w:rFonts w:ascii="Aptos" w:hAnsi="Aptos"/>
                      <w:color w:val="000000"/>
                    </w:rPr>
                  </w:pPr>
                </w:p>
              </w:tc>
            </w:tr>
            <w:tr w:rsidRPr="00946F75" w:rsidR="00960ACF" w:rsidTr="00F92FBC" w14:paraId="528EEA79" w14:textId="77777777">
              <w:trPr>
                <w:trHeight w:val="295"/>
              </w:trPr>
              <w:tc>
                <w:tcPr>
                  <w:tcW w:w="2707" w:type="dxa"/>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5B46275C" w14:textId="77777777">
                  <w:pPr>
                    <w:spacing w:after="0" w:line="240" w:lineRule="auto"/>
                    <w:rPr>
                      <w:rFonts w:ascii="Aptos" w:hAnsi="Aptos"/>
                      <w:color w:val="000000"/>
                      <w:sz w:val="20"/>
                      <w:szCs w:val="20"/>
                    </w:rPr>
                  </w:pPr>
                  <w:r w:rsidRPr="00946F75">
                    <w:rPr>
                      <w:rFonts w:ascii="Aptos" w:hAnsi="Aptos"/>
                      <w:color w:val="000000"/>
                      <w:sz w:val="20"/>
                      <w:szCs w:val="20"/>
                    </w:rPr>
                    <w:t>EBacc Average Point Score</w:t>
                  </w:r>
                </w:p>
              </w:tc>
              <w:tc>
                <w:tcPr>
                  <w:tcW w:w="969" w:type="dxa"/>
                  <w:tcBorders>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2D60DB4D" w14:textId="77777777">
                  <w:pPr>
                    <w:spacing w:after="0" w:line="240" w:lineRule="auto"/>
                    <w:jc w:val="right"/>
                    <w:rPr>
                      <w:rFonts w:ascii="Aptos" w:hAnsi="Aptos"/>
                      <w:color w:val="000000"/>
                      <w:sz w:val="20"/>
                      <w:szCs w:val="20"/>
                    </w:rPr>
                  </w:pPr>
                  <w:r w:rsidRPr="00946F75">
                    <w:rPr>
                      <w:rFonts w:ascii="Aptos" w:hAnsi="Aptos"/>
                      <w:color w:val="000000"/>
                      <w:sz w:val="20"/>
                      <w:szCs w:val="20"/>
                    </w:rPr>
                    <w:t>3.63</w:t>
                  </w:r>
                </w:p>
              </w:tc>
              <w:tc>
                <w:tcPr>
                  <w:tcW w:w="992" w:type="dxa"/>
                  <w:tcBorders>
                    <w:bottom w:val="single" w:color="auto" w:sz="8" w:space="0"/>
                    <w:right w:val="single" w:color="auto" w:sz="8" w:space="0"/>
                  </w:tcBorders>
                  <w:shd w:val="clear" w:color="auto" w:fill="FFFFFF"/>
                </w:tcPr>
                <w:p w:rsidRPr="00F0010E" w:rsidR="00960ACF" w:rsidP="00960ACF" w:rsidRDefault="00960ACF" w14:paraId="77C9DB82" w14:textId="77777777">
                  <w:pPr>
                    <w:spacing w:after="0" w:line="240" w:lineRule="auto"/>
                    <w:jc w:val="center"/>
                    <w:rPr>
                      <w:rFonts w:ascii="Aptos" w:hAnsi="Aptos"/>
                      <w:color w:val="000000"/>
                      <w:sz w:val="20"/>
                      <w:szCs w:val="20"/>
                    </w:rPr>
                  </w:pPr>
                  <w:r w:rsidRPr="00F0010E">
                    <w:rPr>
                      <w:rFonts w:ascii="Aptos" w:hAnsi="Aptos"/>
                      <w:color w:val="000000"/>
                      <w:sz w:val="20"/>
                      <w:szCs w:val="20"/>
                    </w:rPr>
                    <w:t>2.99</w:t>
                  </w:r>
                </w:p>
              </w:tc>
              <w:tc>
                <w:tcPr>
                  <w:tcW w:w="1134" w:type="dxa"/>
                  <w:tcBorders>
                    <w:bottom w:val="single" w:color="auto" w:sz="8" w:space="0"/>
                  </w:tcBorders>
                  <w:shd w:val="clear" w:color="auto" w:fill="FFFFFF"/>
                  <w:vAlign w:val="center"/>
                </w:tcPr>
                <w:p w:rsidRPr="00F0010E" w:rsidR="00960ACF" w:rsidP="00960ACF" w:rsidRDefault="00960ACF" w14:paraId="15F6EF75" w14:textId="77777777">
                  <w:pPr>
                    <w:spacing w:after="0" w:line="240" w:lineRule="auto"/>
                    <w:jc w:val="center"/>
                    <w:rPr>
                      <w:rFonts w:ascii="Aptos" w:hAnsi="Aptos"/>
                      <w:color w:val="000000"/>
                      <w:sz w:val="20"/>
                      <w:szCs w:val="20"/>
                    </w:rPr>
                  </w:pPr>
                  <w:r w:rsidRPr="00946F75">
                    <w:rPr>
                      <w:rFonts w:ascii="Aptos" w:hAnsi="Aptos"/>
                      <w:color w:val="000000"/>
                      <w:sz w:val="20"/>
                      <w:szCs w:val="20"/>
                    </w:rPr>
                    <w:t>5.04</w:t>
                  </w:r>
                </w:p>
              </w:tc>
              <w:tc>
                <w:tcPr>
                  <w:tcW w:w="50" w:type="dxa"/>
                  <w:tcBorders>
                    <w:bottom w:val="single" w:color="auto" w:sz="8" w:space="0"/>
                    <w:right w:val="single" w:color="auto" w:sz="8" w:space="0"/>
                  </w:tcBorders>
                  <w:shd w:val="clear" w:color="auto" w:fill="FFFFFF"/>
                </w:tcPr>
                <w:p w:rsidR="00960ACF" w:rsidP="00960ACF" w:rsidRDefault="00960ACF" w14:paraId="3D4D1E44" w14:textId="77777777">
                  <w:pPr>
                    <w:spacing w:after="0" w:line="240" w:lineRule="auto"/>
                    <w:jc w:val="center"/>
                    <w:rPr>
                      <w:rFonts w:ascii="Aptos" w:hAnsi="Aptos"/>
                      <w:color w:val="000000"/>
                    </w:rPr>
                  </w:pPr>
                </w:p>
              </w:tc>
            </w:tr>
            <w:tr w:rsidRPr="00946F75" w:rsidR="00960ACF" w:rsidTr="00F92FBC" w14:paraId="18261334" w14:textId="77777777">
              <w:trPr>
                <w:trHeight w:val="21"/>
              </w:trPr>
              <w:tc>
                <w:tcPr>
                  <w:tcW w:w="2707" w:type="dxa"/>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4FC600A5" w14:textId="77777777">
                  <w:pPr>
                    <w:spacing w:after="0" w:line="240" w:lineRule="auto"/>
                    <w:rPr>
                      <w:rFonts w:ascii="Aptos" w:hAnsi="Aptos"/>
                      <w:color w:val="000000"/>
                      <w:sz w:val="20"/>
                      <w:szCs w:val="20"/>
                    </w:rPr>
                  </w:pPr>
                  <w:r w:rsidRPr="00946F75">
                    <w:rPr>
                      <w:rFonts w:ascii="Aptos" w:hAnsi="Aptos"/>
                      <w:color w:val="000000"/>
                      <w:sz w:val="20"/>
                      <w:szCs w:val="20"/>
                    </w:rPr>
                    <w:t>% entering the EBacc</w:t>
                  </w:r>
                </w:p>
              </w:tc>
              <w:tc>
                <w:tcPr>
                  <w:tcW w:w="969" w:type="dxa"/>
                  <w:tcBorders>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7A1387DD" w14:textId="77777777">
                  <w:pPr>
                    <w:spacing w:after="0" w:line="240" w:lineRule="auto"/>
                    <w:jc w:val="right"/>
                    <w:rPr>
                      <w:rFonts w:ascii="Aptos" w:hAnsi="Aptos"/>
                      <w:color w:val="000000"/>
                      <w:sz w:val="20"/>
                      <w:szCs w:val="20"/>
                    </w:rPr>
                  </w:pPr>
                  <w:r w:rsidRPr="00946F75">
                    <w:rPr>
                      <w:rFonts w:ascii="Aptos" w:hAnsi="Aptos"/>
                      <w:color w:val="000000"/>
                      <w:sz w:val="20"/>
                      <w:szCs w:val="20"/>
                    </w:rPr>
                    <w:t>50%</w:t>
                  </w:r>
                </w:p>
              </w:tc>
              <w:tc>
                <w:tcPr>
                  <w:tcW w:w="992" w:type="dxa"/>
                  <w:tcBorders>
                    <w:bottom w:val="single" w:color="auto" w:sz="8" w:space="0"/>
                    <w:right w:val="single" w:color="auto" w:sz="8" w:space="0"/>
                  </w:tcBorders>
                  <w:shd w:val="clear" w:color="auto" w:fill="FFFFFF"/>
                </w:tcPr>
                <w:p w:rsidRPr="00F0010E" w:rsidR="00960ACF" w:rsidP="00960ACF" w:rsidRDefault="00960ACF" w14:paraId="5A5025E4" w14:textId="77777777">
                  <w:pPr>
                    <w:spacing w:after="0" w:line="240" w:lineRule="auto"/>
                    <w:jc w:val="center"/>
                    <w:rPr>
                      <w:rFonts w:ascii="Aptos" w:hAnsi="Aptos"/>
                      <w:color w:val="000000"/>
                      <w:sz w:val="20"/>
                      <w:szCs w:val="20"/>
                    </w:rPr>
                  </w:pPr>
                  <w:r w:rsidRPr="00F0010E">
                    <w:rPr>
                      <w:rFonts w:ascii="Aptos" w:hAnsi="Aptos"/>
                      <w:color w:val="000000"/>
                      <w:sz w:val="20"/>
                      <w:szCs w:val="20"/>
                    </w:rPr>
                    <w:t>29%</w:t>
                  </w:r>
                </w:p>
              </w:tc>
              <w:tc>
                <w:tcPr>
                  <w:tcW w:w="1134" w:type="dxa"/>
                  <w:tcBorders>
                    <w:bottom w:val="single" w:color="auto" w:sz="8" w:space="0"/>
                  </w:tcBorders>
                  <w:shd w:val="clear" w:color="auto" w:fill="FFFFFF"/>
                  <w:vAlign w:val="center"/>
                </w:tcPr>
                <w:p w:rsidRPr="00F0010E" w:rsidR="00960ACF" w:rsidP="00960ACF" w:rsidRDefault="00960ACF" w14:paraId="4FCA785D" w14:textId="77777777">
                  <w:pPr>
                    <w:spacing w:after="0" w:line="240" w:lineRule="auto"/>
                    <w:jc w:val="center"/>
                    <w:rPr>
                      <w:rFonts w:ascii="Aptos" w:hAnsi="Aptos"/>
                      <w:color w:val="000000"/>
                      <w:sz w:val="20"/>
                      <w:szCs w:val="20"/>
                    </w:rPr>
                  </w:pPr>
                  <w:r w:rsidRPr="00946F75">
                    <w:rPr>
                      <w:rFonts w:ascii="Aptos" w:hAnsi="Aptos"/>
                      <w:color w:val="000000"/>
                      <w:sz w:val="20"/>
                      <w:szCs w:val="20"/>
                    </w:rPr>
                    <w:t>74%</w:t>
                  </w:r>
                </w:p>
              </w:tc>
              <w:tc>
                <w:tcPr>
                  <w:tcW w:w="50" w:type="dxa"/>
                  <w:tcBorders>
                    <w:bottom w:val="single" w:color="auto" w:sz="8" w:space="0"/>
                    <w:right w:val="single" w:color="auto" w:sz="8" w:space="0"/>
                  </w:tcBorders>
                  <w:shd w:val="clear" w:color="auto" w:fill="FFFFFF"/>
                </w:tcPr>
                <w:p w:rsidR="00960ACF" w:rsidP="00960ACF" w:rsidRDefault="00960ACF" w14:paraId="25786E24" w14:textId="77777777">
                  <w:pPr>
                    <w:spacing w:after="0" w:line="240" w:lineRule="auto"/>
                    <w:jc w:val="center"/>
                    <w:rPr>
                      <w:rFonts w:ascii="Aptos" w:hAnsi="Aptos"/>
                      <w:color w:val="000000"/>
                    </w:rPr>
                  </w:pPr>
                </w:p>
              </w:tc>
            </w:tr>
            <w:tr w:rsidRPr="00946F75" w:rsidR="00960ACF" w:rsidTr="00F92FBC" w14:paraId="7A2D3D8E" w14:textId="77777777">
              <w:trPr>
                <w:trHeight w:val="21"/>
              </w:trPr>
              <w:tc>
                <w:tcPr>
                  <w:tcW w:w="2707" w:type="dxa"/>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07BB673E" w14:textId="77777777">
                  <w:pPr>
                    <w:spacing w:after="0" w:line="240" w:lineRule="auto"/>
                    <w:rPr>
                      <w:rFonts w:ascii="Aptos" w:hAnsi="Aptos"/>
                      <w:color w:val="000000"/>
                      <w:sz w:val="20"/>
                      <w:szCs w:val="20"/>
                    </w:rPr>
                  </w:pPr>
                  <w:r w:rsidRPr="00946F75">
                    <w:rPr>
                      <w:rFonts w:ascii="Aptos" w:hAnsi="Aptos"/>
                      <w:color w:val="000000"/>
                      <w:sz w:val="20"/>
                      <w:szCs w:val="20"/>
                    </w:rPr>
                    <w:t>% achieving the EBacc at 9-5</w:t>
                  </w:r>
                </w:p>
              </w:tc>
              <w:tc>
                <w:tcPr>
                  <w:tcW w:w="969" w:type="dxa"/>
                  <w:tcBorders>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3B747596" w14:textId="77777777">
                  <w:pPr>
                    <w:spacing w:after="0" w:line="240" w:lineRule="auto"/>
                    <w:jc w:val="right"/>
                    <w:rPr>
                      <w:rFonts w:ascii="Aptos" w:hAnsi="Aptos"/>
                      <w:color w:val="000000"/>
                      <w:sz w:val="20"/>
                      <w:szCs w:val="20"/>
                    </w:rPr>
                  </w:pPr>
                  <w:r w:rsidRPr="00946F75">
                    <w:rPr>
                      <w:rFonts w:ascii="Aptos" w:hAnsi="Aptos"/>
                      <w:color w:val="000000"/>
                      <w:sz w:val="20"/>
                      <w:szCs w:val="20"/>
                    </w:rPr>
                    <w:t>14%</w:t>
                  </w:r>
                </w:p>
              </w:tc>
              <w:tc>
                <w:tcPr>
                  <w:tcW w:w="992" w:type="dxa"/>
                  <w:tcBorders>
                    <w:bottom w:val="single" w:color="auto" w:sz="8" w:space="0"/>
                    <w:right w:val="single" w:color="auto" w:sz="8" w:space="0"/>
                  </w:tcBorders>
                  <w:shd w:val="clear" w:color="auto" w:fill="FFFFFF"/>
                </w:tcPr>
                <w:p w:rsidRPr="00F0010E" w:rsidR="00960ACF" w:rsidP="00960ACF" w:rsidRDefault="00960ACF" w14:paraId="7DCFE0F1" w14:textId="77777777">
                  <w:pPr>
                    <w:spacing w:after="0" w:line="240" w:lineRule="auto"/>
                    <w:jc w:val="center"/>
                    <w:rPr>
                      <w:rFonts w:ascii="Aptos" w:hAnsi="Aptos"/>
                      <w:color w:val="000000"/>
                      <w:sz w:val="20"/>
                      <w:szCs w:val="20"/>
                    </w:rPr>
                  </w:pPr>
                  <w:r w:rsidRPr="00F0010E">
                    <w:rPr>
                      <w:rFonts w:ascii="Aptos" w:hAnsi="Aptos"/>
                      <w:color w:val="000000"/>
                      <w:sz w:val="20"/>
                      <w:szCs w:val="20"/>
                    </w:rPr>
                    <w:t>8%</w:t>
                  </w:r>
                </w:p>
              </w:tc>
              <w:tc>
                <w:tcPr>
                  <w:tcW w:w="1134" w:type="dxa"/>
                  <w:tcBorders>
                    <w:bottom w:val="single" w:color="auto" w:sz="8" w:space="0"/>
                  </w:tcBorders>
                  <w:shd w:val="clear" w:color="auto" w:fill="FFFFFF"/>
                  <w:vAlign w:val="center"/>
                </w:tcPr>
                <w:p w:rsidRPr="00F0010E" w:rsidR="00960ACF" w:rsidP="00960ACF" w:rsidRDefault="00960ACF" w14:paraId="2AF57B82" w14:textId="77777777">
                  <w:pPr>
                    <w:spacing w:after="0" w:line="240" w:lineRule="auto"/>
                    <w:jc w:val="center"/>
                    <w:rPr>
                      <w:rFonts w:ascii="Aptos" w:hAnsi="Aptos"/>
                      <w:color w:val="000000"/>
                      <w:sz w:val="20"/>
                      <w:szCs w:val="20"/>
                    </w:rPr>
                  </w:pPr>
                  <w:r w:rsidRPr="00946F75">
                    <w:rPr>
                      <w:rFonts w:ascii="Aptos" w:hAnsi="Aptos"/>
                      <w:color w:val="000000"/>
                      <w:sz w:val="20"/>
                      <w:szCs w:val="20"/>
                    </w:rPr>
                    <w:t>29%</w:t>
                  </w:r>
                </w:p>
              </w:tc>
              <w:tc>
                <w:tcPr>
                  <w:tcW w:w="50" w:type="dxa"/>
                  <w:tcBorders>
                    <w:bottom w:val="single" w:color="auto" w:sz="8" w:space="0"/>
                    <w:right w:val="single" w:color="auto" w:sz="8" w:space="0"/>
                  </w:tcBorders>
                  <w:shd w:val="clear" w:color="auto" w:fill="FFFFFF"/>
                </w:tcPr>
                <w:p w:rsidR="00960ACF" w:rsidP="00960ACF" w:rsidRDefault="00960ACF" w14:paraId="268FEABE" w14:textId="77777777">
                  <w:pPr>
                    <w:spacing w:after="0" w:line="240" w:lineRule="auto"/>
                    <w:jc w:val="center"/>
                    <w:rPr>
                      <w:rFonts w:ascii="Aptos" w:hAnsi="Aptos"/>
                      <w:color w:val="000000"/>
                    </w:rPr>
                  </w:pPr>
                </w:p>
              </w:tc>
            </w:tr>
            <w:tr w:rsidRPr="00946F75" w:rsidR="00960ACF" w:rsidTr="00F92FBC" w14:paraId="22732909" w14:textId="77777777">
              <w:trPr>
                <w:trHeight w:val="21"/>
              </w:trPr>
              <w:tc>
                <w:tcPr>
                  <w:tcW w:w="2707" w:type="dxa"/>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349F7C2E" w14:textId="77777777">
                  <w:pPr>
                    <w:spacing w:after="0" w:line="240" w:lineRule="auto"/>
                    <w:rPr>
                      <w:rFonts w:ascii="Aptos" w:hAnsi="Aptos"/>
                      <w:color w:val="000000"/>
                      <w:sz w:val="20"/>
                      <w:szCs w:val="20"/>
                    </w:rPr>
                  </w:pPr>
                  <w:r w:rsidRPr="00946F75">
                    <w:rPr>
                      <w:rFonts w:ascii="Aptos" w:hAnsi="Aptos"/>
                      <w:color w:val="000000"/>
                      <w:sz w:val="20"/>
                      <w:szCs w:val="20"/>
                    </w:rPr>
                    <w:t>% achieving the EBacc at 9-4</w:t>
                  </w:r>
                </w:p>
              </w:tc>
              <w:tc>
                <w:tcPr>
                  <w:tcW w:w="969" w:type="dxa"/>
                  <w:tcBorders>
                    <w:bottom w:val="single" w:color="auto" w:sz="8" w:space="0"/>
                    <w:right w:val="single" w:color="auto" w:sz="8" w:space="0"/>
                  </w:tcBorders>
                  <w:shd w:val="clear" w:color="auto" w:fill="FFFFFF"/>
                  <w:tcMar>
                    <w:top w:w="0" w:type="dxa"/>
                    <w:left w:w="108" w:type="dxa"/>
                    <w:bottom w:w="0" w:type="dxa"/>
                    <w:right w:w="108" w:type="dxa"/>
                  </w:tcMar>
                  <w:vAlign w:val="center"/>
                  <w:hideMark/>
                </w:tcPr>
                <w:p w:rsidRPr="00946F75" w:rsidR="00960ACF" w:rsidP="00960ACF" w:rsidRDefault="00960ACF" w14:paraId="656BB378" w14:textId="77777777">
                  <w:pPr>
                    <w:spacing w:after="0" w:line="240" w:lineRule="auto"/>
                    <w:jc w:val="right"/>
                    <w:rPr>
                      <w:rFonts w:ascii="Aptos" w:hAnsi="Aptos"/>
                      <w:color w:val="000000"/>
                      <w:sz w:val="20"/>
                      <w:szCs w:val="20"/>
                    </w:rPr>
                  </w:pPr>
                  <w:r w:rsidRPr="00946F75">
                    <w:rPr>
                      <w:rFonts w:ascii="Aptos" w:hAnsi="Aptos"/>
                      <w:color w:val="000000"/>
                      <w:sz w:val="20"/>
                      <w:szCs w:val="20"/>
                    </w:rPr>
                    <w:t>24%</w:t>
                  </w:r>
                </w:p>
              </w:tc>
              <w:tc>
                <w:tcPr>
                  <w:tcW w:w="992" w:type="dxa"/>
                  <w:tcBorders>
                    <w:bottom w:val="single" w:color="auto" w:sz="8" w:space="0"/>
                    <w:right w:val="single" w:color="auto" w:sz="8" w:space="0"/>
                  </w:tcBorders>
                  <w:shd w:val="clear" w:color="auto" w:fill="FFFFFF"/>
                </w:tcPr>
                <w:p w:rsidRPr="00F0010E" w:rsidR="00960ACF" w:rsidP="00960ACF" w:rsidRDefault="00960ACF" w14:paraId="6FD0FCB9" w14:textId="77777777">
                  <w:pPr>
                    <w:spacing w:after="0" w:line="240" w:lineRule="auto"/>
                    <w:jc w:val="center"/>
                    <w:rPr>
                      <w:rFonts w:ascii="Aptos" w:hAnsi="Aptos"/>
                      <w:color w:val="000000"/>
                      <w:sz w:val="20"/>
                      <w:szCs w:val="20"/>
                    </w:rPr>
                  </w:pPr>
                  <w:r w:rsidRPr="00F0010E">
                    <w:rPr>
                      <w:rFonts w:ascii="Aptos" w:hAnsi="Aptos"/>
                      <w:color w:val="000000"/>
                      <w:sz w:val="20"/>
                      <w:szCs w:val="20"/>
                    </w:rPr>
                    <w:t>13%</w:t>
                  </w:r>
                </w:p>
              </w:tc>
              <w:tc>
                <w:tcPr>
                  <w:tcW w:w="1134" w:type="dxa"/>
                  <w:tcBorders>
                    <w:bottom w:val="single" w:color="auto" w:sz="8" w:space="0"/>
                  </w:tcBorders>
                  <w:shd w:val="clear" w:color="auto" w:fill="FFFFFF"/>
                  <w:vAlign w:val="center"/>
                </w:tcPr>
                <w:p w:rsidRPr="00F0010E" w:rsidR="00960ACF" w:rsidP="00960ACF" w:rsidRDefault="00960ACF" w14:paraId="3F7C4842" w14:textId="77777777">
                  <w:pPr>
                    <w:spacing w:after="0" w:line="240" w:lineRule="auto"/>
                    <w:jc w:val="center"/>
                    <w:rPr>
                      <w:rFonts w:ascii="Aptos" w:hAnsi="Aptos"/>
                      <w:color w:val="000000"/>
                      <w:sz w:val="20"/>
                      <w:szCs w:val="20"/>
                    </w:rPr>
                  </w:pPr>
                  <w:r w:rsidRPr="00946F75">
                    <w:rPr>
                      <w:rFonts w:ascii="Aptos" w:hAnsi="Aptos"/>
                      <w:color w:val="000000"/>
                      <w:sz w:val="20"/>
                      <w:szCs w:val="20"/>
                    </w:rPr>
                    <w:t>47%</w:t>
                  </w:r>
                </w:p>
              </w:tc>
              <w:tc>
                <w:tcPr>
                  <w:tcW w:w="50" w:type="dxa"/>
                  <w:tcBorders>
                    <w:bottom w:val="single" w:color="auto" w:sz="8" w:space="0"/>
                    <w:right w:val="single" w:color="auto" w:sz="8" w:space="0"/>
                  </w:tcBorders>
                  <w:shd w:val="clear" w:color="auto" w:fill="FFFFFF"/>
                </w:tcPr>
                <w:p w:rsidR="00960ACF" w:rsidP="00960ACF" w:rsidRDefault="00960ACF" w14:paraId="1DECD9FB" w14:textId="77777777">
                  <w:pPr>
                    <w:spacing w:after="0" w:line="240" w:lineRule="auto"/>
                    <w:jc w:val="center"/>
                    <w:rPr>
                      <w:rFonts w:ascii="Aptos" w:hAnsi="Aptos"/>
                      <w:color w:val="000000"/>
                    </w:rPr>
                  </w:pPr>
                </w:p>
              </w:tc>
            </w:tr>
          </w:tbl>
          <w:p w:rsidRPr="009F3EF1" w:rsidR="469A689D" w:rsidP="469A689D" w:rsidRDefault="00545F57" w14:paraId="4CCE7684" w14:textId="5E9AB0E0">
            <w:pPr>
              <w:spacing w:after="0" w:line="278" w:lineRule="auto"/>
              <w:jc w:val="both"/>
              <w:rPr>
                <w:rFonts w:cs="Arial"/>
                <w:sz w:val="20"/>
                <w:szCs w:val="20"/>
              </w:rPr>
            </w:pPr>
            <w:r w:rsidRPr="009F3EF1">
              <w:rPr>
                <w:rFonts w:cs="Arial"/>
                <w:sz w:val="20"/>
                <w:szCs w:val="20"/>
              </w:rPr>
              <w:t xml:space="preserve">We </w:t>
            </w:r>
            <w:r w:rsidR="009F3EF1">
              <w:rPr>
                <w:rFonts w:cs="Arial"/>
                <w:sz w:val="20"/>
                <w:szCs w:val="20"/>
              </w:rPr>
              <w:t xml:space="preserve">have consistently </w:t>
            </w:r>
            <w:r w:rsidRPr="009F3EF1">
              <w:rPr>
                <w:rFonts w:cs="Arial"/>
                <w:sz w:val="20"/>
                <w:szCs w:val="20"/>
              </w:rPr>
              <w:t xml:space="preserve">performed higher than national PP in all </w:t>
            </w:r>
            <w:r w:rsidRPr="009F3EF1" w:rsidR="0061478B">
              <w:rPr>
                <w:rFonts w:cs="Arial"/>
                <w:sz w:val="20"/>
                <w:szCs w:val="20"/>
              </w:rPr>
              <w:t>measures</w:t>
            </w:r>
            <w:r w:rsidR="009F3EF1">
              <w:rPr>
                <w:rFonts w:cs="Arial"/>
                <w:sz w:val="20"/>
                <w:szCs w:val="20"/>
              </w:rPr>
              <w:t xml:space="preserve"> over the last three years</w:t>
            </w:r>
            <w:r w:rsidRPr="009F3EF1" w:rsidR="0061478B">
              <w:rPr>
                <w:rFonts w:cs="Arial"/>
                <w:sz w:val="20"/>
                <w:szCs w:val="20"/>
              </w:rPr>
              <w:t>. In 2024 our PP cohort achieved higher than national in every attainment measure</w:t>
            </w:r>
            <w:r w:rsidRPr="009F3EF1" w:rsidR="009F3EF1">
              <w:rPr>
                <w:rFonts w:cs="Arial"/>
                <w:sz w:val="20"/>
                <w:szCs w:val="20"/>
              </w:rPr>
              <w:t>.</w:t>
            </w:r>
          </w:p>
          <w:p w:rsidRPr="00B11D62" w:rsidR="4ADA3E5B" w:rsidP="469A689D" w:rsidRDefault="004F31DA" w14:paraId="47CEFCA9" w14:textId="03B266A8">
            <w:pPr>
              <w:pStyle w:val="ListParagraph"/>
              <w:numPr>
                <w:ilvl w:val="0"/>
                <w:numId w:val="0"/>
              </w:numPr>
              <w:spacing w:after="0"/>
              <w:jc w:val="both"/>
              <w:rPr>
                <w:rFonts w:eastAsia="Arial" w:cs="Arial"/>
                <w:iCs/>
                <w:color w:val="auto"/>
                <w:sz w:val="20"/>
                <w:szCs w:val="20"/>
              </w:rPr>
            </w:pPr>
            <w:r>
              <w:rPr>
                <w:rFonts w:eastAsia="Arial" w:cs="Arial"/>
                <w:color w:val="auto"/>
                <w:sz w:val="20"/>
                <w:szCs w:val="20"/>
              </w:rPr>
              <w:t>This year, d</w:t>
            </w:r>
            <w:r w:rsidRPr="469A689D" w:rsidR="757F30FB">
              <w:rPr>
                <w:rFonts w:eastAsia="Arial" w:cs="Arial"/>
                <w:color w:val="auto"/>
                <w:sz w:val="20"/>
                <w:szCs w:val="20"/>
              </w:rPr>
              <w:t>isadvantaged</w:t>
            </w:r>
            <w:r w:rsidRPr="00B11D62" w:rsidR="4ADA3E5B">
              <w:rPr>
                <w:rFonts w:eastAsia="Arial" w:cs="Arial"/>
                <w:iCs/>
                <w:color w:val="auto"/>
                <w:sz w:val="20"/>
                <w:szCs w:val="20"/>
              </w:rPr>
              <w:t xml:space="preserve"> students have performed higher than their local counterparts in several key measures. </w:t>
            </w:r>
            <w:r w:rsidRPr="00B11D62" w:rsidR="3DEBB221">
              <w:rPr>
                <w:rFonts w:eastAsia="Arial" w:cs="Arial"/>
                <w:iCs/>
                <w:color w:val="auto"/>
                <w:sz w:val="20"/>
                <w:szCs w:val="20"/>
              </w:rPr>
              <w:t xml:space="preserve">The average point score for disadvantaged students was higher than the average Local Authority figures by 7.34.  </w:t>
            </w:r>
            <w:r w:rsidRPr="00B11D62" w:rsidR="295AD183">
              <w:rPr>
                <w:rFonts w:eastAsia="Arial" w:cs="Arial"/>
                <w:iCs/>
                <w:color w:val="auto"/>
                <w:sz w:val="20"/>
                <w:szCs w:val="20"/>
              </w:rPr>
              <w:t xml:space="preserve">The number of students </w:t>
            </w:r>
            <w:r w:rsidRPr="00B11D62" w:rsidR="6C1FF499">
              <w:rPr>
                <w:rFonts w:eastAsia="Arial" w:cs="Arial"/>
                <w:iCs/>
                <w:color w:val="auto"/>
                <w:sz w:val="20"/>
                <w:szCs w:val="20"/>
              </w:rPr>
              <w:t xml:space="preserve">achieving </w:t>
            </w:r>
            <w:r w:rsidRPr="00B11D62" w:rsidR="13C81C52">
              <w:rPr>
                <w:rFonts w:eastAsia="Arial" w:cs="Arial"/>
                <w:iCs/>
                <w:color w:val="auto"/>
                <w:sz w:val="20"/>
                <w:szCs w:val="20"/>
              </w:rPr>
              <w:t xml:space="preserve">Level 5 and above in the Ebacc subjects was almost three times higher for students at Carmel when compared to the Local Authority and more than two times higher for level </w:t>
            </w:r>
            <w:r w:rsidRPr="00B11D62" w:rsidR="63D4FDFE">
              <w:rPr>
                <w:rFonts w:eastAsia="Arial" w:cs="Arial"/>
                <w:iCs/>
                <w:color w:val="auto"/>
                <w:sz w:val="20"/>
                <w:szCs w:val="20"/>
              </w:rPr>
              <w:t xml:space="preserve">4 </w:t>
            </w:r>
            <w:r w:rsidRPr="00B11D62" w:rsidR="13C81C52">
              <w:rPr>
                <w:rFonts w:eastAsia="Arial" w:cs="Arial"/>
                <w:iCs/>
                <w:color w:val="auto"/>
                <w:sz w:val="20"/>
                <w:szCs w:val="20"/>
              </w:rPr>
              <w:t xml:space="preserve">EBacc.  </w:t>
            </w:r>
            <w:r w:rsidRPr="00B11D62" w:rsidR="233A1BCF">
              <w:rPr>
                <w:rFonts w:eastAsia="Arial" w:cs="Arial"/>
                <w:iCs/>
                <w:color w:val="auto"/>
                <w:sz w:val="20"/>
                <w:szCs w:val="20"/>
              </w:rPr>
              <w:t xml:space="preserve">The number of students achieving a grade 4 in both maths and English </w:t>
            </w:r>
            <w:r w:rsidRPr="00B11D62" w:rsidR="2741853A">
              <w:rPr>
                <w:rFonts w:eastAsia="Arial" w:cs="Arial"/>
                <w:iCs/>
                <w:color w:val="auto"/>
                <w:sz w:val="20"/>
                <w:szCs w:val="20"/>
              </w:rPr>
              <w:t xml:space="preserve">at Carmel was 14.9% higher than the </w:t>
            </w:r>
            <w:r w:rsidR="00B066F7">
              <w:rPr>
                <w:rFonts w:eastAsia="Arial" w:cs="Arial"/>
                <w:iCs/>
                <w:color w:val="auto"/>
                <w:sz w:val="20"/>
                <w:szCs w:val="20"/>
              </w:rPr>
              <w:t>a</w:t>
            </w:r>
            <w:r w:rsidRPr="00B11D62" w:rsidR="2741853A">
              <w:rPr>
                <w:rFonts w:eastAsia="Arial" w:cs="Arial"/>
                <w:iCs/>
                <w:color w:val="auto"/>
                <w:sz w:val="20"/>
                <w:szCs w:val="20"/>
              </w:rPr>
              <w:t>verage for the Local Authority.</w:t>
            </w:r>
            <w:r w:rsidRPr="00B11D62" w:rsidR="39D6ECDA">
              <w:rPr>
                <w:rFonts w:eastAsia="Arial" w:cs="Arial"/>
                <w:iCs/>
                <w:color w:val="auto"/>
                <w:sz w:val="20"/>
                <w:szCs w:val="20"/>
              </w:rPr>
              <w:t xml:space="preserve"> Carmel students outperformed their peers in the Local Authority in achieving a grade 4 </w:t>
            </w:r>
            <w:r w:rsidRPr="00B11D62" w:rsidR="12FB5ED2">
              <w:rPr>
                <w:rFonts w:eastAsia="Arial" w:cs="Arial"/>
                <w:iCs/>
                <w:color w:val="auto"/>
                <w:sz w:val="20"/>
                <w:szCs w:val="20"/>
              </w:rPr>
              <w:t xml:space="preserve">and above </w:t>
            </w:r>
            <w:r w:rsidRPr="00B11D62" w:rsidR="39D6ECDA">
              <w:rPr>
                <w:rFonts w:eastAsia="Arial" w:cs="Arial"/>
                <w:iCs/>
                <w:color w:val="auto"/>
                <w:sz w:val="20"/>
                <w:szCs w:val="20"/>
              </w:rPr>
              <w:t xml:space="preserve">in English 11.3% higher and maths </w:t>
            </w:r>
            <w:r w:rsidRPr="00B11D62" w:rsidR="7EA19F8C">
              <w:rPr>
                <w:rFonts w:eastAsia="Arial" w:cs="Arial"/>
                <w:iCs/>
                <w:color w:val="auto"/>
                <w:sz w:val="20"/>
                <w:szCs w:val="20"/>
              </w:rPr>
              <w:t>16.1%.</w:t>
            </w:r>
          </w:p>
          <w:p w:rsidR="6B17D402" w:rsidP="469A689D" w:rsidRDefault="6B17D402" w14:paraId="196D00B3" w14:textId="07D86321">
            <w:pPr>
              <w:pStyle w:val="ListParagraph"/>
              <w:numPr>
                <w:ilvl w:val="0"/>
                <w:numId w:val="0"/>
              </w:numPr>
              <w:spacing w:after="0"/>
              <w:jc w:val="both"/>
              <w:rPr>
                <w:rFonts w:eastAsia="Arial" w:cs="Arial"/>
                <w:color w:val="auto"/>
                <w:sz w:val="20"/>
                <w:szCs w:val="20"/>
              </w:rPr>
            </w:pPr>
            <w:r w:rsidRPr="469A689D">
              <w:rPr>
                <w:rFonts w:eastAsia="Arial" w:cs="Arial"/>
                <w:color w:val="auto"/>
                <w:sz w:val="20"/>
                <w:szCs w:val="20"/>
              </w:rPr>
              <w:t>Disadvantaged progress was positive in 18 subjects, and of those, 11 subjects were significantly above national ranging from 0.56 (Health &amp; Social Care) to 2.11 (Art).</w:t>
            </w:r>
          </w:p>
          <w:p w:rsidR="469A689D" w:rsidP="469A689D" w:rsidRDefault="469A689D" w14:paraId="2BACA61A" w14:textId="35DB66CE">
            <w:pPr>
              <w:pStyle w:val="ListParagraph"/>
              <w:numPr>
                <w:ilvl w:val="0"/>
                <w:numId w:val="0"/>
              </w:numPr>
              <w:spacing w:after="0"/>
              <w:jc w:val="both"/>
              <w:rPr>
                <w:rFonts w:eastAsia="Arial" w:cs="Arial"/>
                <w:color w:val="auto"/>
                <w:sz w:val="20"/>
                <w:szCs w:val="20"/>
              </w:rPr>
            </w:pPr>
          </w:p>
          <w:p w:rsidR="6CD51F38" w:rsidP="469A689D" w:rsidRDefault="6CD51F38" w14:paraId="2EE4A06A" w14:textId="4EDCB4FA">
            <w:pPr>
              <w:spacing w:after="0"/>
              <w:jc w:val="both"/>
              <w:rPr>
                <w:sz w:val="20"/>
                <w:szCs w:val="20"/>
              </w:rPr>
            </w:pPr>
            <w:r w:rsidRPr="469A689D">
              <w:rPr>
                <w:sz w:val="20"/>
                <w:szCs w:val="20"/>
              </w:rPr>
              <w:t>At Key Stage 3, our Year 7 data provides strong evidence of the positive impact of our Pupil Premium strategy. The average grade achieved by disadvantaged students in the summer examinations was Developing, which matches the overall year group average, indicating that Pupil Premium students are performing in line with their peers. Furthermore, across the curriculum, Year 7 Pupil Premium students achieved a positive residual in 10 subjects, exceeding the performance of non-PP students. This demonstrates that disadvantaged learners are not only keeping pace but, in many areas, outperforming their peers. These outcomes reflect the effectiveness of our inclusive teaching practices and commitment to raising aspirations for all students.</w:t>
            </w:r>
          </w:p>
          <w:p w:rsidR="1CC2A271" w:rsidP="3B47BAD9" w:rsidRDefault="1CC2A271" w14:paraId="6426E4A2" w14:textId="06246511">
            <w:pPr>
              <w:spacing w:after="0"/>
              <w:jc w:val="both"/>
              <w:rPr>
                <w:sz w:val="20"/>
                <w:szCs w:val="20"/>
              </w:rPr>
            </w:pPr>
            <w:r w:rsidRPr="3B47BAD9">
              <w:rPr>
                <w:sz w:val="20"/>
                <w:szCs w:val="20"/>
              </w:rPr>
              <w:t>Year 8 Pupil Premium students at Carmel College continue to perform well across the curriculum, with the average grade in summer assessments recorded as Developing, which is in line with the overall year group average. Notably, disadvantaged students achieved a positive residual in 7 subjects, outperforming their non-PP peers. In particular, Pupil Premium students are exceeding expectations in French, Religious Education, and English, demonstrating strong progress and attainment in both core and foundation subjects. These outcomes reflect the impact of our targeted support strategies, inclusive teaching practices, and commitment to ensuring that all students, regardless of background, have the opportunity to succeed.</w:t>
            </w:r>
          </w:p>
          <w:p w:rsidR="00B2081D" w:rsidP="3B47BAD9" w:rsidRDefault="00B2081D" w14:paraId="153BCDF8" w14:textId="77777777">
            <w:pPr>
              <w:spacing w:after="0"/>
              <w:jc w:val="both"/>
              <w:rPr>
                <w:rFonts w:eastAsia="Arial" w:cs="Arial"/>
                <w:sz w:val="20"/>
                <w:szCs w:val="20"/>
                <w:highlight w:val="yellow"/>
              </w:rPr>
            </w:pPr>
          </w:p>
          <w:p w:rsidRPr="00B2081D" w:rsidR="3593C047" w:rsidP="3B47BAD9" w:rsidRDefault="3593C047" w14:paraId="04FF8FD0" w14:textId="4E3EECEC">
            <w:pPr>
              <w:spacing w:after="0"/>
              <w:jc w:val="both"/>
              <w:rPr>
                <w:rFonts w:eastAsia="Arial" w:cs="Arial"/>
                <w:sz w:val="20"/>
                <w:szCs w:val="20"/>
              </w:rPr>
            </w:pPr>
            <w:r w:rsidRPr="00B2081D">
              <w:rPr>
                <w:rFonts w:eastAsia="Arial" w:cs="Arial"/>
                <w:sz w:val="20"/>
                <w:szCs w:val="20"/>
              </w:rPr>
              <w:t xml:space="preserve">In Year 9, the average grade across all students is a Grade D, reflecting a baseline from which targeted interventions can drive progress. Notably, seven subjects across the cohort show positive residuals, indicating that students are performing above expectations in these </w:t>
            </w:r>
            <w:r w:rsidRPr="00B2081D" w:rsidR="1A0824C6">
              <w:rPr>
                <w:rFonts w:eastAsia="Arial" w:cs="Arial"/>
                <w:sz w:val="20"/>
                <w:szCs w:val="20"/>
              </w:rPr>
              <w:t>areas. Importantly</w:t>
            </w:r>
            <w:r w:rsidRPr="00B2081D">
              <w:rPr>
                <w:rFonts w:eastAsia="Arial" w:cs="Arial"/>
                <w:sz w:val="20"/>
                <w:szCs w:val="20"/>
              </w:rPr>
              <w:t>, Pupil Premium students demonstrate a particularly strong performance, with positive residuals in seven subjects, compared to six subjects for non-PP students. This highlights the positive impact of our support strategies and suggests that PP students are benefiting significantly from the learning environment and interventions in place. This outcome is a clear indicator that our approach is fostering academic growth and engagement among PP students, and it reinforces our commitment to closing the attainment gap through meaningful, student-centered support.</w:t>
            </w:r>
          </w:p>
          <w:p w:rsidR="3B47BAD9" w:rsidP="3B47BAD9" w:rsidRDefault="3B47BAD9" w14:paraId="30F68D36" w14:textId="33D37847">
            <w:pPr>
              <w:spacing w:after="0"/>
              <w:jc w:val="both"/>
              <w:rPr>
                <w:sz w:val="20"/>
                <w:szCs w:val="20"/>
              </w:rPr>
            </w:pPr>
          </w:p>
          <w:p w:rsidRPr="00B2081D" w:rsidR="453F6FE7" w:rsidP="469A689D" w:rsidRDefault="00B2081D" w14:paraId="1E6DFDEB" w14:textId="7782966A">
            <w:pPr>
              <w:spacing w:after="0"/>
              <w:jc w:val="both"/>
              <w:rPr>
                <w:rFonts w:asciiTheme="minorHAnsi" w:hAnsiTheme="minorHAnsi" w:eastAsiaTheme="minorEastAsia" w:cstheme="minorBidi"/>
                <w:b/>
                <w:bCs/>
                <w:sz w:val="22"/>
                <w:szCs w:val="22"/>
              </w:rPr>
            </w:pPr>
            <w:r w:rsidRPr="00B2081D">
              <w:rPr>
                <w:rFonts w:asciiTheme="minorHAnsi" w:hAnsiTheme="minorHAnsi" w:eastAsiaTheme="minorEastAsia" w:cstheme="minorBidi"/>
                <w:b/>
                <w:bCs/>
                <w:sz w:val="22"/>
                <w:szCs w:val="22"/>
              </w:rPr>
              <w:t>Literacy</w:t>
            </w:r>
          </w:p>
          <w:p w:rsidRPr="00F270C3" w:rsidR="3B95705C" w:rsidP="469A689D" w:rsidRDefault="3B95705C" w14:paraId="16356465" w14:textId="14FE5F57">
            <w:pPr>
              <w:pStyle w:val="ListParagraph"/>
              <w:numPr>
                <w:ilvl w:val="0"/>
                <w:numId w:val="0"/>
              </w:numPr>
              <w:rPr>
                <w:rFonts w:eastAsia="Arial" w:cs="Arial"/>
                <w:color w:val="000000" w:themeColor="text1"/>
                <w:sz w:val="20"/>
                <w:szCs w:val="20"/>
              </w:rPr>
            </w:pPr>
            <w:r w:rsidRPr="00F270C3">
              <w:rPr>
                <w:rFonts w:cs="Arial" w:eastAsiaTheme="minorEastAsia"/>
                <w:color w:val="000000" w:themeColor="text1"/>
                <w:sz w:val="20"/>
                <w:szCs w:val="20"/>
              </w:rPr>
              <w:t>O</w:t>
            </w:r>
            <w:r w:rsidRPr="00F270C3">
              <w:rPr>
                <w:rFonts w:eastAsia="Arial" w:cs="Arial"/>
                <w:color w:val="000000" w:themeColor="text1"/>
                <w:sz w:val="20"/>
                <w:szCs w:val="20"/>
              </w:rPr>
              <w:t xml:space="preserve">ur students on literacy pathways made significant progress. We had 7 students on the Fresh Start phonics programme which included 2 </w:t>
            </w:r>
            <w:r w:rsidRPr="00F270C3" w:rsidR="4068DE8E">
              <w:rPr>
                <w:rFonts w:eastAsia="Arial" w:cs="Arial"/>
                <w:color w:val="000000" w:themeColor="text1"/>
                <w:sz w:val="20"/>
                <w:szCs w:val="20"/>
              </w:rPr>
              <w:t>PP and SEND, 1 PP and EAL</w:t>
            </w:r>
            <w:r w:rsidRPr="00F270C3" w:rsidR="4D45E9CE">
              <w:rPr>
                <w:rFonts w:eastAsia="Arial" w:cs="Arial"/>
                <w:color w:val="000000" w:themeColor="text1"/>
                <w:sz w:val="20"/>
                <w:szCs w:val="20"/>
              </w:rPr>
              <w:t xml:space="preserve">, </w:t>
            </w:r>
            <w:r w:rsidRPr="00F270C3" w:rsidR="6E8458B0">
              <w:rPr>
                <w:rFonts w:eastAsia="Arial" w:cs="Arial"/>
                <w:color w:val="000000" w:themeColor="text1"/>
                <w:sz w:val="20"/>
                <w:szCs w:val="20"/>
              </w:rPr>
              <w:t xml:space="preserve">1 </w:t>
            </w:r>
            <w:r w:rsidRPr="00F270C3" w:rsidR="19FA41A7">
              <w:rPr>
                <w:rFonts w:eastAsia="Arial" w:cs="Arial"/>
                <w:color w:val="000000" w:themeColor="text1"/>
                <w:sz w:val="20"/>
                <w:szCs w:val="20"/>
              </w:rPr>
              <w:t xml:space="preserve">SEND </w:t>
            </w:r>
            <w:r w:rsidRPr="00F270C3" w:rsidR="6E8458B0">
              <w:rPr>
                <w:rFonts w:eastAsia="Arial" w:cs="Arial"/>
                <w:color w:val="000000" w:themeColor="text1"/>
                <w:sz w:val="20"/>
                <w:szCs w:val="20"/>
              </w:rPr>
              <w:t>and EAL</w:t>
            </w:r>
            <w:r w:rsidRPr="00F270C3" w:rsidR="6DE6D19F">
              <w:rPr>
                <w:rFonts w:eastAsia="Arial" w:cs="Arial"/>
                <w:color w:val="000000" w:themeColor="text1"/>
                <w:sz w:val="20"/>
                <w:szCs w:val="20"/>
              </w:rPr>
              <w:t>, 2 SEND</w:t>
            </w:r>
            <w:r w:rsidRPr="00F270C3" w:rsidR="6E8458B0">
              <w:rPr>
                <w:rFonts w:eastAsia="Arial" w:cs="Arial"/>
                <w:color w:val="000000" w:themeColor="text1"/>
                <w:sz w:val="20"/>
                <w:szCs w:val="20"/>
              </w:rPr>
              <w:t xml:space="preserve"> plus </w:t>
            </w:r>
            <w:r w:rsidRPr="00F270C3" w:rsidR="7565B019">
              <w:rPr>
                <w:rFonts w:eastAsia="Arial" w:cs="Arial"/>
                <w:color w:val="000000" w:themeColor="text1"/>
                <w:sz w:val="20"/>
                <w:szCs w:val="20"/>
              </w:rPr>
              <w:t>1</w:t>
            </w:r>
            <w:r w:rsidRPr="00F270C3" w:rsidR="6E8458B0">
              <w:rPr>
                <w:rFonts w:eastAsia="Arial" w:cs="Arial"/>
                <w:color w:val="000000" w:themeColor="text1"/>
                <w:sz w:val="20"/>
                <w:szCs w:val="20"/>
              </w:rPr>
              <w:t xml:space="preserve"> other. PP students made an average of 10 months</w:t>
            </w:r>
            <w:r w:rsidRPr="00F270C3" w:rsidR="5B21FB11">
              <w:rPr>
                <w:rFonts w:eastAsia="Arial" w:cs="Arial"/>
                <w:color w:val="000000" w:themeColor="text1"/>
                <w:sz w:val="20"/>
                <w:szCs w:val="20"/>
              </w:rPr>
              <w:t xml:space="preserve"> reading</w:t>
            </w:r>
            <w:r w:rsidRPr="00F270C3" w:rsidR="6E8458B0">
              <w:rPr>
                <w:rFonts w:eastAsia="Arial" w:cs="Arial"/>
                <w:color w:val="000000" w:themeColor="text1"/>
                <w:sz w:val="20"/>
                <w:szCs w:val="20"/>
              </w:rPr>
              <w:t xml:space="preserve"> progress moving from the lowes</w:t>
            </w:r>
            <w:r w:rsidRPr="00F270C3" w:rsidR="0FC0347F">
              <w:rPr>
                <w:rFonts w:eastAsia="Arial" w:cs="Arial"/>
                <w:color w:val="000000" w:themeColor="text1"/>
                <w:sz w:val="20"/>
                <w:szCs w:val="20"/>
              </w:rPr>
              <w:t xml:space="preserve">t reading age of </w:t>
            </w:r>
            <w:r w:rsidRPr="00F270C3" w:rsidR="0869D73F">
              <w:rPr>
                <w:rFonts w:eastAsia="Arial" w:cs="Arial"/>
                <w:color w:val="000000" w:themeColor="text1"/>
                <w:sz w:val="20"/>
                <w:szCs w:val="20"/>
              </w:rPr>
              <w:t>7 years and 6 months</w:t>
            </w:r>
            <w:r w:rsidRPr="00F270C3" w:rsidR="0FC0347F">
              <w:rPr>
                <w:rFonts w:eastAsia="Arial" w:cs="Arial"/>
                <w:color w:val="000000" w:themeColor="text1"/>
                <w:sz w:val="20"/>
                <w:szCs w:val="20"/>
              </w:rPr>
              <w:t xml:space="preserve"> to the highest reading age of</w:t>
            </w:r>
            <w:r w:rsidRPr="00F270C3" w:rsidR="27D30B38">
              <w:rPr>
                <w:rFonts w:eastAsia="Arial" w:cs="Arial"/>
                <w:color w:val="000000" w:themeColor="text1"/>
                <w:sz w:val="20"/>
                <w:szCs w:val="20"/>
              </w:rPr>
              <w:t xml:space="preserve"> 10 years and 8 months. </w:t>
            </w:r>
            <w:r w:rsidRPr="00F270C3" w:rsidR="67ADB356">
              <w:rPr>
                <w:rFonts w:eastAsia="Arial" w:cs="Arial"/>
                <w:color w:val="000000" w:themeColor="text1"/>
                <w:sz w:val="20"/>
                <w:szCs w:val="20"/>
              </w:rPr>
              <w:t>The PP students made on average 4 months more progress than others.</w:t>
            </w:r>
          </w:p>
          <w:p w:rsidRPr="00F270C3" w:rsidR="469A689D" w:rsidP="469A689D" w:rsidRDefault="469A689D" w14:paraId="57118FED" w14:textId="394B4B8C">
            <w:pPr>
              <w:pStyle w:val="ListParagraph"/>
              <w:numPr>
                <w:ilvl w:val="0"/>
                <w:numId w:val="0"/>
              </w:numPr>
              <w:rPr>
                <w:rFonts w:eastAsia="Arial" w:cs="Arial"/>
                <w:color w:val="000000" w:themeColor="text1"/>
                <w:sz w:val="20"/>
                <w:szCs w:val="20"/>
              </w:rPr>
            </w:pPr>
          </w:p>
          <w:p w:rsidRPr="00F270C3" w:rsidR="7DDC2FB3" w:rsidP="0049355B" w:rsidRDefault="7DDC2FB3" w14:paraId="2D03CB8C" w14:textId="2052D81C">
            <w:pPr>
              <w:pStyle w:val="ListParagraph"/>
              <w:numPr>
                <w:ilvl w:val="0"/>
                <w:numId w:val="0"/>
              </w:numPr>
              <w:spacing w:after="0"/>
              <w:rPr>
                <w:rFonts w:eastAsia="Arial" w:cs="Arial"/>
                <w:color w:val="000000" w:themeColor="text1"/>
                <w:sz w:val="20"/>
                <w:szCs w:val="20"/>
              </w:rPr>
            </w:pPr>
            <w:r w:rsidRPr="00F270C3">
              <w:rPr>
                <w:rFonts w:eastAsia="Arial" w:cs="Arial"/>
                <w:color w:val="000000" w:themeColor="text1"/>
                <w:sz w:val="20"/>
                <w:szCs w:val="20"/>
              </w:rPr>
              <w:t xml:space="preserve">In KS3 our PP students improved their scaled score which indicates their ability to decode questions and </w:t>
            </w:r>
            <w:r w:rsidRPr="00F270C3" w:rsidR="58A264EC">
              <w:rPr>
                <w:rFonts w:eastAsia="Arial" w:cs="Arial"/>
                <w:color w:val="000000" w:themeColor="text1"/>
                <w:sz w:val="20"/>
                <w:szCs w:val="20"/>
              </w:rPr>
              <w:t xml:space="preserve">build </w:t>
            </w:r>
            <w:r w:rsidRPr="00F270C3">
              <w:rPr>
                <w:rFonts w:eastAsia="Arial" w:cs="Arial"/>
                <w:color w:val="000000" w:themeColor="text1"/>
                <w:sz w:val="20"/>
                <w:szCs w:val="20"/>
              </w:rPr>
              <w:t>skills of comprehension throughout the year.</w:t>
            </w:r>
            <w:r w:rsidRPr="00F270C3" w:rsidR="77DDACF2">
              <w:rPr>
                <w:rFonts w:eastAsia="Arial" w:cs="Arial"/>
                <w:color w:val="000000" w:themeColor="text1"/>
                <w:sz w:val="20"/>
                <w:szCs w:val="20"/>
              </w:rPr>
              <w:t xml:space="preserve"> STAR testing showed that PP students made more progress than othe</w:t>
            </w:r>
            <w:r w:rsidRPr="00F270C3" w:rsidR="3D695E56">
              <w:rPr>
                <w:rFonts w:eastAsia="Arial" w:cs="Arial"/>
                <w:color w:val="000000" w:themeColor="text1"/>
                <w:sz w:val="20"/>
                <w:szCs w:val="20"/>
              </w:rPr>
              <w:t>r students on the</w:t>
            </w:r>
            <w:r w:rsidRPr="00F270C3" w:rsidR="261320C3">
              <w:rPr>
                <w:rFonts w:eastAsia="Arial" w:cs="Arial"/>
                <w:color w:val="000000" w:themeColor="text1"/>
                <w:sz w:val="20"/>
                <w:szCs w:val="20"/>
              </w:rPr>
              <w:t>ir</w:t>
            </w:r>
            <w:r w:rsidRPr="00F270C3" w:rsidR="3D695E56">
              <w:rPr>
                <w:rFonts w:eastAsia="Arial" w:cs="Arial"/>
                <w:color w:val="000000" w:themeColor="text1"/>
                <w:sz w:val="20"/>
                <w:szCs w:val="20"/>
              </w:rPr>
              <w:t xml:space="preserve"> scaled scores which then impacted upon their vocabulary acquisition and access to curricular learning.</w:t>
            </w:r>
          </w:p>
          <w:p w:rsidRPr="00F270C3" w:rsidR="469A689D" w:rsidP="0049355B" w:rsidRDefault="469A689D" w14:paraId="797C473C" w14:textId="6DCAD8E9">
            <w:pPr>
              <w:pStyle w:val="ListParagraph"/>
              <w:numPr>
                <w:ilvl w:val="0"/>
                <w:numId w:val="0"/>
              </w:numPr>
              <w:spacing w:after="0"/>
              <w:rPr>
                <w:rFonts w:eastAsia="Arial" w:cs="Arial"/>
                <w:color w:val="000000" w:themeColor="text1"/>
                <w:sz w:val="20"/>
                <w:szCs w:val="20"/>
              </w:rPr>
            </w:pPr>
          </w:p>
          <w:p w:rsidR="002621D0" w:rsidP="0049355B" w:rsidRDefault="2E599566" w14:paraId="6B6C8532" w14:textId="07040996">
            <w:pPr>
              <w:pStyle w:val="ListParagraph"/>
              <w:numPr>
                <w:ilvl w:val="0"/>
                <w:numId w:val="0"/>
              </w:numPr>
              <w:spacing w:after="0"/>
              <w:jc w:val="both"/>
              <w:rPr>
                <w:rFonts w:eastAsia="Arial" w:cs="Arial"/>
                <w:color w:val="000000" w:themeColor="text1"/>
                <w:sz w:val="20"/>
                <w:szCs w:val="20"/>
              </w:rPr>
            </w:pPr>
            <w:r w:rsidRPr="00F270C3">
              <w:rPr>
                <w:rFonts w:eastAsia="Arial" w:cs="Arial"/>
                <w:color w:val="000000" w:themeColor="text1"/>
                <w:sz w:val="20"/>
                <w:szCs w:val="20"/>
              </w:rPr>
              <w:t xml:space="preserve">Year 7 PP students made 7 months of progress in their reading age which was higher than the progress made by other students. Our reading mentors read with </w:t>
            </w:r>
            <w:r w:rsidRPr="00F270C3" w:rsidR="19B9B99F">
              <w:rPr>
                <w:rFonts w:eastAsia="Arial" w:cs="Arial"/>
                <w:color w:val="000000" w:themeColor="text1"/>
                <w:sz w:val="20"/>
                <w:szCs w:val="20"/>
              </w:rPr>
              <w:t>them once a week supporting with oracy, pronunciation, meaning and fluency</w:t>
            </w:r>
            <w:r w:rsidRPr="469A689D" w:rsidR="19B9B99F">
              <w:rPr>
                <w:rFonts w:eastAsia="Arial" w:cs="Arial"/>
                <w:color w:val="000000" w:themeColor="text1"/>
                <w:sz w:val="20"/>
                <w:szCs w:val="20"/>
              </w:rPr>
              <w:t>.</w:t>
            </w:r>
          </w:p>
          <w:p w:rsidRPr="00B11D62" w:rsidR="002621D0" w:rsidP="469A689D" w:rsidRDefault="002621D0" w14:paraId="1A1D9DC9" w14:textId="1DB72BEF">
            <w:pPr>
              <w:pStyle w:val="ListParagraph"/>
              <w:numPr>
                <w:ilvl w:val="0"/>
                <w:numId w:val="0"/>
              </w:numPr>
              <w:spacing w:after="0" w:line="240" w:lineRule="auto"/>
              <w:jc w:val="both"/>
              <w:rPr>
                <w:rFonts w:eastAsia="Arial" w:cs="Arial"/>
                <w:iCs/>
                <w:color w:val="auto"/>
                <w:sz w:val="20"/>
                <w:szCs w:val="20"/>
              </w:rPr>
            </w:pPr>
          </w:p>
          <w:p w:rsidR="00407517" w:rsidP="469A689D" w:rsidRDefault="5F067BCF" w14:paraId="114B14EF" w14:textId="3EBBE621">
            <w:pPr>
              <w:pStyle w:val="ListParagraph"/>
              <w:numPr>
                <w:ilvl w:val="0"/>
                <w:numId w:val="0"/>
              </w:numPr>
              <w:spacing w:after="0" w:line="240" w:lineRule="auto"/>
              <w:jc w:val="both"/>
              <w:rPr>
                <w:rFonts w:eastAsia="Arial" w:cs="Arial"/>
                <w:color w:val="auto"/>
                <w:sz w:val="20"/>
                <w:szCs w:val="20"/>
              </w:rPr>
            </w:pPr>
            <w:r w:rsidRPr="00B11D62">
              <w:rPr>
                <w:rFonts w:eastAsia="Arial" w:cs="Arial"/>
                <w:iCs/>
                <w:color w:val="auto"/>
                <w:sz w:val="20"/>
                <w:szCs w:val="20"/>
              </w:rPr>
              <w:t xml:space="preserve">Following the </w:t>
            </w:r>
            <w:r w:rsidRPr="00B11D62" w:rsidR="009B5514">
              <w:rPr>
                <w:rFonts w:eastAsia="Arial" w:cs="Arial"/>
                <w:iCs/>
                <w:color w:val="auto"/>
                <w:sz w:val="20"/>
                <w:szCs w:val="20"/>
              </w:rPr>
              <w:t>Disadvantaged</w:t>
            </w:r>
            <w:r w:rsidRPr="00B11D62">
              <w:rPr>
                <w:rFonts w:eastAsia="Arial" w:cs="Arial"/>
                <w:iCs/>
                <w:color w:val="auto"/>
                <w:sz w:val="20"/>
                <w:szCs w:val="20"/>
              </w:rPr>
              <w:t xml:space="preserve"> Trust Review</w:t>
            </w:r>
            <w:r w:rsidR="00777B51">
              <w:rPr>
                <w:rFonts w:eastAsia="Arial" w:cs="Arial"/>
                <w:iCs/>
                <w:color w:val="auto"/>
                <w:sz w:val="20"/>
                <w:szCs w:val="20"/>
              </w:rPr>
              <w:t xml:space="preserve"> they found</w:t>
            </w:r>
            <w:r w:rsidRPr="00B11D62">
              <w:rPr>
                <w:rFonts w:eastAsia="Arial" w:cs="Arial"/>
                <w:iCs/>
                <w:color w:val="auto"/>
                <w:sz w:val="20"/>
                <w:szCs w:val="20"/>
              </w:rPr>
              <w:t xml:space="preserve"> no discernible difference between PP and non</w:t>
            </w:r>
            <w:r w:rsidRPr="469A689D" w:rsidR="4EA7B0E4">
              <w:rPr>
                <w:rFonts w:eastAsia="Arial" w:cs="Arial"/>
                <w:color w:val="auto"/>
                <w:sz w:val="20"/>
                <w:szCs w:val="20"/>
              </w:rPr>
              <w:t>-</w:t>
            </w:r>
            <w:r w:rsidRPr="00B11D62">
              <w:rPr>
                <w:rFonts w:eastAsia="Arial" w:cs="Arial"/>
                <w:iCs/>
                <w:color w:val="auto"/>
                <w:sz w:val="20"/>
                <w:szCs w:val="20"/>
              </w:rPr>
              <w:t xml:space="preserve"> PP books.  The external review highlighted the considerable expertise and knowledge among staff in supporting pupils from disadvantaged backgrounds. There is a clear strategic intention from the school to ensure that disadvantaged pupils are not adversely affected by staff absences; internal staff are prioritised for cover to maintain relationships and continuity in learning.</w:t>
            </w:r>
          </w:p>
          <w:p w:rsidRPr="00B83C8E" w:rsidR="00F36FCE" w:rsidP="469A689D" w:rsidRDefault="00F36FCE" w14:paraId="339F9E68" w14:textId="366B58EF">
            <w:pPr>
              <w:pStyle w:val="ListParagraph"/>
              <w:numPr>
                <w:ilvl w:val="0"/>
                <w:numId w:val="0"/>
              </w:numPr>
              <w:spacing w:after="0" w:line="240" w:lineRule="auto"/>
              <w:jc w:val="both"/>
              <w:rPr>
                <w:rFonts w:cs="Arial"/>
                <w:iCs/>
                <w:color w:val="auto"/>
                <w:sz w:val="20"/>
                <w:szCs w:val="20"/>
                <w:highlight w:val="yellow"/>
              </w:rPr>
            </w:pPr>
          </w:p>
          <w:p w:rsidRPr="002B64DE" w:rsidR="00F36FCE" w:rsidP="469A689D" w:rsidRDefault="00F36FCE" w14:paraId="7014191C" w14:textId="716FFED6">
            <w:pPr>
              <w:pStyle w:val="ListParagraph"/>
              <w:numPr>
                <w:ilvl w:val="0"/>
                <w:numId w:val="0"/>
              </w:numPr>
              <w:spacing w:after="0" w:line="240" w:lineRule="auto"/>
              <w:jc w:val="both"/>
              <w:rPr>
                <w:rFonts w:cs="Arial"/>
                <w:b/>
                <w:color w:val="auto"/>
                <w:sz w:val="20"/>
                <w:szCs w:val="20"/>
              </w:rPr>
            </w:pPr>
            <w:r w:rsidRPr="71D4050D">
              <w:rPr>
                <w:rFonts w:cs="Arial"/>
                <w:b/>
                <w:color w:val="auto"/>
                <w:sz w:val="20"/>
                <w:szCs w:val="20"/>
              </w:rPr>
              <w:t>A level data needed and destination data</w:t>
            </w:r>
          </w:p>
          <w:p w:rsidR="00D21485" w:rsidP="469A689D" w:rsidRDefault="00D21485" w14:paraId="336E65C5" w14:textId="573AAEDA">
            <w:pPr>
              <w:pStyle w:val="ListParagraph"/>
              <w:numPr>
                <w:ilvl w:val="0"/>
                <w:numId w:val="0"/>
              </w:numPr>
              <w:spacing w:after="0" w:line="240" w:lineRule="auto"/>
              <w:jc w:val="both"/>
              <w:rPr>
                <w:rFonts w:cs="Arial"/>
                <w:color w:val="auto"/>
                <w:sz w:val="20"/>
                <w:szCs w:val="20"/>
                <w:highlight w:val="yellow"/>
              </w:rPr>
            </w:pPr>
          </w:p>
          <w:p w:rsidR="00407517" w:rsidP="469A689D" w:rsidRDefault="00722142" w14:paraId="3E91DF01" w14:textId="21E105B9">
            <w:pPr>
              <w:spacing w:after="0" w:line="240" w:lineRule="auto"/>
              <w:jc w:val="both"/>
              <w:rPr>
                <w:rFonts w:eastAsia="Calibri" w:cs="Arial"/>
                <w:color w:val="000000" w:themeColor="text1"/>
                <w:sz w:val="20"/>
                <w:szCs w:val="20"/>
              </w:rPr>
            </w:pPr>
            <w:r w:rsidRPr="002B64DE">
              <w:rPr>
                <w:rFonts w:cs="Arial"/>
                <w:color w:val="auto"/>
                <w:sz w:val="20"/>
                <w:szCs w:val="20"/>
              </w:rPr>
              <w:t>In 2025 o</w:t>
            </w:r>
            <w:r w:rsidRPr="002B64DE" w:rsidR="0B455B1F">
              <w:rPr>
                <w:rFonts w:cs="Arial"/>
                <w:color w:val="auto"/>
                <w:sz w:val="20"/>
                <w:szCs w:val="20"/>
              </w:rPr>
              <w:t xml:space="preserve">ur Post 16 Disadvantaged students </w:t>
            </w:r>
            <w:r w:rsidRPr="469A689D" w:rsidR="0B455B1F">
              <w:rPr>
                <w:rFonts w:eastAsia="Calibri" w:cs="Arial"/>
                <w:color w:val="000000" w:themeColor="text1"/>
                <w:sz w:val="20"/>
                <w:szCs w:val="20"/>
              </w:rPr>
              <w:t xml:space="preserve">outperformed others in both academic and applied general subjects in terms of </w:t>
            </w:r>
            <w:r w:rsidRPr="469A689D" w:rsidR="3A9AC26C">
              <w:rPr>
                <w:rFonts w:eastAsia="Calibri" w:cs="Arial"/>
                <w:color w:val="000000" w:themeColor="text1"/>
                <w:sz w:val="20"/>
                <w:szCs w:val="20"/>
              </w:rPr>
              <w:t>progress</w:t>
            </w:r>
            <w:r w:rsidR="008B0F22">
              <w:rPr>
                <w:rFonts w:eastAsia="Calibri" w:cs="Arial"/>
                <w:color w:val="000000" w:themeColor="text1"/>
                <w:sz w:val="20"/>
                <w:szCs w:val="20"/>
              </w:rPr>
              <w:t>, they</w:t>
            </w:r>
            <w:r w:rsidRPr="469A689D" w:rsidR="3A9AC26C">
              <w:rPr>
                <w:rFonts w:eastAsia="Calibri" w:cs="Arial"/>
                <w:color w:val="000000" w:themeColor="text1"/>
                <w:sz w:val="20"/>
                <w:szCs w:val="20"/>
              </w:rPr>
              <w:t xml:space="preserve"> had a higher </w:t>
            </w:r>
            <w:r w:rsidRPr="469A689D" w:rsidR="008B32CB">
              <w:rPr>
                <w:rFonts w:eastAsia="Calibri" w:cs="Arial"/>
                <w:color w:val="000000" w:themeColor="text1"/>
                <w:sz w:val="20"/>
                <w:szCs w:val="20"/>
              </w:rPr>
              <w:t xml:space="preserve">APS also in the </w:t>
            </w:r>
            <w:r w:rsidRPr="469A689D" w:rsidR="795D7F38">
              <w:rPr>
                <w:rFonts w:eastAsia="Calibri" w:cs="Arial"/>
                <w:color w:val="000000" w:themeColor="text1"/>
                <w:sz w:val="20"/>
                <w:szCs w:val="20"/>
              </w:rPr>
              <w:t xml:space="preserve">applied general </w:t>
            </w:r>
            <w:r w:rsidR="00BC7398">
              <w:rPr>
                <w:rFonts w:eastAsia="Calibri" w:cs="Arial"/>
                <w:color w:val="000000" w:themeColor="text1"/>
                <w:sz w:val="20"/>
                <w:szCs w:val="20"/>
              </w:rPr>
              <w:t xml:space="preserve">subjects. </w:t>
            </w:r>
          </w:p>
          <w:p w:rsidR="469A689D" w:rsidP="469A689D" w:rsidRDefault="469A689D" w14:paraId="5187D705" w14:textId="13F1928C">
            <w:pPr>
              <w:spacing w:after="0" w:line="240" w:lineRule="auto"/>
              <w:jc w:val="both"/>
              <w:rPr>
                <w:rFonts w:cs="Arial"/>
                <w:color w:val="0D0D0D" w:themeColor="text1" w:themeTint="F2"/>
                <w:sz w:val="20"/>
                <w:szCs w:val="20"/>
              </w:rPr>
            </w:pPr>
          </w:p>
          <w:p w:rsidR="795D7F38" w:rsidP="469A689D" w:rsidRDefault="795D7F38" w14:paraId="2BA511E4" w14:textId="138E1CB2">
            <w:pPr>
              <w:spacing w:after="0" w:line="240" w:lineRule="auto"/>
              <w:jc w:val="both"/>
              <w:rPr>
                <w:rFonts w:cs="Arial"/>
                <w:color w:val="0D0D0D" w:themeColor="text1" w:themeTint="F2"/>
                <w:sz w:val="20"/>
                <w:szCs w:val="20"/>
              </w:rPr>
            </w:pPr>
            <w:r w:rsidRPr="469A689D">
              <w:rPr>
                <w:rFonts w:cs="Arial"/>
                <w:color w:val="0D0D0D" w:themeColor="text1" w:themeTint="F2"/>
                <w:sz w:val="20"/>
                <w:szCs w:val="20"/>
              </w:rPr>
              <w:t>Value Added</w:t>
            </w:r>
          </w:p>
          <w:p w:rsidR="469A689D" w:rsidP="469A689D" w:rsidRDefault="469A689D" w14:paraId="2603AA01" w14:textId="2ABD5A56">
            <w:pPr>
              <w:pStyle w:val="ListParagraph"/>
              <w:numPr>
                <w:ilvl w:val="0"/>
                <w:numId w:val="0"/>
              </w:numPr>
              <w:spacing w:after="0" w:line="240" w:lineRule="auto"/>
              <w:ind w:left="720"/>
              <w:jc w:val="both"/>
              <w:rPr>
                <w:color w:val="0D0D0D" w:themeColor="text1" w:themeTint="F2"/>
                <w:sz w:val="20"/>
                <w:szCs w:val="20"/>
              </w:rPr>
            </w:pPr>
          </w:p>
          <w:tbl>
            <w:tblPr>
              <w:tblW w:w="6885" w:type="dxa"/>
              <w:tblLook w:val="04A0" w:firstRow="1" w:lastRow="0" w:firstColumn="1" w:lastColumn="0" w:noHBand="0" w:noVBand="1"/>
            </w:tblPr>
            <w:tblGrid>
              <w:gridCol w:w="1714"/>
              <w:gridCol w:w="450"/>
              <w:gridCol w:w="1402"/>
              <w:gridCol w:w="1276"/>
              <w:gridCol w:w="681"/>
              <w:gridCol w:w="681"/>
              <w:gridCol w:w="681"/>
            </w:tblGrid>
            <w:tr w:rsidR="00E57455" w:rsidTr="3B47BAD9" w14:paraId="168AD228" w14:textId="60633873">
              <w:trPr>
                <w:trHeight w:val="600"/>
              </w:trPr>
              <w:tc>
                <w:tcPr>
                  <w:tcW w:w="1714" w:type="dxa"/>
                  <w:tcBorders>
                    <w:top w:val="nil"/>
                    <w:left w:val="nil"/>
                    <w:bottom w:val="nil"/>
                    <w:right w:val="nil"/>
                  </w:tcBorders>
                  <w:vAlign w:val="bottom"/>
                </w:tcPr>
                <w:p w:rsidR="00E57455" w:rsidP="00E57455" w:rsidRDefault="00E57455" w14:paraId="63C788A5" w14:textId="77777777">
                  <w:pPr>
                    <w:spacing w:after="0" w:line="240" w:lineRule="auto"/>
                    <w:rPr>
                      <w:rFonts w:ascii="Times New Roman" w:hAnsi="Times New Roman"/>
                      <w:color w:val="auto"/>
                      <w:sz w:val="20"/>
                      <w:szCs w:val="20"/>
                    </w:rPr>
                  </w:pPr>
                </w:p>
              </w:tc>
              <w:tc>
                <w:tcPr>
                  <w:tcW w:w="450" w:type="dxa"/>
                  <w:tcBorders>
                    <w:top w:val="nil"/>
                    <w:left w:val="nil"/>
                    <w:bottom w:val="nil"/>
                    <w:right w:val="nil"/>
                  </w:tcBorders>
                  <w:vAlign w:val="bottom"/>
                </w:tcPr>
                <w:p w:rsidR="00E57455" w:rsidP="00E57455" w:rsidRDefault="00E57455" w14:paraId="5B6DD252" w14:textId="77777777">
                  <w:pPr>
                    <w:spacing w:after="0" w:line="240" w:lineRule="auto"/>
                    <w:rPr>
                      <w:rFonts w:ascii="Times New Roman" w:hAnsi="Times New Roman"/>
                      <w:color w:val="auto"/>
                      <w:sz w:val="20"/>
                      <w:szCs w:val="20"/>
                    </w:rPr>
                  </w:pPr>
                </w:p>
              </w:tc>
              <w:tc>
                <w:tcPr>
                  <w:tcW w:w="1402" w:type="dxa"/>
                  <w:tcBorders>
                    <w:top w:val="single" w:color="auto" w:sz="4" w:space="0"/>
                    <w:left w:val="single" w:color="auto" w:sz="4" w:space="0"/>
                    <w:bottom w:val="single" w:color="auto" w:sz="4" w:space="0"/>
                    <w:right w:val="single" w:color="auto" w:sz="4" w:space="0"/>
                  </w:tcBorders>
                </w:tcPr>
                <w:p w:rsidR="00E57455" w:rsidP="00E57455" w:rsidRDefault="00E57455" w14:paraId="1F2A8455" w14:textId="77777777">
                  <w:pPr>
                    <w:spacing w:after="0" w:line="240" w:lineRule="auto"/>
                    <w:jc w:val="right"/>
                    <w:rPr>
                      <w:rFonts w:ascii="Tahoma" w:hAnsi="Tahoma" w:cs="Tahoma"/>
                      <w:b/>
                      <w:bCs/>
                      <w:color w:val="auto"/>
                      <w:sz w:val="20"/>
                      <w:szCs w:val="20"/>
                    </w:rPr>
                  </w:pPr>
                  <w:r w:rsidRPr="469A689D">
                    <w:rPr>
                      <w:rFonts w:ascii="Tahoma" w:hAnsi="Tahoma" w:cs="Tahoma"/>
                      <w:b/>
                      <w:bCs/>
                      <w:color w:val="auto"/>
                      <w:sz w:val="20"/>
                      <w:szCs w:val="20"/>
                    </w:rPr>
                    <w:t>Academic</w:t>
                  </w:r>
                </w:p>
              </w:tc>
              <w:tc>
                <w:tcPr>
                  <w:tcW w:w="1276" w:type="dxa"/>
                  <w:tcBorders>
                    <w:top w:val="single" w:color="auto" w:sz="4" w:space="0"/>
                    <w:left w:val="nil"/>
                    <w:bottom w:val="single" w:color="auto" w:sz="4" w:space="0"/>
                    <w:right w:val="single" w:color="auto" w:sz="4" w:space="0"/>
                  </w:tcBorders>
                </w:tcPr>
                <w:p w:rsidR="00E57455" w:rsidP="00E57455" w:rsidRDefault="00E57455" w14:paraId="3D2383FA" w14:textId="77777777">
                  <w:pPr>
                    <w:spacing w:after="0" w:line="240" w:lineRule="auto"/>
                    <w:jc w:val="right"/>
                    <w:rPr>
                      <w:rFonts w:ascii="Tahoma" w:hAnsi="Tahoma" w:cs="Tahoma"/>
                      <w:b/>
                      <w:bCs/>
                      <w:color w:val="auto"/>
                      <w:sz w:val="20"/>
                      <w:szCs w:val="20"/>
                    </w:rPr>
                  </w:pPr>
                  <w:r w:rsidRPr="469A689D">
                    <w:rPr>
                      <w:rFonts w:ascii="Tahoma" w:hAnsi="Tahoma" w:cs="Tahoma"/>
                      <w:b/>
                      <w:bCs/>
                      <w:color w:val="auto"/>
                      <w:sz w:val="20"/>
                      <w:szCs w:val="20"/>
                    </w:rPr>
                    <w:t>Applied General</w:t>
                  </w:r>
                </w:p>
              </w:tc>
              <w:tc>
                <w:tcPr>
                  <w:tcW w:w="681" w:type="dxa"/>
                </w:tcPr>
                <w:p w:rsidR="00E57455" w:rsidP="00E57455" w:rsidRDefault="00E57455" w14:paraId="5979909B" w14:textId="66BFB7AA">
                  <w:pPr>
                    <w:suppressAutoHyphens w:val="0"/>
                    <w:spacing w:after="0" w:line="240" w:lineRule="auto"/>
                  </w:pPr>
                </w:p>
              </w:tc>
              <w:tc>
                <w:tcPr>
                  <w:tcW w:w="681" w:type="dxa"/>
                </w:tcPr>
                <w:p w:rsidR="00E57455" w:rsidP="00E57455" w:rsidRDefault="00E57455" w14:paraId="27AD7BAD" w14:textId="258AD41B">
                  <w:pPr>
                    <w:suppressAutoHyphens w:val="0"/>
                    <w:spacing w:after="0" w:line="240" w:lineRule="auto"/>
                  </w:pPr>
                </w:p>
              </w:tc>
              <w:tc>
                <w:tcPr>
                  <w:tcW w:w="681" w:type="dxa"/>
                </w:tcPr>
                <w:p w:rsidR="00E57455" w:rsidP="00E57455" w:rsidRDefault="00E57455" w14:paraId="456E6EDE" w14:textId="49503840">
                  <w:pPr>
                    <w:suppressAutoHyphens w:val="0"/>
                    <w:spacing w:after="0" w:line="240" w:lineRule="auto"/>
                  </w:pPr>
                </w:p>
              </w:tc>
            </w:tr>
            <w:tr w:rsidR="00E57455" w:rsidTr="3B47BAD9" w14:paraId="4FBF787D" w14:textId="11368597">
              <w:trPr>
                <w:trHeight w:val="300"/>
              </w:trPr>
              <w:tc>
                <w:tcPr>
                  <w:tcW w:w="1714" w:type="dxa"/>
                  <w:tcBorders>
                    <w:top w:val="single" w:color="auto" w:sz="4" w:space="0"/>
                    <w:left w:val="single" w:color="auto" w:sz="4" w:space="0"/>
                    <w:bottom w:val="single" w:color="auto" w:sz="4" w:space="0"/>
                    <w:right w:val="nil"/>
                  </w:tcBorders>
                  <w:vAlign w:val="center"/>
                </w:tcPr>
                <w:p w:rsidR="00E57455" w:rsidP="3B47BAD9" w:rsidRDefault="24491B98" w14:paraId="66AD152E" w14:textId="0E954D4E">
                  <w:pPr>
                    <w:spacing w:after="0" w:line="240" w:lineRule="auto"/>
                    <w:rPr>
                      <w:rFonts w:asciiTheme="minorHAnsi" w:hAnsiTheme="minorHAnsi" w:eastAsiaTheme="minorEastAsia" w:cstheme="minorBidi"/>
                      <w:color w:val="auto"/>
                      <w:sz w:val="20"/>
                      <w:szCs w:val="20"/>
                    </w:rPr>
                  </w:pPr>
                  <w:r w:rsidRPr="3B47BAD9">
                    <w:rPr>
                      <w:rFonts w:asciiTheme="minorHAnsi" w:hAnsiTheme="minorHAnsi" w:eastAsiaTheme="minorEastAsia" w:cstheme="minorBidi"/>
                      <w:color w:val="auto"/>
                      <w:sz w:val="20"/>
                      <w:szCs w:val="20"/>
                    </w:rPr>
                    <w:t>Disadvantag</w:t>
                  </w:r>
                  <w:r w:rsidRPr="3B47BAD9" w:rsidR="3E99A846">
                    <w:rPr>
                      <w:rFonts w:asciiTheme="minorHAnsi" w:hAnsiTheme="minorHAnsi" w:eastAsiaTheme="minorEastAsia" w:cstheme="minorBidi"/>
                      <w:color w:val="auto"/>
                      <w:sz w:val="20"/>
                      <w:szCs w:val="20"/>
                    </w:rPr>
                    <w:t>e</w:t>
                  </w:r>
                  <w:r w:rsidRPr="3B47BAD9">
                    <w:rPr>
                      <w:rFonts w:asciiTheme="minorHAnsi" w:hAnsiTheme="minorHAnsi" w:eastAsiaTheme="minorEastAsia" w:cstheme="minorBidi"/>
                      <w:color w:val="auto"/>
                      <w:sz w:val="20"/>
                      <w:szCs w:val="20"/>
                    </w:rPr>
                    <w:t>d</w:t>
                  </w:r>
                </w:p>
              </w:tc>
              <w:tc>
                <w:tcPr>
                  <w:tcW w:w="450" w:type="dxa"/>
                  <w:tcBorders>
                    <w:top w:val="single" w:color="auto" w:sz="4" w:space="0"/>
                    <w:left w:val="nil"/>
                    <w:bottom w:val="single" w:color="auto" w:sz="4" w:space="0"/>
                    <w:right w:val="nil"/>
                  </w:tcBorders>
                  <w:vAlign w:val="bottom"/>
                </w:tcPr>
                <w:p w:rsidR="00E57455" w:rsidP="00E57455" w:rsidRDefault="00E57455" w14:paraId="1E3EFBC5" w14:textId="77777777">
                  <w:pPr>
                    <w:spacing w:after="0" w:line="240" w:lineRule="auto"/>
                    <w:rPr>
                      <w:rFonts w:ascii="Tahoma" w:hAnsi="Tahoma" w:cs="Tahoma"/>
                      <w:color w:val="auto"/>
                      <w:sz w:val="20"/>
                      <w:szCs w:val="20"/>
                    </w:rPr>
                  </w:pPr>
                  <w:r w:rsidRPr="469A689D">
                    <w:rPr>
                      <w:rFonts w:ascii="Tahoma" w:hAnsi="Tahoma" w:cs="Tahoma"/>
                      <w:color w:val="auto"/>
                      <w:sz w:val="20"/>
                      <w:szCs w:val="20"/>
                    </w:rPr>
                    <w:t> </w:t>
                  </w:r>
                </w:p>
              </w:tc>
              <w:tc>
                <w:tcPr>
                  <w:tcW w:w="1402" w:type="dxa"/>
                  <w:tcBorders>
                    <w:top w:val="single" w:color="auto" w:sz="4" w:space="0"/>
                    <w:left w:val="single" w:color="auto" w:sz="4" w:space="0"/>
                    <w:bottom w:val="single" w:color="auto" w:sz="4" w:space="0"/>
                    <w:right w:val="single" w:color="auto" w:sz="4" w:space="0"/>
                  </w:tcBorders>
                  <w:shd w:val="clear" w:color="auto" w:fill="00B050"/>
                  <w:vAlign w:val="center"/>
                </w:tcPr>
                <w:p w:rsidR="00E57455" w:rsidP="00E57455" w:rsidRDefault="00E57455" w14:paraId="714D864F" w14:textId="77777777">
                  <w:pPr>
                    <w:spacing w:after="0" w:line="240" w:lineRule="auto"/>
                    <w:jc w:val="right"/>
                    <w:rPr>
                      <w:rFonts w:ascii="Tahoma" w:hAnsi="Tahoma" w:cs="Tahoma"/>
                      <w:color w:val="auto"/>
                      <w:sz w:val="20"/>
                      <w:szCs w:val="20"/>
                    </w:rPr>
                  </w:pPr>
                  <w:r w:rsidRPr="469A689D">
                    <w:rPr>
                      <w:rFonts w:ascii="Tahoma" w:hAnsi="Tahoma" w:cs="Tahoma"/>
                      <w:color w:val="auto"/>
                      <w:sz w:val="20"/>
                      <w:szCs w:val="20"/>
                    </w:rPr>
                    <w:t>0.17</w:t>
                  </w:r>
                </w:p>
              </w:tc>
              <w:tc>
                <w:tcPr>
                  <w:tcW w:w="1276" w:type="dxa"/>
                  <w:tcBorders>
                    <w:top w:val="single" w:color="auto" w:sz="4" w:space="0"/>
                    <w:left w:val="single" w:color="auto" w:sz="4" w:space="0"/>
                    <w:bottom w:val="single" w:color="auto" w:sz="4" w:space="0"/>
                    <w:right w:val="single" w:color="auto" w:sz="4" w:space="0"/>
                  </w:tcBorders>
                  <w:shd w:val="clear" w:color="auto" w:fill="00B050"/>
                  <w:vAlign w:val="center"/>
                </w:tcPr>
                <w:p w:rsidR="00E57455" w:rsidP="00E57455" w:rsidRDefault="00E57455" w14:paraId="46268B6C" w14:textId="77777777">
                  <w:pPr>
                    <w:spacing w:after="0" w:line="240" w:lineRule="auto"/>
                    <w:jc w:val="right"/>
                    <w:rPr>
                      <w:rFonts w:ascii="Tahoma" w:hAnsi="Tahoma" w:cs="Tahoma"/>
                      <w:color w:val="auto"/>
                      <w:sz w:val="20"/>
                      <w:szCs w:val="20"/>
                    </w:rPr>
                  </w:pPr>
                  <w:r w:rsidRPr="469A689D">
                    <w:rPr>
                      <w:rFonts w:ascii="Tahoma" w:hAnsi="Tahoma" w:cs="Tahoma"/>
                      <w:color w:val="auto"/>
                      <w:sz w:val="20"/>
                      <w:szCs w:val="20"/>
                    </w:rPr>
                    <w:t>0.58</w:t>
                  </w:r>
                </w:p>
              </w:tc>
              <w:tc>
                <w:tcPr>
                  <w:tcW w:w="681" w:type="dxa"/>
                </w:tcPr>
                <w:p w:rsidR="00E57455" w:rsidP="00E57455" w:rsidRDefault="00E57455" w14:paraId="73AFA4E1" w14:textId="35C42EDB">
                  <w:pPr>
                    <w:suppressAutoHyphens w:val="0"/>
                    <w:spacing w:after="0" w:line="240" w:lineRule="auto"/>
                  </w:pPr>
                </w:p>
              </w:tc>
              <w:tc>
                <w:tcPr>
                  <w:tcW w:w="681" w:type="dxa"/>
                </w:tcPr>
                <w:p w:rsidR="00E57455" w:rsidP="00E57455" w:rsidRDefault="00E57455" w14:paraId="34554054" w14:textId="13DA38DD">
                  <w:pPr>
                    <w:suppressAutoHyphens w:val="0"/>
                    <w:spacing w:after="0" w:line="240" w:lineRule="auto"/>
                  </w:pPr>
                </w:p>
              </w:tc>
              <w:tc>
                <w:tcPr>
                  <w:tcW w:w="681" w:type="dxa"/>
                </w:tcPr>
                <w:p w:rsidR="00E57455" w:rsidP="00E57455" w:rsidRDefault="00E57455" w14:paraId="4591A245" w14:textId="59F7D604">
                  <w:pPr>
                    <w:suppressAutoHyphens w:val="0"/>
                    <w:spacing w:after="0" w:line="240" w:lineRule="auto"/>
                  </w:pPr>
                </w:p>
              </w:tc>
            </w:tr>
            <w:tr w:rsidR="00E57455" w:rsidTr="3B47BAD9" w14:paraId="1E088B55" w14:textId="6CFE9C7D">
              <w:trPr>
                <w:trHeight w:val="300"/>
              </w:trPr>
              <w:tc>
                <w:tcPr>
                  <w:tcW w:w="1714" w:type="dxa"/>
                  <w:tcBorders>
                    <w:top w:val="nil"/>
                    <w:left w:val="single" w:color="auto" w:sz="4" w:space="0"/>
                    <w:bottom w:val="single" w:color="auto" w:sz="4" w:space="0"/>
                    <w:right w:val="nil"/>
                  </w:tcBorders>
                  <w:vAlign w:val="center"/>
                </w:tcPr>
                <w:p w:rsidR="00E57455" w:rsidP="3B47BAD9" w:rsidRDefault="24491B98" w14:paraId="7F7E2D78" w14:textId="77777777">
                  <w:pPr>
                    <w:spacing w:after="0" w:line="240" w:lineRule="auto"/>
                    <w:rPr>
                      <w:rFonts w:asciiTheme="minorHAnsi" w:hAnsiTheme="minorHAnsi" w:eastAsiaTheme="minorEastAsia" w:cstheme="minorBidi"/>
                      <w:color w:val="auto"/>
                      <w:sz w:val="20"/>
                      <w:szCs w:val="20"/>
                    </w:rPr>
                  </w:pPr>
                  <w:r w:rsidRPr="3B47BAD9">
                    <w:rPr>
                      <w:rFonts w:asciiTheme="minorHAnsi" w:hAnsiTheme="minorHAnsi" w:eastAsiaTheme="minorEastAsia" w:cstheme="minorBidi"/>
                      <w:color w:val="auto"/>
                      <w:sz w:val="20"/>
                      <w:szCs w:val="20"/>
                    </w:rPr>
                    <w:t xml:space="preserve"> Other</w:t>
                  </w:r>
                </w:p>
              </w:tc>
              <w:tc>
                <w:tcPr>
                  <w:tcW w:w="450" w:type="dxa"/>
                  <w:tcBorders>
                    <w:top w:val="nil"/>
                    <w:left w:val="nil"/>
                    <w:bottom w:val="single" w:color="auto" w:sz="4" w:space="0"/>
                    <w:right w:val="nil"/>
                  </w:tcBorders>
                  <w:vAlign w:val="bottom"/>
                </w:tcPr>
                <w:p w:rsidR="00E57455" w:rsidP="00E57455" w:rsidRDefault="00E57455" w14:paraId="3CA5EE54" w14:textId="77777777">
                  <w:pPr>
                    <w:spacing w:after="0" w:line="240" w:lineRule="auto"/>
                    <w:rPr>
                      <w:rFonts w:ascii="Tahoma" w:hAnsi="Tahoma" w:cs="Tahoma"/>
                      <w:b/>
                      <w:bCs/>
                      <w:color w:val="auto"/>
                      <w:sz w:val="20"/>
                      <w:szCs w:val="20"/>
                    </w:rPr>
                  </w:pPr>
                  <w:r w:rsidRPr="469A689D">
                    <w:rPr>
                      <w:rFonts w:ascii="Tahoma" w:hAnsi="Tahoma" w:cs="Tahoma"/>
                      <w:b/>
                      <w:bCs/>
                      <w:color w:val="auto"/>
                      <w:sz w:val="20"/>
                      <w:szCs w:val="20"/>
                    </w:rPr>
                    <w:t> </w:t>
                  </w:r>
                </w:p>
              </w:tc>
              <w:tc>
                <w:tcPr>
                  <w:tcW w:w="1402" w:type="dxa"/>
                  <w:tcBorders>
                    <w:top w:val="single" w:color="auto" w:sz="4" w:space="0"/>
                    <w:left w:val="single" w:color="auto" w:sz="4" w:space="0"/>
                    <w:bottom w:val="single" w:color="auto" w:sz="4" w:space="0"/>
                    <w:right w:val="single" w:color="auto" w:sz="4" w:space="0"/>
                  </w:tcBorders>
                  <w:shd w:val="clear" w:color="auto" w:fill="92D050"/>
                  <w:vAlign w:val="center"/>
                </w:tcPr>
                <w:p w:rsidR="00E57455" w:rsidP="00E57455" w:rsidRDefault="00E57455" w14:paraId="44B4EFF2" w14:textId="77777777">
                  <w:pPr>
                    <w:spacing w:after="0" w:line="240" w:lineRule="auto"/>
                    <w:jc w:val="right"/>
                    <w:rPr>
                      <w:rFonts w:ascii="Tahoma" w:hAnsi="Tahoma" w:cs="Tahoma"/>
                      <w:color w:val="auto"/>
                      <w:sz w:val="20"/>
                      <w:szCs w:val="20"/>
                    </w:rPr>
                  </w:pPr>
                  <w:r w:rsidRPr="469A689D">
                    <w:rPr>
                      <w:rFonts w:ascii="Tahoma" w:hAnsi="Tahoma" w:cs="Tahoma"/>
                      <w:color w:val="auto"/>
                      <w:sz w:val="20"/>
                      <w:szCs w:val="20"/>
                    </w:rPr>
                    <w:t>0.12</w:t>
                  </w:r>
                </w:p>
              </w:tc>
              <w:tc>
                <w:tcPr>
                  <w:tcW w:w="1276" w:type="dxa"/>
                  <w:tcBorders>
                    <w:top w:val="single" w:color="auto" w:sz="4" w:space="0"/>
                    <w:left w:val="single" w:color="auto" w:sz="4" w:space="0"/>
                    <w:bottom w:val="single" w:color="auto" w:sz="4" w:space="0"/>
                    <w:right w:val="single" w:color="auto" w:sz="4" w:space="0"/>
                  </w:tcBorders>
                  <w:shd w:val="clear" w:color="auto" w:fill="92D050"/>
                  <w:vAlign w:val="center"/>
                </w:tcPr>
                <w:p w:rsidR="00E57455" w:rsidP="00E57455" w:rsidRDefault="00E57455" w14:paraId="6C65F22D" w14:textId="77777777">
                  <w:pPr>
                    <w:spacing w:after="0" w:line="240" w:lineRule="auto"/>
                    <w:jc w:val="right"/>
                    <w:rPr>
                      <w:rFonts w:ascii="Tahoma" w:hAnsi="Tahoma" w:cs="Tahoma"/>
                      <w:color w:val="auto"/>
                      <w:sz w:val="20"/>
                      <w:szCs w:val="20"/>
                    </w:rPr>
                  </w:pPr>
                  <w:r w:rsidRPr="469A689D">
                    <w:rPr>
                      <w:rFonts w:ascii="Tahoma" w:hAnsi="Tahoma" w:cs="Tahoma"/>
                      <w:color w:val="auto"/>
                      <w:sz w:val="20"/>
                      <w:szCs w:val="20"/>
                    </w:rPr>
                    <w:t>0.34</w:t>
                  </w:r>
                </w:p>
              </w:tc>
              <w:tc>
                <w:tcPr>
                  <w:tcW w:w="681" w:type="dxa"/>
                </w:tcPr>
                <w:p w:rsidR="00E57455" w:rsidP="00E57455" w:rsidRDefault="00E57455" w14:paraId="7EC654BA" w14:textId="13A0B233">
                  <w:pPr>
                    <w:suppressAutoHyphens w:val="0"/>
                    <w:spacing w:after="0" w:line="240" w:lineRule="auto"/>
                  </w:pPr>
                </w:p>
              </w:tc>
              <w:tc>
                <w:tcPr>
                  <w:tcW w:w="681" w:type="dxa"/>
                </w:tcPr>
                <w:p w:rsidR="00E57455" w:rsidP="00E57455" w:rsidRDefault="00E57455" w14:paraId="19AD6460" w14:textId="21DF6E8C">
                  <w:pPr>
                    <w:suppressAutoHyphens w:val="0"/>
                    <w:spacing w:after="0" w:line="240" w:lineRule="auto"/>
                  </w:pPr>
                </w:p>
              </w:tc>
              <w:tc>
                <w:tcPr>
                  <w:tcW w:w="681" w:type="dxa"/>
                </w:tcPr>
                <w:p w:rsidR="00E57455" w:rsidP="00E57455" w:rsidRDefault="00E57455" w14:paraId="2BF073A5" w14:textId="424666B8">
                  <w:pPr>
                    <w:suppressAutoHyphens w:val="0"/>
                    <w:spacing w:after="0" w:line="240" w:lineRule="auto"/>
                  </w:pPr>
                </w:p>
              </w:tc>
            </w:tr>
          </w:tbl>
          <w:p w:rsidR="469A689D" w:rsidP="469A689D" w:rsidRDefault="469A689D" w14:paraId="40430434" w14:textId="41D7CEF2">
            <w:pPr>
              <w:pStyle w:val="ListParagraph"/>
              <w:numPr>
                <w:ilvl w:val="0"/>
                <w:numId w:val="0"/>
              </w:numPr>
              <w:spacing w:after="0" w:line="240" w:lineRule="auto"/>
              <w:ind w:left="720"/>
              <w:jc w:val="both"/>
              <w:rPr>
                <w:color w:val="0D0D0D" w:themeColor="text1" w:themeTint="F2"/>
              </w:rPr>
            </w:pPr>
          </w:p>
          <w:p w:rsidR="795D7F38" w:rsidP="469A689D" w:rsidRDefault="795D7F38" w14:paraId="76527808" w14:textId="40E69857">
            <w:pPr>
              <w:spacing w:after="0" w:line="240" w:lineRule="auto"/>
              <w:jc w:val="both"/>
              <w:rPr>
                <w:color w:val="0D0D0D" w:themeColor="text1" w:themeTint="F2"/>
                <w:sz w:val="20"/>
                <w:szCs w:val="20"/>
              </w:rPr>
            </w:pPr>
            <w:r w:rsidRPr="469A689D">
              <w:rPr>
                <w:color w:val="0D0D0D" w:themeColor="text1" w:themeTint="F2"/>
                <w:sz w:val="20"/>
                <w:szCs w:val="20"/>
              </w:rPr>
              <w:t>APS</w:t>
            </w:r>
          </w:p>
          <w:p w:rsidR="469A689D" w:rsidP="469A689D" w:rsidRDefault="469A689D" w14:paraId="0359F853" w14:textId="335AC365">
            <w:pPr>
              <w:spacing w:after="0" w:line="240" w:lineRule="auto"/>
              <w:jc w:val="both"/>
              <w:rPr>
                <w:color w:val="0D0D0D" w:themeColor="text1" w:themeTint="F2"/>
                <w:sz w:val="20"/>
                <w:szCs w:val="20"/>
              </w:rPr>
            </w:pPr>
          </w:p>
          <w:tbl>
            <w:tblPr>
              <w:tblStyle w:val="TableGrid"/>
              <w:tblW w:w="0" w:type="auto"/>
              <w:tblLook w:val="04A0" w:firstRow="1" w:lastRow="0" w:firstColumn="1" w:lastColumn="0" w:noHBand="0" w:noVBand="1"/>
            </w:tblPr>
            <w:tblGrid>
              <w:gridCol w:w="1121"/>
              <w:gridCol w:w="711"/>
              <w:gridCol w:w="681"/>
            </w:tblGrid>
            <w:tr w:rsidR="469A689D" w:rsidTr="3B47BAD9" w14:paraId="067882DA" w14:textId="77777777">
              <w:trPr>
                <w:trHeight w:val="200"/>
              </w:trPr>
              <w:tc>
                <w:tcPr>
                  <w:tcW w:w="1121" w:type="dxa"/>
                </w:tcPr>
                <w:p w:rsidR="469A689D" w:rsidP="469A689D" w:rsidRDefault="469A689D" w14:paraId="5EB9E939" w14:textId="77777777">
                  <w:pPr>
                    <w:rPr>
                      <w:sz w:val="20"/>
                      <w:szCs w:val="20"/>
                    </w:rPr>
                  </w:pPr>
                </w:p>
              </w:tc>
              <w:tc>
                <w:tcPr>
                  <w:tcW w:w="711" w:type="dxa"/>
                </w:tcPr>
                <w:p w:rsidR="7667A538" w:rsidP="469A689D" w:rsidRDefault="7667A538" w14:paraId="1D351E1E" w14:textId="77777777">
                  <w:pPr>
                    <w:rPr>
                      <w:b/>
                      <w:bCs/>
                      <w:sz w:val="20"/>
                      <w:szCs w:val="20"/>
                    </w:rPr>
                  </w:pPr>
                  <w:r w:rsidRPr="469A689D">
                    <w:rPr>
                      <w:b/>
                      <w:bCs/>
                      <w:sz w:val="20"/>
                      <w:szCs w:val="20"/>
                    </w:rPr>
                    <w:t>Dis.</w:t>
                  </w:r>
                </w:p>
              </w:tc>
              <w:tc>
                <w:tcPr>
                  <w:tcW w:w="681" w:type="dxa"/>
                </w:tcPr>
                <w:p w:rsidR="7667A538" w:rsidP="469A689D" w:rsidRDefault="7667A538" w14:paraId="19D11DFF" w14:textId="77777777">
                  <w:pPr>
                    <w:rPr>
                      <w:b/>
                      <w:bCs/>
                      <w:sz w:val="20"/>
                      <w:szCs w:val="20"/>
                    </w:rPr>
                  </w:pPr>
                  <w:r w:rsidRPr="469A689D">
                    <w:rPr>
                      <w:b/>
                      <w:bCs/>
                      <w:sz w:val="20"/>
                      <w:szCs w:val="20"/>
                    </w:rPr>
                    <w:t>Oth.</w:t>
                  </w:r>
                </w:p>
              </w:tc>
            </w:tr>
            <w:tr w:rsidR="469A689D" w:rsidTr="3B47BAD9" w14:paraId="790B9FDC" w14:textId="77777777">
              <w:trPr>
                <w:trHeight w:val="594"/>
              </w:trPr>
              <w:tc>
                <w:tcPr>
                  <w:tcW w:w="1121" w:type="dxa"/>
                </w:tcPr>
                <w:p w:rsidR="7667A538" w:rsidP="469A689D" w:rsidRDefault="7667A538" w14:paraId="5840960C" w14:textId="77777777">
                  <w:pPr>
                    <w:rPr>
                      <w:sz w:val="20"/>
                      <w:szCs w:val="20"/>
                    </w:rPr>
                  </w:pPr>
                  <w:r w:rsidRPr="469A689D">
                    <w:rPr>
                      <w:sz w:val="20"/>
                      <w:szCs w:val="20"/>
                    </w:rPr>
                    <w:t xml:space="preserve"> Ave point score</w:t>
                  </w:r>
                </w:p>
              </w:tc>
              <w:tc>
                <w:tcPr>
                  <w:tcW w:w="711" w:type="dxa"/>
                </w:tcPr>
                <w:p w:rsidR="7667A538" w:rsidP="469A689D" w:rsidRDefault="7667A538" w14:paraId="40C934AF" w14:textId="77777777">
                  <w:pPr>
                    <w:rPr>
                      <w:sz w:val="20"/>
                      <w:szCs w:val="20"/>
                    </w:rPr>
                  </w:pPr>
                  <w:r w:rsidRPr="469A689D">
                    <w:rPr>
                      <w:sz w:val="20"/>
                      <w:szCs w:val="20"/>
                    </w:rPr>
                    <w:t>36.3</w:t>
                  </w:r>
                </w:p>
              </w:tc>
              <w:tc>
                <w:tcPr>
                  <w:tcW w:w="681" w:type="dxa"/>
                </w:tcPr>
                <w:p w:rsidR="7667A538" w:rsidP="469A689D" w:rsidRDefault="7667A538" w14:paraId="01F6EDC0" w14:textId="77777777">
                  <w:pPr>
                    <w:rPr>
                      <w:sz w:val="20"/>
                      <w:szCs w:val="20"/>
                    </w:rPr>
                  </w:pPr>
                  <w:r w:rsidRPr="469A689D">
                    <w:rPr>
                      <w:sz w:val="20"/>
                      <w:szCs w:val="20"/>
                    </w:rPr>
                    <w:t>33.8</w:t>
                  </w:r>
                </w:p>
              </w:tc>
            </w:tr>
            <w:tr w:rsidR="469A689D" w:rsidTr="3B47BAD9" w14:paraId="51EC8988" w14:textId="77777777">
              <w:trPr>
                <w:trHeight w:val="493"/>
              </w:trPr>
              <w:tc>
                <w:tcPr>
                  <w:tcW w:w="1121" w:type="dxa"/>
                </w:tcPr>
                <w:p w:rsidR="7667A538" w:rsidP="469A689D" w:rsidRDefault="7667A538" w14:paraId="4E00B535" w14:textId="77777777">
                  <w:pPr>
                    <w:rPr>
                      <w:b/>
                      <w:bCs/>
                      <w:sz w:val="20"/>
                      <w:szCs w:val="20"/>
                    </w:rPr>
                  </w:pPr>
                  <w:r w:rsidRPr="469A689D">
                    <w:rPr>
                      <w:b/>
                      <w:bCs/>
                      <w:sz w:val="20"/>
                      <w:szCs w:val="20"/>
                    </w:rPr>
                    <w:t xml:space="preserve"> APS as a grade</w:t>
                  </w:r>
                </w:p>
              </w:tc>
              <w:tc>
                <w:tcPr>
                  <w:tcW w:w="711" w:type="dxa"/>
                </w:tcPr>
                <w:p w:rsidR="7667A538" w:rsidP="469A689D" w:rsidRDefault="7667A538" w14:paraId="0C348D98" w14:textId="77777777">
                  <w:pPr>
                    <w:rPr>
                      <w:b/>
                      <w:bCs/>
                      <w:sz w:val="20"/>
                      <w:szCs w:val="20"/>
                    </w:rPr>
                  </w:pPr>
                  <w:r w:rsidRPr="469A689D">
                    <w:rPr>
                      <w:b/>
                      <w:bCs/>
                      <w:sz w:val="20"/>
                      <w:szCs w:val="20"/>
                    </w:rPr>
                    <w:t>Dist</w:t>
                  </w:r>
                </w:p>
              </w:tc>
              <w:tc>
                <w:tcPr>
                  <w:tcW w:w="681" w:type="dxa"/>
                </w:tcPr>
                <w:p w:rsidR="7667A538" w:rsidP="469A689D" w:rsidRDefault="7667A538" w14:paraId="5728C3CE" w14:textId="77777777">
                  <w:pPr>
                    <w:rPr>
                      <w:b/>
                      <w:bCs/>
                      <w:sz w:val="20"/>
                      <w:szCs w:val="20"/>
                    </w:rPr>
                  </w:pPr>
                  <w:r w:rsidRPr="469A689D">
                    <w:rPr>
                      <w:b/>
                      <w:bCs/>
                      <w:sz w:val="20"/>
                      <w:szCs w:val="20"/>
                    </w:rPr>
                    <w:t>Dist</w:t>
                  </w:r>
                </w:p>
              </w:tc>
            </w:tr>
          </w:tbl>
          <w:p w:rsidRPr="00AB51DD" w:rsidR="469A689D" w:rsidP="3B47BAD9" w:rsidRDefault="21F81072" w14:paraId="1BD79BF3" w14:textId="59B2EEE9">
            <w:pPr>
              <w:spacing w:before="240" w:line="240" w:lineRule="auto"/>
              <w:jc w:val="both"/>
              <w:rPr>
                <w:rFonts w:eastAsia="Arial" w:cs="Arial"/>
                <w:sz w:val="20"/>
                <w:szCs w:val="20"/>
              </w:rPr>
            </w:pPr>
            <w:r w:rsidRPr="00AB51DD">
              <w:rPr>
                <w:rFonts w:eastAsia="Arial" w:cs="Arial"/>
                <w:sz w:val="20"/>
                <w:szCs w:val="20"/>
              </w:rPr>
              <w:t>Our disadvantaged students continue to demonstrate strong academic performance and positive progress across key measures. At KS4, the average GCSE point score for disadvantaged students was 5.4, which, while slightly below their peers (6.1), still reflects solid attainment and a strong foundation for post-16 study. Crucially, 4% of disadvantaged students achieved an A* grade—matching the percentage of non-disadvantaged students, which is a powerful indicator of high achievement and aspiration within the cohort.</w:t>
            </w:r>
          </w:p>
          <w:p w:rsidRPr="00AB51DD" w:rsidR="469A689D" w:rsidP="3B47BAD9" w:rsidRDefault="21F81072" w14:paraId="769AF919" w14:textId="7124BF77">
            <w:pPr>
              <w:spacing w:before="240" w:line="240" w:lineRule="auto"/>
              <w:jc w:val="both"/>
              <w:rPr>
                <w:rFonts w:eastAsia="Arial" w:cs="Arial"/>
                <w:sz w:val="20"/>
                <w:szCs w:val="20"/>
              </w:rPr>
            </w:pPr>
            <w:r w:rsidRPr="00AB51DD">
              <w:rPr>
                <w:rFonts w:eastAsia="Arial" w:cs="Arial"/>
                <w:sz w:val="20"/>
                <w:szCs w:val="20"/>
              </w:rPr>
              <w:lastRenderedPageBreak/>
              <w:t>Value Added data further reinforces this positive picture. Disadvantaged students outperform their peers in both Academic (+0.17 vs +0.11) and Applied General (+0.58 vs +0.34) pathways, demonstrating that they are making more progress than expected and benefitting from the tailored support and inclusive learning environment provided. These outcomes reflect the impact of our strategic interventions and the resilience, ambition, and engagement of our disadvantaged learners.</w:t>
            </w:r>
          </w:p>
          <w:p w:rsidRPr="00AB51DD" w:rsidR="469A689D" w:rsidP="3B47BAD9" w:rsidRDefault="5619CA46" w14:paraId="4414D7E9" w14:textId="4978473F">
            <w:pPr>
              <w:spacing w:before="240" w:line="240" w:lineRule="auto"/>
              <w:jc w:val="both"/>
              <w:rPr>
                <w:rFonts w:eastAsia="Arial" w:cs="Arial"/>
                <w:sz w:val="20"/>
                <w:szCs w:val="20"/>
              </w:rPr>
            </w:pPr>
            <w:r w:rsidRPr="00AB51DD">
              <w:rPr>
                <w:rFonts w:eastAsia="Arial" w:cs="Arial"/>
                <w:sz w:val="20"/>
                <w:szCs w:val="20"/>
              </w:rPr>
              <w:t>Disadvantaged students are making exceptional progress across a range of subjects, as evidenced by Value Added scores that exceed those of their non-disadvantaged peers. In Textiles, Art, Photography, and Geography, disadvantaged learners achieved higher Value Added scores.  Notably, Photography stands out with a Value Added score of +1.68 for disadvantaged students, compared to +0.90 for others, alongside an average grade of A*.</w:t>
            </w:r>
          </w:p>
          <w:p w:rsidRPr="00AB51DD" w:rsidR="469A689D" w:rsidP="3B47BAD9" w:rsidRDefault="5619CA46" w14:paraId="73703927" w14:textId="349A0372">
            <w:pPr>
              <w:spacing w:before="240" w:line="240" w:lineRule="auto"/>
              <w:jc w:val="both"/>
              <w:rPr>
                <w:rFonts w:eastAsia="Arial" w:cs="Arial"/>
                <w:sz w:val="20"/>
                <w:szCs w:val="20"/>
              </w:rPr>
            </w:pPr>
            <w:r w:rsidRPr="00AB51DD">
              <w:rPr>
                <w:rFonts w:eastAsia="Arial" w:cs="Arial"/>
                <w:sz w:val="20"/>
                <w:szCs w:val="20"/>
              </w:rPr>
              <w:t>In Maths, a traditionally challenging subject, disadvantaged students achieved a positive Value</w:t>
            </w:r>
            <w:r w:rsidR="00F270C3">
              <w:rPr>
                <w:rFonts w:eastAsia="Arial" w:cs="Arial"/>
                <w:sz w:val="20"/>
                <w:szCs w:val="20"/>
              </w:rPr>
              <w:t>-</w:t>
            </w:r>
            <w:r w:rsidRPr="00AB51DD">
              <w:rPr>
                <w:rFonts w:eastAsia="Arial" w:cs="Arial"/>
                <w:sz w:val="20"/>
                <w:szCs w:val="20"/>
              </w:rPr>
              <w:t xml:space="preserve"> Added score of +0.43, further demonstrating their ability to make strong progress when provided with the right support and opportunities. These outcomes highlight the positive learning experiences and high aspirations fostered within our school</w:t>
            </w:r>
            <w:r w:rsidR="00AB51DD">
              <w:rPr>
                <w:rFonts w:eastAsia="Arial" w:cs="Arial"/>
                <w:sz w:val="20"/>
                <w:szCs w:val="20"/>
              </w:rPr>
              <w:t xml:space="preserve"> </w:t>
            </w:r>
            <w:r w:rsidRPr="00AB51DD">
              <w:rPr>
                <w:rFonts w:eastAsia="Arial" w:cs="Arial"/>
                <w:sz w:val="20"/>
                <w:szCs w:val="20"/>
              </w:rPr>
              <w:t>and reinforce our commitment to ensuring that disadvantaged students not only catch up—but excel.</w:t>
            </w:r>
          </w:p>
          <w:p w:rsidR="469A689D" w:rsidP="469A689D" w:rsidRDefault="469A689D" w14:paraId="03B2142D" w14:textId="6F3AC9A4">
            <w:pPr>
              <w:spacing w:after="0" w:line="240" w:lineRule="auto"/>
              <w:jc w:val="both"/>
              <w:rPr>
                <w:color w:val="0D0D0D" w:themeColor="text1" w:themeTint="F2"/>
                <w:sz w:val="20"/>
                <w:szCs w:val="20"/>
              </w:rPr>
            </w:pPr>
          </w:p>
          <w:tbl>
            <w:tblPr>
              <w:tblW w:w="0" w:type="auto"/>
              <w:tblLook w:val="04A0" w:firstRow="1" w:lastRow="0" w:firstColumn="1" w:lastColumn="0" w:noHBand="0" w:noVBand="1"/>
            </w:tblPr>
            <w:tblGrid>
              <w:gridCol w:w="2567"/>
              <w:gridCol w:w="972"/>
              <w:gridCol w:w="779"/>
            </w:tblGrid>
            <w:tr w:rsidRPr="00196179" w:rsidR="469A689D" w:rsidTr="00F92FBC" w14:paraId="7152E1AB" w14:textId="77777777">
              <w:trPr>
                <w:trHeight w:val="300"/>
              </w:trPr>
              <w:tc>
                <w:tcPr>
                  <w:tcW w:w="2567" w:type="dxa"/>
                  <w:tcBorders>
                    <w:top w:val="single" w:color="000000" w:themeColor="text1" w:sz="8" w:space="0"/>
                    <w:left w:val="single" w:color="000000" w:themeColor="text1" w:sz="8" w:space="0"/>
                    <w:bottom w:val="single" w:color="000000" w:themeColor="text1" w:sz="4" w:space="0"/>
                    <w:right w:val="single" w:color="000000" w:themeColor="text1" w:sz="4" w:space="0"/>
                  </w:tcBorders>
                  <w:shd w:val="clear" w:color="auto" w:fill="00B0F0"/>
                  <w:vAlign w:val="center"/>
                </w:tcPr>
                <w:p w:rsidRPr="00196179" w:rsidR="05FA5DC8" w:rsidP="469A689D" w:rsidRDefault="05FA5DC8" w14:paraId="457E9C74" w14:textId="77777777">
                  <w:pPr>
                    <w:spacing w:after="0" w:line="240" w:lineRule="auto"/>
                    <w:jc w:val="center"/>
                    <w:rPr>
                      <w:rFonts w:cs="Arial"/>
                      <w:b/>
                      <w:bCs/>
                      <w:color w:val="000000" w:themeColor="text1"/>
                      <w:sz w:val="20"/>
                      <w:szCs w:val="20"/>
                    </w:rPr>
                  </w:pPr>
                  <w:r w:rsidRPr="00196179">
                    <w:rPr>
                      <w:rFonts w:cs="Arial"/>
                      <w:b/>
                      <w:bCs/>
                      <w:color w:val="000000" w:themeColor="text1"/>
                      <w:sz w:val="20"/>
                      <w:szCs w:val="20"/>
                    </w:rPr>
                    <w:t>Destination</w:t>
                  </w:r>
                </w:p>
              </w:tc>
              <w:tc>
                <w:tcPr>
                  <w:tcW w:w="972" w:type="dxa"/>
                  <w:tcBorders>
                    <w:top w:val="single" w:color="000000" w:themeColor="text1" w:sz="8" w:space="0"/>
                    <w:left w:val="single" w:color="000000" w:themeColor="text1" w:sz="4" w:space="0"/>
                    <w:bottom w:val="single" w:color="000000" w:themeColor="text1" w:sz="4" w:space="0"/>
                    <w:right w:val="single" w:color="000000" w:themeColor="text1" w:sz="4" w:space="0"/>
                  </w:tcBorders>
                  <w:shd w:val="clear" w:color="auto" w:fill="00B0F0"/>
                  <w:vAlign w:val="center"/>
                </w:tcPr>
                <w:p w:rsidRPr="00196179" w:rsidR="05FA5DC8" w:rsidP="469A689D" w:rsidRDefault="05FA5DC8" w14:paraId="2544EF06" w14:textId="77777777">
                  <w:pPr>
                    <w:spacing w:after="0" w:line="240" w:lineRule="auto"/>
                    <w:jc w:val="center"/>
                    <w:rPr>
                      <w:rFonts w:cs="Arial"/>
                      <w:b/>
                      <w:bCs/>
                      <w:color w:val="000000" w:themeColor="text1"/>
                      <w:sz w:val="20"/>
                      <w:szCs w:val="20"/>
                    </w:rPr>
                  </w:pPr>
                  <w:r w:rsidRPr="00196179">
                    <w:rPr>
                      <w:rFonts w:cs="Arial"/>
                      <w:b/>
                      <w:bCs/>
                      <w:color w:val="000000" w:themeColor="text1"/>
                      <w:sz w:val="20"/>
                      <w:szCs w:val="20"/>
                    </w:rPr>
                    <w:t>Number</w:t>
                  </w:r>
                </w:p>
              </w:tc>
              <w:tc>
                <w:tcPr>
                  <w:tcW w:w="779" w:type="dxa"/>
                  <w:tcBorders>
                    <w:top w:val="single" w:color="000000" w:themeColor="text1" w:sz="8" w:space="0"/>
                    <w:left w:val="single" w:color="000000" w:themeColor="text1" w:sz="4" w:space="0"/>
                    <w:bottom w:val="single" w:color="000000" w:themeColor="text1" w:sz="4" w:space="0"/>
                    <w:right w:val="single" w:color="000000" w:themeColor="text1" w:sz="4" w:space="0"/>
                  </w:tcBorders>
                  <w:shd w:val="clear" w:color="auto" w:fill="00B0F0"/>
                  <w:vAlign w:val="center"/>
                </w:tcPr>
                <w:p w:rsidRPr="00196179" w:rsidR="05FA5DC8" w:rsidP="469A689D" w:rsidRDefault="05FA5DC8" w14:paraId="60928DB2" w14:textId="77777777">
                  <w:pPr>
                    <w:spacing w:after="0" w:line="240" w:lineRule="auto"/>
                    <w:jc w:val="center"/>
                    <w:rPr>
                      <w:rFonts w:cs="Arial"/>
                      <w:b/>
                      <w:bCs/>
                      <w:color w:val="000000" w:themeColor="text1"/>
                      <w:sz w:val="20"/>
                      <w:szCs w:val="20"/>
                    </w:rPr>
                  </w:pPr>
                  <w:r w:rsidRPr="00196179">
                    <w:rPr>
                      <w:rFonts w:cs="Arial"/>
                      <w:b/>
                      <w:bCs/>
                      <w:color w:val="000000" w:themeColor="text1"/>
                      <w:sz w:val="20"/>
                      <w:szCs w:val="20"/>
                    </w:rPr>
                    <w:t>%</w:t>
                  </w:r>
                </w:p>
              </w:tc>
            </w:tr>
            <w:tr w:rsidRPr="00196179" w:rsidR="469A689D" w:rsidTr="00F92FBC" w14:paraId="639C020E" w14:textId="77777777">
              <w:trPr>
                <w:trHeight w:val="300"/>
              </w:trPr>
              <w:tc>
                <w:tcPr>
                  <w:tcW w:w="2567"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rsidRPr="00196179" w:rsidR="05FA5DC8" w:rsidP="469A689D" w:rsidRDefault="05FA5DC8" w14:paraId="13A84E91" w14:textId="77777777">
                  <w:pPr>
                    <w:spacing w:after="0" w:line="240" w:lineRule="auto"/>
                    <w:rPr>
                      <w:rFonts w:cs="Arial"/>
                      <w:color w:val="000000" w:themeColor="text1"/>
                      <w:sz w:val="20"/>
                      <w:szCs w:val="20"/>
                    </w:rPr>
                  </w:pPr>
                  <w:r w:rsidRPr="00196179">
                    <w:rPr>
                      <w:rFonts w:cs="Arial"/>
                      <w:color w:val="000000" w:themeColor="text1"/>
                      <w:sz w:val="20"/>
                      <w:szCs w:val="20"/>
                    </w:rPr>
                    <w:t>University/HE College</w:t>
                  </w:r>
                </w:p>
              </w:tc>
              <w:tc>
                <w:tcPr>
                  <w:tcW w:w="9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196179" w:rsidR="05FA5DC8" w:rsidP="469A689D" w:rsidRDefault="05FA5DC8" w14:paraId="3ADAC474" w14:textId="77777777">
                  <w:pPr>
                    <w:spacing w:after="0" w:line="240" w:lineRule="auto"/>
                    <w:jc w:val="center"/>
                    <w:rPr>
                      <w:rFonts w:cs="Arial"/>
                      <w:color w:val="444444"/>
                      <w:sz w:val="20"/>
                      <w:szCs w:val="20"/>
                    </w:rPr>
                  </w:pPr>
                  <w:r w:rsidRPr="00196179">
                    <w:rPr>
                      <w:rFonts w:cs="Arial"/>
                      <w:color w:val="444444"/>
                      <w:sz w:val="20"/>
                      <w:szCs w:val="20"/>
                    </w:rPr>
                    <w:t>8</w:t>
                  </w:r>
                </w:p>
              </w:tc>
              <w:tc>
                <w:tcPr>
                  <w:tcW w:w="7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05FA5DC8" w:rsidP="469A689D" w:rsidRDefault="05FA5DC8" w14:paraId="75AF5D52" w14:textId="77777777">
                  <w:pPr>
                    <w:spacing w:after="0" w:line="240" w:lineRule="auto"/>
                    <w:jc w:val="center"/>
                    <w:rPr>
                      <w:rFonts w:cs="Arial"/>
                      <w:color w:val="000000" w:themeColor="text1"/>
                      <w:sz w:val="20"/>
                      <w:szCs w:val="20"/>
                    </w:rPr>
                  </w:pPr>
                  <w:r w:rsidRPr="00196179">
                    <w:rPr>
                      <w:rFonts w:cs="Arial"/>
                      <w:color w:val="000000" w:themeColor="text1"/>
                      <w:sz w:val="20"/>
                      <w:szCs w:val="20"/>
                    </w:rPr>
                    <w:t>73%</w:t>
                  </w:r>
                </w:p>
              </w:tc>
            </w:tr>
            <w:tr w:rsidRPr="00196179" w:rsidR="469A689D" w:rsidTr="00F92FBC" w14:paraId="167230E1" w14:textId="77777777">
              <w:trPr>
                <w:trHeight w:val="300"/>
              </w:trPr>
              <w:tc>
                <w:tcPr>
                  <w:tcW w:w="2567"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rsidRPr="00196179" w:rsidR="05FA5DC8" w:rsidP="469A689D" w:rsidRDefault="05FA5DC8" w14:paraId="7307C93F" w14:textId="77777777">
                  <w:pPr>
                    <w:spacing w:after="0" w:line="240" w:lineRule="auto"/>
                    <w:rPr>
                      <w:rFonts w:cs="Arial"/>
                      <w:color w:val="000000" w:themeColor="text1"/>
                      <w:sz w:val="20"/>
                      <w:szCs w:val="20"/>
                    </w:rPr>
                  </w:pPr>
                  <w:r w:rsidRPr="00196179">
                    <w:rPr>
                      <w:rFonts w:cs="Arial"/>
                      <w:color w:val="000000" w:themeColor="text1"/>
                      <w:sz w:val="20"/>
                      <w:szCs w:val="20"/>
                    </w:rPr>
                    <w:t>Apprenticeship</w:t>
                  </w:r>
                </w:p>
              </w:tc>
              <w:tc>
                <w:tcPr>
                  <w:tcW w:w="9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196179" w:rsidR="05FA5DC8" w:rsidP="469A689D" w:rsidRDefault="05FA5DC8" w14:paraId="0CC060E3" w14:textId="77777777">
                  <w:pPr>
                    <w:spacing w:after="0" w:line="240" w:lineRule="auto"/>
                    <w:jc w:val="center"/>
                    <w:rPr>
                      <w:rFonts w:cs="Arial"/>
                      <w:color w:val="444444"/>
                      <w:sz w:val="20"/>
                      <w:szCs w:val="20"/>
                    </w:rPr>
                  </w:pPr>
                  <w:r w:rsidRPr="00196179">
                    <w:rPr>
                      <w:rFonts w:cs="Arial"/>
                      <w:color w:val="444444"/>
                      <w:sz w:val="20"/>
                      <w:szCs w:val="20"/>
                    </w:rPr>
                    <w:t>1</w:t>
                  </w:r>
                </w:p>
              </w:tc>
              <w:tc>
                <w:tcPr>
                  <w:tcW w:w="7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05FA5DC8" w:rsidP="469A689D" w:rsidRDefault="05FA5DC8" w14:paraId="4B51A6A0" w14:textId="77777777">
                  <w:pPr>
                    <w:spacing w:after="0" w:line="240" w:lineRule="auto"/>
                    <w:jc w:val="center"/>
                    <w:rPr>
                      <w:rFonts w:cs="Arial"/>
                      <w:color w:val="000000" w:themeColor="text1"/>
                      <w:sz w:val="20"/>
                      <w:szCs w:val="20"/>
                    </w:rPr>
                  </w:pPr>
                  <w:r w:rsidRPr="00196179">
                    <w:rPr>
                      <w:rFonts w:cs="Arial"/>
                      <w:color w:val="000000" w:themeColor="text1"/>
                      <w:sz w:val="20"/>
                      <w:szCs w:val="20"/>
                    </w:rPr>
                    <w:t>9%</w:t>
                  </w:r>
                </w:p>
              </w:tc>
            </w:tr>
            <w:tr w:rsidRPr="00196179" w:rsidR="469A689D" w:rsidTr="00F92FBC" w14:paraId="6893D4C7" w14:textId="77777777">
              <w:trPr>
                <w:trHeight w:val="300"/>
              </w:trPr>
              <w:tc>
                <w:tcPr>
                  <w:tcW w:w="2567"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rsidRPr="00196179" w:rsidR="05FA5DC8" w:rsidP="469A689D" w:rsidRDefault="05FA5DC8" w14:paraId="35C9D8AB" w14:textId="77777777">
                  <w:pPr>
                    <w:spacing w:after="0" w:line="240" w:lineRule="auto"/>
                    <w:rPr>
                      <w:rFonts w:cs="Arial"/>
                      <w:color w:val="000000" w:themeColor="text1"/>
                      <w:sz w:val="20"/>
                      <w:szCs w:val="20"/>
                    </w:rPr>
                  </w:pPr>
                  <w:r w:rsidRPr="00196179">
                    <w:rPr>
                      <w:rFonts w:cs="Arial"/>
                      <w:color w:val="000000" w:themeColor="text1"/>
                      <w:sz w:val="20"/>
                      <w:szCs w:val="20"/>
                    </w:rPr>
                    <w:t>Employment</w:t>
                  </w:r>
                </w:p>
              </w:tc>
              <w:tc>
                <w:tcPr>
                  <w:tcW w:w="9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196179" w:rsidR="05FA5DC8" w:rsidP="469A689D" w:rsidRDefault="05FA5DC8" w14:paraId="1B89E30D" w14:textId="77777777">
                  <w:pPr>
                    <w:spacing w:after="0" w:line="240" w:lineRule="auto"/>
                    <w:jc w:val="center"/>
                    <w:rPr>
                      <w:rFonts w:cs="Arial"/>
                      <w:color w:val="444444"/>
                      <w:sz w:val="20"/>
                      <w:szCs w:val="20"/>
                    </w:rPr>
                  </w:pPr>
                  <w:r w:rsidRPr="00196179">
                    <w:rPr>
                      <w:rFonts w:cs="Arial"/>
                      <w:color w:val="444444"/>
                      <w:sz w:val="20"/>
                      <w:szCs w:val="20"/>
                    </w:rPr>
                    <w:t>1</w:t>
                  </w:r>
                </w:p>
              </w:tc>
              <w:tc>
                <w:tcPr>
                  <w:tcW w:w="7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05FA5DC8" w:rsidP="469A689D" w:rsidRDefault="05FA5DC8" w14:paraId="13D835C7" w14:textId="77777777">
                  <w:pPr>
                    <w:spacing w:after="0" w:line="240" w:lineRule="auto"/>
                    <w:jc w:val="center"/>
                    <w:rPr>
                      <w:rFonts w:cs="Arial"/>
                      <w:color w:val="000000" w:themeColor="text1"/>
                      <w:sz w:val="20"/>
                      <w:szCs w:val="20"/>
                    </w:rPr>
                  </w:pPr>
                  <w:r w:rsidRPr="00196179">
                    <w:rPr>
                      <w:rFonts w:cs="Arial"/>
                      <w:color w:val="000000" w:themeColor="text1"/>
                      <w:sz w:val="20"/>
                      <w:szCs w:val="20"/>
                    </w:rPr>
                    <w:t>9%</w:t>
                  </w:r>
                </w:p>
              </w:tc>
            </w:tr>
            <w:tr w:rsidRPr="00196179" w:rsidR="469A689D" w:rsidTr="00F92FBC" w14:paraId="00902A89" w14:textId="77777777">
              <w:trPr>
                <w:trHeight w:val="300"/>
              </w:trPr>
              <w:tc>
                <w:tcPr>
                  <w:tcW w:w="2567"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rsidRPr="00196179" w:rsidR="05FA5DC8" w:rsidP="469A689D" w:rsidRDefault="05FA5DC8" w14:paraId="0A56CD0F" w14:textId="77777777">
                  <w:pPr>
                    <w:spacing w:after="0" w:line="240" w:lineRule="auto"/>
                    <w:rPr>
                      <w:rFonts w:cs="Arial"/>
                      <w:color w:val="000000" w:themeColor="text1"/>
                      <w:sz w:val="20"/>
                      <w:szCs w:val="20"/>
                    </w:rPr>
                  </w:pPr>
                  <w:r w:rsidRPr="00196179">
                    <w:rPr>
                      <w:rFonts w:cs="Arial"/>
                      <w:color w:val="000000" w:themeColor="text1"/>
                      <w:sz w:val="20"/>
                      <w:szCs w:val="20"/>
                    </w:rPr>
                    <w:t>Unsure</w:t>
                  </w:r>
                </w:p>
              </w:tc>
              <w:tc>
                <w:tcPr>
                  <w:tcW w:w="972" w:type="dxa"/>
                  <w:tcBorders>
                    <w:top w:val="nil"/>
                    <w:left w:val="nil"/>
                    <w:bottom w:val="nil"/>
                    <w:right w:val="nil"/>
                  </w:tcBorders>
                  <w:vAlign w:val="bottom"/>
                </w:tcPr>
                <w:p w:rsidRPr="00196179" w:rsidR="05FA5DC8" w:rsidP="469A689D" w:rsidRDefault="05FA5DC8" w14:paraId="3F05681B" w14:textId="77777777">
                  <w:pPr>
                    <w:spacing w:after="0" w:line="240" w:lineRule="auto"/>
                    <w:jc w:val="center"/>
                    <w:rPr>
                      <w:rFonts w:cs="Arial"/>
                      <w:color w:val="444444"/>
                      <w:sz w:val="20"/>
                      <w:szCs w:val="20"/>
                    </w:rPr>
                  </w:pPr>
                  <w:r w:rsidRPr="00196179">
                    <w:rPr>
                      <w:rFonts w:cs="Arial"/>
                      <w:color w:val="444444"/>
                      <w:sz w:val="20"/>
                      <w:szCs w:val="20"/>
                    </w:rPr>
                    <w:t>0</w:t>
                  </w:r>
                </w:p>
              </w:tc>
              <w:tc>
                <w:tcPr>
                  <w:tcW w:w="7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05FA5DC8" w:rsidP="469A689D" w:rsidRDefault="05FA5DC8" w14:paraId="4D779B5D" w14:textId="77777777">
                  <w:pPr>
                    <w:spacing w:after="0" w:line="240" w:lineRule="auto"/>
                    <w:jc w:val="center"/>
                    <w:rPr>
                      <w:rFonts w:cs="Arial"/>
                      <w:color w:val="000000" w:themeColor="text1"/>
                      <w:sz w:val="20"/>
                      <w:szCs w:val="20"/>
                    </w:rPr>
                  </w:pPr>
                  <w:r w:rsidRPr="00196179">
                    <w:rPr>
                      <w:rFonts w:cs="Arial"/>
                      <w:color w:val="000000" w:themeColor="text1"/>
                      <w:sz w:val="20"/>
                      <w:szCs w:val="20"/>
                    </w:rPr>
                    <w:t>0%</w:t>
                  </w:r>
                </w:p>
              </w:tc>
            </w:tr>
            <w:tr w:rsidRPr="00196179" w:rsidR="469A689D" w:rsidTr="00F92FBC" w14:paraId="25C1A6BA" w14:textId="77777777">
              <w:trPr>
                <w:trHeight w:val="300"/>
              </w:trPr>
              <w:tc>
                <w:tcPr>
                  <w:tcW w:w="2567"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rsidRPr="00196179" w:rsidR="05FA5DC8" w:rsidP="469A689D" w:rsidRDefault="05FA5DC8" w14:paraId="35BC84E4" w14:textId="77777777">
                  <w:pPr>
                    <w:spacing w:after="0" w:line="240" w:lineRule="auto"/>
                    <w:rPr>
                      <w:rFonts w:cs="Arial"/>
                      <w:color w:val="000000" w:themeColor="text1"/>
                      <w:sz w:val="20"/>
                      <w:szCs w:val="20"/>
                    </w:rPr>
                  </w:pPr>
                  <w:r w:rsidRPr="00196179">
                    <w:rPr>
                      <w:rFonts w:cs="Arial"/>
                      <w:color w:val="000000" w:themeColor="text1"/>
                      <w:sz w:val="20"/>
                      <w:szCs w:val="20"/>
                    </w:rPr>
                    <w:t>Other*</w:t>
                  </w:r>
                </w:p>
              </w:tc>
              <w:tc>
                <w:tcPr>
                  <w:tcW w:w="9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05FA5DC8" w:rsidP="469A689D" w:rsidRDefault="05FA5DC8" w14:paraId="1C42DE5F" w14:textId="77777777">
                  <w:pPr>
                    <w:spacing w:after="0" w:line="240" w:lineRule="auto"/>
                    <w:jc w:val="center"/>
                    <w:rPr>
                      <w:rFonts w:cs="Arial"/>
                      <w:color w:val="000000" w:themeColor="text1"/>
                      <w:sz w:val="20"/>
                      <w:szCs w:val="20"/>
                    </w:rPr>
                  </w:pPr>
                  <w:r w:rsidRPr="00196179">
                    <w:rPr>
                      <w:rFonts w:cs="Arial"/>
                      <w:color w:val="000000" w:themeColor="text1"/>
                      <w:sz w:val="20"/>
                      <w:szCs w:val="20"/>
                    </w:rPr>
                    <w:t>1</w:t>
                  </w:r>
                </w:p>
              </w:tc>
              <w:tc>
                <w:tcPr>
                  <w:tcW w:w="7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05FA5DC8" w:rsidP="469A689D" w:rsidRDefault="05FA5DC8" w14:paraId="4C59A2A6" w14:textId="77777777">
                  <w:pPr>
                    <w:spacing w:after="0" w:line="240" w:lineRule="auto"/>
                    <w:jc w:val="center"/>
                    <w:rPr>
                      <w:rFonts w:cs="Arial"/>
                      <w:color w:val="000000" w:themeColor="text1"/>
                      <w:sz w:val="20"/>
                      <w:szCs w:val="20"/>
                    </w:rPr>
                  </w:pPr>
                  <w:r w:rsidRPr="00196179">
                    <w:rPr>
                      <w:rFonts w:cs="Arial"/>
                      <w:color w:val="000000" w:themeColor="text1"/>
                      <w:sz w:val="20"/>
                      <w:szCs w:val="20"/>
                    </w:rPr>
                    <w:t>9%</w:t>
                  </w:r>
                </w:p>
              </w:tc>
            </w:tr>
            <w:tr w:rsidRPr="00196179" w:rsidR="469A689D" w:rsidTr="00F92FBC" w14:paraId="50E9C76A" w14:textId="77777777">
              <w:trPr>
                <w:trHeight w:val="300"/>
              </w:trPr>
              <w:tc>
                <w:tcPr>
                  <w:tcW w:w="2567"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rsidRPr="00196179" w:rsidR="05FA5DC8" w:rsidP="469A689D" w:rsidRDefault="05FA5DC8" w14:paraId="1126010B" w14:textId="77777777">
                  <w:pPr>
                    <w:spacing w:after="0" w:line="240" w:lineRule="auto"/>
                    <w:rPr>
                      <w:rFonts w:cs="Arial"/>
                      <w:b/>
                      <w:bCs/>
                      <w:color w:val="FF0000"/>
                      <w:sz w:val="20"/>
                      <w:szCs w:val="20"/>
                    </w:rPr>
                  </w:pPr>
                  <w:r w:rsidRPr="00196179">
                    <w:rPr>
                      <w:rFonts w:cs="Arial"/>
                      <w:b/>
                      <w:bCs/>
                      <w:color w:val="FF0000"/>
                      <w:sz w:val="20"/>
                      <w:szCs w:val="20"/>
                    </w:rPr>
                    <w:t>NEET</w:t>
                  </w:r>
                </w:p>
              </w:tc>
              <w:tc>
                <w:tcPr>
                  <w:tcW w:w="9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469A689D" w:rsidP="469A689D" w:rsidRDefault="469A689D" w14:paraId="7A02C3CE" w14:textId="77777777">
                  <w:pPr>
                    <w:spacing w:after="0" w:line="240" w:lineRule="auto"/>
                    <w:rPr>
                      <w:rFonts w:cs="Arial"/>
                      <w:b/>
                      <w:bCs/>
                      <w:color w:val="FF0000"/>
                      <w:sz w:val="20"/>
                      <w:szCs w:val="20"/>
                    </w:rPr>
                  </w:pPr>
                </w:p>
              </w:tc>
              <w:tc>
                <w:tcPr>
                  <w:tcW w:w="7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05FA5DC8" w:rsidP="469A689D" w:rsidRDefault="05FA5DC8" w14:paraId="571EBA9C" w14:textId="77777777">
                  <w:pPr>
                    <w:spacing w:after="0" w:line="240" w:lineRule="auto"/>
                    <w:jc w:val="center"/>
                    <w:rPr>
                      <w:rFonts w:cs="Arial"/>
                      <w:color w:val="000000" w:themeColor="text1"/>
                      <w:sz w:val="20"/>
                      <w:szCs w:val="20"/>
                    </w:rPr>
                  </w:pPr>
                  <w:r w:rsidRPr="00196179">
                    <w:rPr>
                      <w:rFonts w:cs="Arial"/>
                      <w:color w:val="000000" w:themeColor="text1"/>
                      <w:sz w:val="20"/>
                      <w:szCs w:val="20"/>
                    </w:rPr>
                    <w:t>0%</w:t>
                  </w:r>
                </w:p>
              </w:tc>
            </w:tr>
            <w:tr w:rsidRPr="00196179" w:rsidR="469A689D" w:rsidTr="00F92FBC" w14:paraId="17A3C58F" w14:textId="77777777">
              <w:trPr>
                <w:trHeight w:val="300"/>
              </w:trPr>
              <w:tc>
                <w:tcPr>
                  <w:tcW w:w="2567" w:type="dxa"/>
                  <w:tcBorders>
                    <w:top w:val="single" w:color="000000" w:themeColor="text1" w:sz="4" w:space="0"/>
                    <w:left w:val="single" w:color="000000" w:themeColor="text1" w:sz="8" w:space="0"/>
                    <w:bottom w:val="single" w:color="000000" w:themeColor="text1" w:sz="8" w:space="0"/>
                    <w:right w:val="single" w:color="000000" w:themeColor="text1" w:sz="4" w:space="0"/>
                  </w:tcBorders>
                  <w:vAlign w:val="center"/>
                </w:tcPr>
                <w:p w:rsidRPr="00196179" w:rsidR="05FA5DC8" w:rsidP="469A689D" w:rsidRDefault="05FA5DC8" w14:paraId="3394180F" w14:textId="77777777">
                  <w:pPr>
                    <w:spacing w:after="0" w:line="240" w:lineRule="auto"/>
                    <w:rPr>
                      <w:rFonts w:cs="Arial"/>
                      <w:color w:val="000000" w:themeColor="text1"/>
                      <w:sz w:val="20"/>
                      <w:szCs w:val="20"/>
                    </w:rPr>
                  </w:pPr>
                  <w:r w:rsidRPr="00196179">
                    <w:rPr>
                      <w:rFonts w:cs="Arial"/>
                      <w:color w:val="000000" w:themeColor="text1"/>
                      <w:sz w:val="20"/>
                      <w:szCs w:val="20"/>
                    </w:rPr>
                    <w:t>Total</w:t>
                  </w:r>
                </w:p>
              </w:tc>
              <w:tc>
                <w:tcPr>
                  <w:tcW w:w="972" w:type="dxa"/>
                  <w:tcBorders>
                    <w:top w:val="single" w:color="000000" w:themeColor="text1" w:sz="4" w:space="0"/>
                    <w:left w:val="single" w:color="000000" w:themeColor="text1" w:sz="4" w:space="0"/>
                    <w:bottom w:val="single" w:color="000000" w:themeColor="text1" w:sz="8" w:space="0"/>
                    <w:right w:val="single" w:color="000000" w:themeColor="text1" w:sz="4" w:space="0"/>
                  </w:tcBorders>
                  <w:vAlign w:val="center"/>
                </w:tcPr>
                <w:p w:rsidRPr="00196179" w:rsidR="05FA5DC8" w:rsidP="469A689D" w:rsidRDefault="05FA5DC8" w14:paraId="536BB62A" w14:textId="77777777">
                  <w:pPr>
                    <w:spacing w:after="0" w:line="240" w:lineRule="auto"/>
                    <w:jc w:val="center"/>
                    <w:rPr>
                      <w:rFonts w:cs="Arial"/>
                      <w:color w:val="000000" w:themeColor="text1"/>
                      <w:sz w:val="20"/>
                      <w:szCs w:val="20"/>
                    </w:rPr>
                  </w:pPr>
                  <w:r w:rsidRPr="00196179">
                    <w:rPr>
                      <w:rFonts w:cs="Arial"/>
                      <w:color w:val="000000" w:themeColor="text1"/>
                      <w:sz w:val="20"/>
                      <w:szCs w:val="20"/>
                    </w:rPr>
                    <w:t>11</w:t>
                  </w:r>
                </w:p>
              </w:tc>
              <w:tc>
                <w:tcPr>
                  <w:tcW w:w="779" w:type="dxa"/>
                  <w:tcBorders>
                    <w:top w:val="single" w:color="000000" w:themeColor="text1" w:sz="4" w:space="0"/>
                    <w:left w:val="single" w:color="000000" w:themeColor="text1" w:sz="4" w:space="0"/>
                    <w:bottom w:val="single" w:color="000000" w:themeColor="text1" w:sz="8" w:space="0"/>
                    <w:right w:val="single" w:color="000000" w:themeColor="text1" w:sz="4" w:space="0"/>
                  </w:tcBorders>
                  <w:vAlign w:val="center"/>
                </w:tcPr>
                <w:p w:rsidRPr="00196179" w:rsidR="05FA5DC8" w:rsidP="469A689D" w:rsidRDefault="05FA5DC8" w14:paraId="6638445E" w14:textId="77777777">
                  <w:pPr>
                    <w:spacing w:after="0" w:line="240" w:lineRule="auto"/>
                    <w:jc w:val="center"/>
                    <w:rPr>
                      <w:rFonts w:cs="Arial"/>
                      <w:color w:val="000000" w:themeColor="text1"/>
                      <w:sz w:val="20"/>
                      <w:szCs w:val="20"/>
                    </w:rPr>
                  </w:pPr>
                  <w:r w:rsidRPr="00196179">
                    <w:rPr>
                      <w:rFonts w:cs="Arial"/>
                      <w:color w:val="000000" w:themeColor="text1"/>
                      <w:sz w:val="20"/>
                      <w:szCs w:val="20"/>
                    </w:rPr>
                    <w:t>100%</w:t>
                  </w:r>
                </w:p>
              </w:tc>
            </w:tr>
            <w:tr w:rsidRPr="00196179" w:rsidR="469A689D" w:rsidTr="00F92FBC" w14:paraId="1380EC1A" w14:textId="77777777">
              <w:trPr>
                <w:trHeight w:val="300"/>
              </w:trPr>
              <w:tc>
                <w:tcPr>
                  <w:tcW w:w="2567" w:type="dxa"/>
                  <w:tcBorders>
                    <w:top w:val="nil"/>
                    <w:left w:val="nil"/>
                    <w:bottom w:val="nil"/>
                    <w:right w:val="nil"/>
                  </w:tcBorders>
                  <w:vAlign w:val="center"/>
                </w:tcPr>
                <w:p w:rsidRPr="00196179" w:rsidR="469A689D" w:rsidP="469A689D" w:rsidRDefault="469A689D" w14:paraId="00DEB8A6" w14:textId="77777777">
                  <w:pPr>
                    <w:spacing w:after="0" w:line="240" w:lineRule="auto"/>
                    <w:jc w:val="center"/>
                    <w:rPr>
                      <w:rFonts w:cs="Arial"/>
                      <w:color w:val="000000" w:themeColor="text1"/>
                      <w:sz w:val="20"/>
                      <w:szCs w:val="20"/>
                    </w:rPr>
                  </w:pPr>
                </w:p>
              </w:tc>
              <w:tc>
                <w:tcPr>
                  <w:tcW w:w="972" w:type="dxa"/>
                  <w:tcBorders>
                    <w:top w:val="nil"/>
                    <w:left w:val="nil"/>
                    <w:bottom w:val="nil"/>
                    <w:right w:val="nil"/>
                  </w:tcBorders>
                  <w:vAlign w:val="center"/>
                </w:tcPr>
                <w:p w:rsidRPr="00196179" w:rsidR="469A689D" w:rsidP="469A689D" w:rsidRDefault="469A689D" w14:paraId="7B5E6688" w14:textId="77777777">
                  <w:pPr>
                    <w:spacing w:after="0" w:line="240" w:lineRule="auto"/>
                    <w:jc w:val="center"/>
                    <w:rPr>
                      <w:rFonts w:cs="Arial"/>
                      <w:color w:val="auto"/>
                      <w:sz w:val="20"/>
                      <w:szCs w:val="20"/>
                    </w:rPr>
                  </w:pPr>
                </w:p>
              </w:tc>
              <w:tc>
                <w:tcPr>
                  <w:tcW w:w="779" w:type="dxa"/>
                  <w:tcBorders>
                    <w:top w:val="nil"/>
                    <w:left w:val="nil"/>
                    <w:bottom w:val="nil"/>
                    <w:right w:val="nil"/>
                  </w:tcBorders>
                  <w:vAlign w:val="center"/>
                </w:tcPr>
                <w:p w:rsidRPr="00196179" w:rsidR="469A689D" w:rsidP="469A689D" w:rsidRDefault="469A689D" w14:paraId="6F907261" w14:textId="77777777">
                  <w:pPr>
                    <w:spacing w:after="0" w:line="240" w:lineRule="auto"/>
                    <w:jc w:val="center"/>
                    <w:rPr>
                      <w:rFonts w:cs="Arial"/>
                      <w:color w:val="auto"/>
                      <w:sz w:val="20"/>
                      <w:szCs w:val="20"/>
                    </w:rPr>
                  </w:pPr>
                </w:p>
              </w:tc>
            </w:tr>
            <w:tr w:rsidRPr="00196179" w:rsidR="469A689D" w:rsidTr="00F92FBC" w14:paraId="26E76312" w14:textId="77777777">
              <w:trPr>
                <w:trHeight w:val="300"/>
              </w:trPr>
              <w:tc>
                <w:tcPr>
                  <w:tcW w:w="2567" w:type="dxa"/>
                  <w:tcBorders>
                    <w:top w:val="single" w:color="000000" w:themeColor="text1" w:sz="8" w:space="0"/>
                    <w:left w:val="single" w:color="000000" w:themeColor="text1" w:sz="8" w:space="0"/>
                    <w:bottom w:val="single" w:color="000000" w:themeColor="text1" w:sz="4" w:space="0"/>
                    <w:right w:val="single" w:color="000000" w:themeColor="text1" w:sz="4" w:space="0"/>
                  </w:tcBorders>
                  <w:shd w:val="clear" w:color="auto" w:fill="00B0F0"/>
                  <w:vAlign w:val="center"/>
                </w:tcPr>
                <w:p w:rsidRPr="00196179" w:rsidR="05FA5DC8" w:rsidP="469A689D" w:rsidRDefault="05FA5DC8" w14:paraId="53EE5478" w14:textId="77777777">
                  <w:pPr>
                    <w:spacing w:after="0" w:line="240" w:lineRule="auto"/>
                    <w:jc w:val="center"/>
                    <w:rPr>
                      <w:rFonts w:cs="Arial"/>
                      <w:b/>
                      <w:bCs/>
                      <w:color w:val="000000" w:themeColor="text1"/>
                      <w:sz w:val="20"/>
                      <w:szCs w:val="20"/>
                    </w:rPr>
                  </w:pPr>
                  <w:r w:rsidRPr="00196179">
                    <w:rPr>
                      <w:rFonts w:cs="Arial"/>
                      <w:b/>
                      <w:bCs/>
                      <w:color w:val="000000" w:themeColor="text1"/>
                      <w:sz w:val="20"/>
                      <w:szCs w:val="20"/>
                    </w:rPr>
                    <w:t>University</w:t>
                  </w:r>
                </w:p>
              </w:tc>
              <w:tc>
                <w:tcPr>
                  <w:tcW w:w="972" w:type="dxa"/>
                  <w:tcBorders>
                    <w:top w:val="single" w:color="000000" w:themeColor="text1" w:sz="8" w:space="0"/>
                    <w:left w:val="single" w:color="000000" w:themeColor="text1" w:sz="4" w:space="0"/>
                    <w:bottom w:val="single" w:color="000000" w:themeColor="text1" w:sz="4" w:space="0"/>
                    <w:right w:val="single" w:color="000000" w:themeColor="text1" w:sz="4" w:space="0"/>
                  </w:tcBorders>
                  <w:shd w:val="clear" w:color="auto" w:fill="00B0F0"/>
                  <w:vAlign w:val="center"/>
                </w:tcPr>
                <w:p w:rsidRPr="00196179" w:rsidR="05FA5DC8" w:rsidP="469A689D" w:rsidRDefault="05FA5DC8" w14:paraId="792B742E" w14:textId="77777777">
                  <w:pPr>
                    <w:spacing w:after="0" w:line="240" w:lineRule="auto"/>
                    <w:jc w:val="center"/>
                    <w:rPr>
                      <w:rFonts w:cs="Arial"/>
                      <w:b/>
                      <w:bCs/>
                      <w:color w:val="000000" w:themeColor="text1"/>
                      <w:sz w:val="20"/>
                      <w:szCs w:val="20"/>
                    </w:rPr>
                  </w:pPr>
                  <w:r w:rsidRPr="00196179">
                    <w:rPr>
                      <w:rFonts w:cs="Arial"/>
                      <w:b/>
                      <w:bCs/>
                      <w:color w:val="000000" w:themeColor="text1"/>
                      <w:sz w:val="20"/>
                      <w:szCs w:val="20"/>
                    </w:rPr>
                    <w:t>Number</w:t>
                  </w:r>
                </w:p>
              </w:tc>
              <w:tc>
                <w:tcPr>
                  <w:tcW w:w="779" w:type="dxa"/>
                  <w:tcBorders>
                    <w:top w:val="single" w:color="000000" w:themeColor="text1" w:sz="8" w:space="0"/>
                    <w:left w:val="single" w:color="000000" w:themeColor="text1" w:sz="4" w:space="0"/>
                    <w:bottom w:val="single" w:color="000000" w:themeColor="text1" w:sz="4" w:space="0"/>
                    <w:right w:val="single" w:color="000000" w:themeColor="text1" w:sz="4" w:space="0"/>
                  </w:tcBorders>
                  <w:shd w:val="clear" w:color="auto" w:fill="00B0F0"/>
                  <w:vAlign w:val="center"/>
                </w:tcPr>
                <w:p w:rsidRPr="00196179" w:rsidR="05FA5DC8" w:rsidP="469A689D" w:rsidRDefault="05FA5DC8" w14:paraId="1314FAD4" w14:textId="77777777">
                  <w:pPr>
                    <w:spacing w:after="0" w:line="240" w:lineRule="auto"/>
                    <w:jc w:val="center"/>
                    <w:rPr>
                      <w:rFonts w:cs="Arial"/>
                      <w:b/>
                      <w:bCs/>
                      <w:color w:val="000000" w:themeColor="text1"/>
                      <w:sz w:val="20"/>
                      <w:szCs w:val="20"/>
                    </w:rPr>
                  </w:pPr>
                  <w:r w:rsidRPr="00196179">
                    <w:rPr>
                      <w:rFonts w:cs="Arial"/>
                      <w:b/>
                      <w:bCs/>
                      <w:color w:val="000000" w:themeColor="text1"/>
                      <w:sz w:val="20"/>
                      <w:szCs w:val="20"/>
                    </w:rPr>
                    <w:t>%</w:t>
                  </w:r>
                </w:p>
              </w:tc>
            </w:tr>
            <w:tr w:rsidRPr="00196179" w:rsidR="469A689D" w:rsidTr="00F92FBC" w14:paraId="4EF4C298" w14:textId="77777777">
              <w:trPr>
                <w:trHeight w:val="300"/>
              </w:trPr>
              <w:tc>
                <w:tcPr>
                  <w:tcW w:w="2567" w:type="dxa"/>
                  <w:tcBorders>
                    <w:top w:val="single" w:color="000000" w:themeColor="text1" w:sz="4" w:space="0"/>
                    <w:left w:val="single" w:color="000000" w:themeColor="text1" w:sz="8" w:space="0"/>
                    <w:bottom w:val="single" w:color="000000" w:themeColor="text1" w:sz="4" w:space="0"/>
                    <w:right w:val="single" w:color="000000" w:themeColor="text1" w:sz="4" w:space="0"/>
                  </w:tcBorders>
                  <w:vAlign w:val="center"/>
                </w:tcPr>
                <w:p w:rsidRPr="00196179" w:rsidR="05FA5DC8" w:rsidP="469A689D" w:rsidRDefault="05FA5DC8" w14:paraId="15D06B07" w14:textId="77777777">
                  <w:pPr>
                    <w:spacing w:after="0" w:line="240" w:lineRule="auto"/>
                    <w:jc w:val="center"/>
                    <w:rPr>
                      <w:rFonts w:cs="Arial"/>
                      <w:color w:val="000000" w:themeColor="text1"/>
                      <w:sz w:val="20"/>
                      <w:szCs w:val="20"/>
                    </w:rPr>
                  </w:pPr>
                  <w:r w:rsidRPr="00196179">
                    <w:rPr>
                      <w:rFonts w:cs="Arial"/>
                      <w:color w:val="000000" w:themeColor="text1"/>
                      <w:sz w:val="20"/>
                      <w:szCs w:val="20"/>
                    </w:rPr>
                    <w:t>RG</w:t>
                  </w:r>
                </w:p>
              </w:tc>
              <w:tc>
                <w:tcPr>
                  <w:tcW w:w="9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05FA5DC8" w:rsidP="469A689D" w:rsidRDefault="05FA5DC8" w14:paraId="77A6BBF0" w14:textId="77777777">
                  <w:pPr>
                    <w:spacing w:after="0" w:line="240" w:lineRule="auto"/>
                    <w:jc w:val="center"/>
                    <w:rPr>
                      <w:rFonts w:cs="Arial"/>
                      <w:color w:val="000000" w:themeColor="text1"/>
                      <w:sz w:val="20"/>
                      <w:szCs w:val="20"/>
                    </w:rPr>
                  </w:pPr>
                  <w:r w:rsidRPr="00196179">
                    <w:rPr>
                      <w:rFonts w:cs="Arial"/>
                      <w:color w:val="000000" w:themeColor="text1"/>
                      <w:sz w:val="20"/>
                      <w:szCs w:val="20"/>
                    </w:rPr>
                    <w:t>2</w:t>
                  </w:r>
                </w:p>
              </w:tc>
              <w:tc>
                <w:tcPr>
                  <w:tcW w:w="77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96179" w:rsidR="05FA5DC8" w:rsidP="469A689D" w:rsidRDefault="05FA5DC8" w14:paraId="5284E291" w14:textId="77777777">
                  <w:pPr>
                    <w:spacing w:after="0" w:line="240" w:lineRule="auto"/>
                    <w:jc w:val="center"/>
                    <w:rPr>
                      <w:rFonts w:cs="Arial"/>
                      <w:color w:val="000000" w:themeColor="text1"/>
                      <w:sz w:val="20"/>
                      <w:szCs w:val="20"/>
                    </w:rPr>
                  </w:pPr>
                  <w:r w:rsidRPr="00196179">
                    <w:rPr>
                      <w:rFonts w:cs="Arial"/>
                      <w:color w:val="000000" w:themeColor="text1"/>
                      <w:sz w:val="20"/>
                      <w:szCs w:val="20"/>
                    </w:rPr>
                    <w:t>25%</w:t>
                  </w:r>
                </w:p>
              </w:tc>
            </w:tr>
          </w:tbl>
          <w:p w:rsidR="469A689D" w:rsidP="469A689D" w:rsidRDefault="469A689D" w14:paraId="13F2448D" w14:textId="17F2FF9C">
            <w:pPr>
              <w:spacing w:after="0" w:line="240" w:lineRule="auto"/>
              <w:jc w:val="both"/>
              <w:rPr>
                <w:color w:val="0D0D0D" w:themeColor="text1" w:themeTint="F2"/>
                <w:sz w:val="20"/>
                <w:szCs w:val="20"/>
              </w:rPr>
            </w:pPr>
          </w:p>
          <w:p w:rsidRPr="00A835A2" w:rsidR="437504B8" w:rsidP="3B47BAD9" w:rsidRDefault="6A2554E3" w14:paraId="593646A8" w14:textId="4D48A606">
            <w:pPr>
              <w:spacing w:after="0" w:line="240" w:lineRule="auto"/>
              <w:jc w:val="both"/>
              <w:rPr>
                <w:rFonts w:cs="Arial"/>
                <w:color w:val="auto"/>
                <w:sz w:val="20"/>
                <w:szCs w:val="20"/>
              </w:rPr>
            </w:pPr>
            <w:r w:rsidRPr="00A835A2">
              <w:rPr>
                <w:sz w:val="20"/>
                <w:szCs w:val="20"/>
              </w:rPr>
              <w:t xml:space="preserve">Our disadvantaged students are making strong and aspirational transitions beyond school, with 100% of the cohort successfully progressing into education, employment, or training. A remarkable 73% have secured places at university or higher education colleges, reflecting both academic ambition and the effectiveness of our support in preparing students for further study. Additionally, 9% have entered apprenticeships, and 9% have moved directly into employment, demonstrating a diverse range of successful pathways. Importantly, none of our disadvantaged students are NEET (Not in Education, Employment, or Training), and no students are currently unsure of their next steps. These outcomes highlight the positive impact of our careers guidance, mentoring, and enrichment programmes, and show that our disadvantaged learners are confidently pursuing meaningful futures. </w:t>
            </w:r>
          </w:p>
          <w:p w:rsidR="437504B8" w:rsidP="3B47BAD9" w:rsidRDefault="437504B8" w14:paraId="030951E4" w14:textId="55245719">
            <w:pPr>
              <w:spacing w:after="0" w:line="240" w:lineRule="auto"/>
              <w:jc w:val="both"/>
              <w:rPr>
                <w:rFonts w:cs="Arial"/>
                <w:color w:val="auto"/>
                <w:sz w:val="20"/>
                <w:szCs w:val="20"/>
              </w:rPr>
            </w:pPr>
          </w:p>
          <w:p w:rsidRPr="00A835A2" w:rsidR="00407517" w:rsidP="3B47BAD9" w:rsidRDefault="00407517" w14:paraId="11F57CAD" w14:textId="176E2E9C">
            <w:pPr>
              <w:spacing w:after="0" w:line="240" w:lineRule="auto"/>
              <w:jc w:val="both"/>
              <w:rPr>
                <w:rFonts w:cs="Arial"/>
                <w:b/>
                <w:bCs/>
                <w:iCs/>
                <w:color w:val="auto"/>
                <w:sz w:val="20"/>
                <w:szCs w:val="20"/>
              </w:rPr>
            </w:pPr>
            <w:r w:rsidRPr="00A835A2">
              <w:rPr>
                <w:rFonts w:cs="Arial"/>
                <w:b/>
                <w:bCs/>
                <w:color w:val="auto"/>
                <w:sz w:val="20"/>
                <w:szCs w:val="20"/>
              </w:rPr>
              <w:t>Enrichment and leadership</w:t>
            </w:r>
            <w:r w:rsidRPr="00A835A2" w:rsidR="2C1CD299">
              <w:rPr>
                <w:rFonts w:cs="Arial"/>
                <w:b/>
                <w:bCs/>
                <w:color w:val="auto"/>
                <w:sz w:val="20"/>
                <w:szCs w:val="20"/>
              </w:rPr>
              <w:t xml:space="preserve"> </w:t>
            </w:r>
          </w:p>
          <w:p w:rsidR="469A689D" w:rsidP="469A689D" w:rsidRDefault="469A689D" w14:paraId="7298FFE0" w14:textId="56A3B544">
            <w:pPr>
              <w:pStyle w:val="ListParagraph"/>
              <w:numPr>
                <w:ilvl w:val="0"/>
                <w:numId w:val="0"/>
              </w:numPr>
              <w:spacing w:after="0" w:line="240" w:lineRule="auto"/>
              <w:rPr>
                <w:rFonts w:cs="Arial"/>
                <w:color w:val="auto"/>
                <w:sz w:val="20"/>
                <w:szCs w:val="20"/>
              </w:rPr>
            </w:pPr>
          </w:p>
          <w:p w:rsidR="32D10D7B" w:rsidP="469A689D" w:rsidRDefault="32D10D7B" w14:paraId="4D21817C" w14:textId="46E5DDFD">
            <w:pPr>
              <w:shd w:val="clear" w:color="auto" w:fill="FFFFFF" w:themeFill="background1"/>
              <w:spacing w:after="0"/>
              <w:rPr>
                <w:rFonts w:eastAsia="Arial" w:cs="Arial"/>
                <w:color w:val="000000" w:themeColor="text1"/>
                <w:sz w:val="20"/>
                <w:szCs w:val="20"/>
              </w:rPr>
            </w:pPr>
            <w:r w:rsidRPr="71D4050D">
              <w:rPr>
                <w:rFonts w:cs="Arial"/>
                <w:color w:val="auto"/>
                <w:sz w:val="20"/>
                <w:szCs w:val="20"/>
              </w:rPr>
              <w:t>82% of all students in Years 7–11 took part in at least one enrichment activity last year, with many involved in multiple clubs. 163 disadvantaged students participated in enrichment activities throughout the academic year.</w:t>
            </w:r>
            <w:r w:rsidRPr="71D4050D" w:rsidR="11CA248E">
              <w:rPr>
                <w:rFonts w:cs="Arial"/>
                <w:color w:val="auto"/>
                <w:sz w:val="20"/>
                <w:szCs w:val="20"/>
              </w:rPr>
              <w:t xml:space="preserve"> With regards to our Retreat offer, we offer a 20% reduced rate to our disadvantaged.</w:t>
            </w:r>
            <w:r w:rsidRPr="71D4050D" w:rsidR="375CB9BC">
              <w:rPr>
                <w:rFonts w:cs="Arial"/>
                <w:color w:val="auto"/>
                <w:sz w:val="20"/>
                <w:szCs w:val="20"/>
              </w:rPr>
              <w:t xml:space="preserve"> </w:t>
            </w:r>
            <w:r w:rsidRPr="71D4050D" w:rsidR="375CB9BC">
              <w:rPr>
                <w:rFonts w:ascii="Century Gothic" w:hAnsi="Century Gothic" w:eastAsia="Century Gothic" w:cs="Century Gothic"/>
                <w:color w:val="000000" w:themeColor="text1"/>
              </w:rPr>
              <w:t xml:space="preserve">  </w:t>
            </w:r>
            <w:r w:rsidRPr="71D4050D" w:rsidR="375CB9BC">
              <w:rPr>
                <w:rFonts w:eastAsia="Arial" w:cs="Arial"/>
                <w:color w:val="000000" w:themeColor="text1"/>
                <w:sz w:val="20"/>
                <w:szCs w:val="20"/>
              </w:rPr>
              <w:t>18% of all DofE students were PP last year. 26 PP students went on an international trip. 13% of all international trips were attended by PP.</w:t>
            </w:r>
          </w:p>
          <w:p w:rsidR="469A689D" w:rsidP="469A689D" w:rsidRDefault="469A689D" w14:paraId="434ACB03" w14:textId="5963613F">
            <w:pPr>
              <w:pStyle w:val="ListParagraph"/>
              <w:numPr>
                <w:ilvl w:val="0"/>
                <w:numId w:val="0"/>
              </w:numPr>
              <w:spacing w:after="0" w:line="240" w:lineRule="auto"/>
              <w:jc w:val="both"/>
              <w:rPr>
                <w:rFonts w:cs="Arial"/>
                <w:color w:val="auto"/>
                <w:sz w:val="20"/>
                <w:szCs w:val="20"/>
              </w:rPr>
            </w:pPr>
          </w:p>
          <w:p w:rsidR="1077699E" w:rsidP="469A689D" w:rsidRDefault="1077699E" w14:paraId="36D87980" w14:textId="213C94B9">
            <w:pPr>
              <w:pStyle w:val="ListParagraph"/>
              <w:numPr>
                <w:ilvl w:val="0"/>
                <w:numId w:val="0"/>
              </w:numPr>
              <w:spacing w:after="0" w:line="240" w:lineRule="auto"/>
              <w:jc w:val="both"/>
              <w:rPr>
                <w:rFonts w:cs="Arial"/>
                <w:color w:val="auto"/>
                <w:sz w:val="20"/>
                <w:szCs w:val="20"/>
              </w:rPr>
            </w:pPr>
            <w:r w:rsidRPr="469A689D">
              <w:rPr>
                <w:rFonts w:cs="Arial"/>
                <w:color w:val="auto"/>
                <w:sz w:val="20"/>
                <w:szCs w:val="20"/>
              </w:rPr>
              <w:t>Student leadership is a vital part of daily life at Carmel College. Our student leaders mentor younger pupils, lead acts of collective worship, represent the college in sports and cultural events, and shape college policy through our Inclusion, Stewardship and Student Voice groups. Their contributions exemplify our mission to live “Life to the full” and reflect the Catholic principle of subsidiarity, where all members of our community share responsibility and play an active role in its life.</w:t>
            </w:r>
          </w:p>
          <w:p w:rsidR="469A689D" w:rsidP="469A689D" w:rsidRDefault="469A689D" w14:paraId="6111491A" w14:textId="5950B342">
            <w:pPr>
              <w:spacing w:after="0" w:line="240" w:lineRule="auto"/>
              <w:jc w:val="both"/>
              <w:rPr>
                <w:rFonts w:cs="Arial"/>
                <w:color w:val="auto"/>
                <w:sz w:val="20"/>
                <w:szCs w:val="20"/>
              </w:rPr>
            </w:pPr>
          </w:p>
          <w:p w:rsidR="1077699E" w:rsidP="469A689D" w:rsidRDefault="1077699E" w14:paraId="554905B0" w14:textId="6667AE3C">
            <w:pPr>
              <w:spacing w:after="0" w:line="240" w:lineRule="auto"/>
              <w:jc w:val="both"/>
              <w:rPr>
                <w:rFonts w:cs="Arial"/>
                <w:color w:val="auto"/>
                <w:sz w:val="20"/>
                <w:szCs w:val="20"/>
              </w:rPr>
            </w:pPr>
            <w:r w:rsidRPr="469A689D">
              <w:rPr>
                <w:rFonts w:cs="Arial"/>
                <w:color w:val="auto"/>
                <w:sz w:val="20"/>
                <w:szCs w:val="20"/>
              </w:rPr>
              <w:lastRenderedPageBreak/>
              <w:t>During the 2024–25 academic year, 51 of our 271 student leaders were disadvantaged, and 5 of our 16 looked-after children held leadership positions. This reflects our intentional approach to encouraging disadvantaged students to step forward for leadership roles from Year 7 through to Year 13. These opportunities help to raise aspirations, build confidence, and develop key skills in communication, teamwork and decision-making. Our targeted focus ensures that leadership development is inclusive and transformative—empowering every young person to recognise their potential and contribute meaningfully to the life of the college and the wider community.</w:t>
            </w:r>
          </w:p>
          <w:p w:rsidR="469A689D" w:rsidP="469A689D" w:rsidRDefault="469A689D" w14:paraId="5362243D" w14:textId="2293073C">
            <w:pPr>
              <w:spacing w:after="0" w:line="240" w:lineRule="auto"/>
              <w:jc w:val="both"/>
              <w:rPr>
                <w:rFonts w:cs="Arial"/>
                <w:color w:val="auto"/>
                <w:sz w:val="20"/>
                <w:szCs w:val="20"/>
              </w:rPr>
            </w:pPr>
          </w:p>
          <w:p w:rsidR="60469559" w:rsidP="469A689D" w:rsidRDefault="60469559" w14:paraId="6642D24A" w14:textId="173CA897">
            <w:pPr>
              <w:spacing w:after="0" w:line="240" w:lineRule="auto"/>
              <w:jc w:val="both"/>
              <w:rPr>
                <w:rFonts w:cs="Arial"/>
                <w:color w:val="auto"/>
                <w:sz w:val="20"/>
                <w:szCs w:val="20"/>
              </w:rPr>
            </w:pPr>
            <w:r w:rsidRPr="469A689D">
              <w:rPr>
                <w:rFonts w:cs="Arial"/>
                <w:color w:val="auto"/>
                <w:sz w:val="20"/>
                <w:szCs w:val="20"/>
              </w:rPr>
              <w:t>Alongside our formal leadership roles, enrichment opportunities such as the Public Speaking and Politics Club continue to raise aspiration and confidence. 19% of members were disadvantaged students</w:t>
            </w:r>
            <w:r w:rsidR="000308BB">
              <w:rPr>
                <w:rFonts w:cs="Arial"/>
                <w:color w:val="auto"/>
                <w:sz w:val="20"/>
                <w:szCs w:val="20"/>
              </w:rPr>
              <w:t>.</w:t>
            </w:r>
            <w:r w:rsidR="00017F90">
              <w:rPr>
                <w:rFonts w:cs="Arial"/>
                <w:color w:val="auto"/>
                <w:sz w:val="20"/>
                <w:szCs w:val="20"/>
              </w:rPr>
              <w:t xml:space="preserve"> </w:t>
            </w:r>
            <w:r w:rsidRPr="469A689D">
              <w:rPr>
                <w:rFonts w:cs="Arial"/>
                <w:color w:val="auto"/>
                <w:sz w:val="20"/>
                <w:szCs w:val="20"/>
              </w:rPr>
              <w:t>Their participation reflects our targeted approach to supporting disadvantaged students to develop oracy, leadership and self-belief—skills that strengthen engagement and raise aspirations across all areas of school lif</w:t>
            </w:r>
            <w:r w:rsidRPr="469A689D" w:rsidR="5CC9C600">
              <w:rPr>
                <w:rFonts w:cs="Arial"/>
                <w:color w:val="auto"/>
                <w:sz w:val="20"/>
                <w:szCs w:val="20"/>
              </w:rPr>
              <w:t>e</w:t>
            </w:r>
            <w:r w:rsidR="000308BB">
              <w:rPr>
                <w:rFonts w:cs="Arial"/>
                <w:color w:val="auto"/>
                <w:sz w:val="20"/>
                <w:szCs w:val="20"/>
              </w:rPr>
              <w:t>.</w:t>
            </w:r>
          </w:p>
          <w:p w:rsidR="469A689D" w:rsidP="469A689D" w:rsidRDefault="469A689D" w14:paraId="72BA5A3A" w14:textId="33310F53">
            <w:pPr>
              <w:spacing w:after="0" w:line="240" w:lineRule="auto"/>
              <w:jc w:val="both"/>
              <w:rPr>
                <w:rFonts w:cs="Arial"/>
                <w:color w:val="auto"/>
                <w:sz w:val="20"/>
                <w:szCs w:val="20"/>
                <w:highlight w:val="yellow"/>
              </w:rPr>
            </w:pPr>
          </w:p>
          <w:p w:rsidR="4FFCD385" w:rsidP="4FFCD385" w:rsidRDefault="00737771" w14:paraId="7C3F4963" w14:textId="60761AB3">
            <w:pPr>
              <w:pStyle w:val="ListParagraph"/>
              <w:numPr>
                <w:ilvl w:val="0"/>
                <w:numId w:val="0"/>
              </w:numPr>
              <w:spacing w:after="0" w:line="240" w:lineRule="auto"/>
              <w:jc w:val="both"/>
              <w:rPr>
                <w:rFonts w:cs="Arial"/>
                <w:b/>
                <w:bCs/>
                <w:color w:val="auto"/>
                <w:sz w:val="20"/>
                <w:szCs w:val="20"/>
              </w:rPr>
            </w:pPr>
            <w:r>
              <w:rPr>
                <w:rFonts w:cs="Arial"/>
                <w:b/>
                <w:bCs/>
                <w:color w:val="auto"/>
                <w:sz w:val="20"/>
                <w:szCs w:val="20"/>
              </w:rPr>
              <w:t xml:space="preserve">Impact and Outcomes </w:t>
            </w:r>
            <w:r w:rsidRPr="16F87D86" w:rsidR="0199D0BC">
              <w:rPr>
                <w:rFonts w:cs="Arial"/>
                <w:b/>
                <w:bCs/>
                <w:color w:val="auto"/>
                <w:sz w:val="20"/>
                <w:szCs w:val="20"/>
              </w:rPr>
              <w:t xml:space="preserve">of </w:t>
            </w:r>
            <w:r>
              <w:rPr>
                <w:rFonts w:cs="Arial"/>
                <w:b/>
                <w:bCs/>
                <w:color w:val="auto"/>
                <w:sz w:val="20"/>
                <w:szCs w:val="20"/>
              </w:rPr>
              <w:t xml:space="preserve">our </w:t>
            </w:r>
            <w:r w:rsidRPr="16F87D86" w:rsidR="0199D0BC">
              <w:rPr>
                <w:rFonts w:cs="Arial"/>
                <w:b/>
                <w:bCs/>
                <w:color w:val="auto"/>
                <w:sz w:val="20"/>
                <w:szCs w:val="20"/>
              </w:rPr>
              <w:t>three</w:t>
            </w:r>
            <w:r w:rsidR="0049355B">
              <w:rPr>
                <w:rFonts w:cs="Arial"/>
                <w:b/>
                <w:bCs/>
                <w:color w:val="auto"/>
                <w:sz w:val="20"/>
                <w:szCs w:val="20"/>
              </w:rPr>
              <w:t>-</w:t>
            </w:r>
            <w:r w:rsidRPr="16F87D86" w:rsidR="0199D0BC">
              <w:rPr>
                <w:rFonts w:cs="Arial"/>
                <w:b/>
                <w:bCs/>
                <w:color w:val="auto"/>
                <w:sz w:val="20"/>
                <w:szCs w:val="20"/>
              </w:rPr>
              <w:t xml:space="preserve"> year st</w:t>
            </w:r>
            <w:r w:rsidRPr="16F87D86" w:rsidR="04FC29C8">
              <w:rPr>
                <w:rFonts w:cs="Arial"/>
                <w:b/>
                <w:bCs/>
                <w:color w:val="auto"/>
                <w:sz w:val="20"/>
                <w:szCs w:val="20"/>
              </w:rPr>
              <w:t>rategy</w:t>
            </w:r>
          </w:p>
          <w:p w:rsidR="00737771" w:rsidP="4FFCD385" w:rsidRDefault="00737771" w14:paraId="71C46A00" w14:textId="77777777">
            <w:pPr>
              <w:pStyle w:val="ListParagraph"/>
              <w:numPr>
                <w:ilvl w:val="0"/>
                <w:numId w:val="0"/>
              </w:numPr>
              <w:spacing w:after="0" w:line="240" w:lineRule="auto"/>
              <w:jc w:val="both"/>
              <w:rPr>
                <w:rFonts w:cs="Arial"/>
                <w:b/>
                <w:bCs/>
                <w:color w:val="auto"/>
                <w:sz w:val="20"/>
                <w:szCs w:val="20"/>
              </w:rPr>
            </w:pPr>
          </w:p>
          <w:p w:rsidR="0199D0BC" w:rsidP="00737771" w:rsidRDefault="0199D0BC" w14:paraId="52E3C171" w14:textId="15A35D4D">
            <w:pPr>
              <w:pStyle w:val="Heading3"/>
              <w:spacing w:before="0" w:after="0"/>
              <w:rPr>
                <w:sz w:val="20"/>
                <w:szCs w:val="20"/>
              </w:rPr>
            </w:pPr>
            <w:r w:rsidRPr="16F87D86">
              <w:rPr>
                <w:sz w:val="20"/>
                <w:szCs w:val="20"/>
              </w:rPr>
              <w:t>Impact and Outcomes</w:t>
            </w:r>
          </w:p>
          <w:p w:rsidR="0199D0BC" w:rsidP="00737771" w:rsidRDefault="0199D0BC" w14:paraId="13D37CDB" w14:textId="5E62A083">
            <w:pPr>
              <w:pStyle w:val="Heading3"/>
              <w:spacing w:before="0" w:after="0"/>
              <w:rPr>
                <w:sz w:val="20"/>
                <w:szCs w:val="20"/>
              </w:rPr>
            </w:pPr>
            <w:r w:rsidRPr="424DC4C0">
              <w:rPr>
                <w:sz w:val="20"/>
                <w:szCs w:val="20"/>
              </w:rPr>
              <w:t>Academic Progress</w:t>
            </w:r>
          </w:p>
          <w:p w:rsidR="0199D0BC" w:rsidP="00737771" w:rsidRDefault="0199D0BC" w14:paraId="2A6F2337" w14:textId="1AD68D46">
            <w:pPr>
              <w:pStyle w:val="ListParagraph"/>
              <w:spacing w:after="0"/>
              <w:rPr>
                <w:sz w:val="20"/>
                <w:szCs w:val="20"/>
              </w:rPr>
            </w:pPr>
            <w:r w:rsidRPr="16F87D86">
              <w:rPr>
                <w:b/>
                <w:bCs/>
                <w:sz w:val="20"/>
                <w:szCs w:val="20"/>
              </w:rPr>
              <w:t>Progress 8 for disadvantaged pupils</w:t>
            </w:r>
            <w:r w:rsidRPr="16F87D86">
              <w:rPr>
                <w:sz w:val="20"/>
                <w:szCs w:val="20"/>
              </w:rPr>
              <w:t xml:space="preserve"> improved from -0.61 to +0.17 between Autumn 2023 and Spring 2024.</w:t>
            </w:r>
          </w:p>
          <w:p w:rsidR="0199D0BC" w:rsidP="00737771" w:rsidRDefault="0199D0BC" w14:paraId="0BD9AF31" w14:textId="2A1EEFC2">
            <w:pPr>
              <w:pStyle w:val="ListParagraph"/>
              <w:spacing w:after="0"/>
              <w:rPr>
                <w:sz w:val="20"/>
                <w:szCs w:val="20"/>
              </w:rPr>
            </w:pPr>
            <w:r w:rsidRPr="16F87D86">
              <w:rPr>
                <w:b/>
                <w:bCs/>
                <w:sz w:val="20"/>
                <w:szCs w:val="20"/>
              </w:rPr>
              <w:t>Attainment 8 scores</w:t>
            </w:r>
            <w:r w:rsidRPr="16F87D86">
              <w:rPr>
                <w:sz w:val="20"/>
                <w:szCs w:val="20"/>
              </w:rPr>
              <w:t xml:space="preserve"> rose from 35.8 to 50.2, with 73% achieving 9–4 in English and Maths (up from 49%).</w:t>
            </w:r>
          </w:p>
          <w:p w:rsidR="0199D0BC" w:rsidP="00737771" w:rsidRDefault="0199D0BC" w14:paraId="7B321D9C" w14:textId="57C33377">
            <w:pPr>
              <w:pStyle w:val="ListParagraph"/>
              <w:spacing w:after="0"/>
              <w:rPr>
                <w:sz w:val="20"/>
                <w:szCs w:val="20"/>
              </w:rPr>
            </w:pPr>
            <w:r w:rsidRPr="16F87D86">
              <w:rPr>
                <w:sz w:val="20"/>
                <w:szCs w:val="20"/>
              </w:rPr>
              <w:t xml:space="preserve">EBacc Average Point Score increased from 3.48 to 4.43, with a 5x increase in 9–5 outcomes. </w:t>
            </w:r>
          </w:p>
          <w:p w:rsidR="0199D0BC" w:rsidP="00737771" w:rsidRDefault="0199D0BC" w14:paraId="52445CBC" w14:textId="42A86808">
            <w:pPr>
              <w:pStyle w:val="Heading4"/>
              <w:spacing w:before="0" w:after="0"/>
              <w:rPr>
                <w:sz w:val="20"/>
                <w:szCs w:val="20"/>
              </w:rPr>
            </w:pPr>
            <w:r w:rsidRPr="4FFCD385">
              <w:rPr>
                <w:sz w:val="20"/>
                <w:szCs w:val="20"/>
              </w:rPr>
              <w:t>Post-16 Outcomes</w:t>
            </w:r>
          </w:p>
          <w:p w:rsidR="0199D0BC" w:rsidP="00737771" w:rsidRDefault="0199D0BC" w14:paraId="766D6DE5" w14:textId="6694F7AF">
            <w:pPr>
              <w:pStyle w:val="ListParagraph"/>
              <w:spacing w:after="0"/>
              <w:rPr>
                <w:sz w:val="20"/>
                <w:szCs w:val="20"/>
              </w:rPr>
            </w:pPr>
            <w:r w:rsidRPr="16F87D86">
              <w:rPr>
                <w:sz w:val="20"/>
                <w:szCs w:val="20"/>
              </w:rPr>
              <w:t xml:space="preserve">Disadvantaged students improved from C– to C in academic qualifications, with a 2.4 point increase in average grade score. </w:t>
            </w:r>
          </w:p>
          <w:p w:rsidR="0199D0BC" w:rsidP="00737771" w:rsidRDefault="0199D0BC" w14:paraId="0AA8597B" w14:textId="45CD342E">
            <w:pPr>
              <w:pStyle w:val="ListParagraph"/>
              <w:spacing w:after="0"/>
              <w:rPr>
                <w:sz w:val="20"/>
                <w:szCs w:val="20"/>
              </w:rPr>
            </w:pPr>
            <w:r w:rsidRPr="16F87D86">
              <w:rPr>
                <w:sz w:val="20"/>
                <w:szCs w:val="20"/>
              </w:rPr>
              <w:t>Applied general qualifications remained strong, with average grades at Distinction and A*-B grades rising by 8%.</w:t>
            </w:r>
          </w:p>
          <w:p w:rsidR="0199D0BC" w:rsidP="00737771" w:rsidRDefault="0199D0BC" w14:paraId="7A941C4A" w14:textId="72AEBD60">
            <w:pPr>
              <w:pStyle w:val="Heading4"/>
              <w:spacing w:before="0" w:after="0"/>
              <w:rPr>
                <w:sz w:val="20"/>
                <w:szCs w:val="20"/>
              </w:rPr>
            </w:pPr>
            <w:r w:rsidRPr="4FFCD385">
              <w:rPr>
                <w:sz w:val="20"/>
                <w:szCs w:val="20"/>
              </w:rPr>
              <w:t>Attendance</w:t>
            </w:r>
          </w:p>
          <w:p w:rsidR="0199D0BC" w:rsidP="00737771" w:rsidRDefault="0199D0BC" w14:paraId="194D63F7" w14:textId="491AB3B7">
            <w:pPr>
              <w:pStyle w:val="ListParagraph"/>
              <w:spacing w:after="0"/>
              <w:rPr>
                <w:sz w:val="20"/>
                <w:szCs w:val="20"/>
              </w:rPr>
            </w:pPr>
            <w:r w:rsidRPr="4FFCD385">
              <w:rPr>
                <w:sz w:val="20"/>
                <w:szCs w:val="20"/>
              </w:rPr>
              <w:t>Persistent absence for PP pupils dropped from 43.8% to 35.0% in 2023–24.</w:t>
            </w:r>
          </w:p>
          <w:p w:rsidR="0199D0BC" w:rsidP="00737771" w:rsidRDefault="0199D0BC" w14:paraId="22E88FC5" w14:textId="623721E0">
            <w:pPr>
              <w:pStyle w:val="ListParagraph"/>
              <w:spacing w:after="0"/>
              <w:rPr>
                <w:sz w:val="20"/>
                <w:szCs w:val="20"/>
              </w:rPr>
            </w:pPr>
            <w:r w:rsidRPr="4FFCD385">
              <w:rPr>
                <w:sz w:val="20"/>
                <w:szCs w:val="20"/>
              </w:rPr>
              <w:t xml:space="preserve">Attendance for Year 11 PP pupils was significantly above trust and local averages. </w:t>
            </w:r>
          </w:p>
          <w:p w:rsidR="0199D0BC" w:rsidP="00737771" w:rsidRDefault="0199D0BC" w14:paraId="37F7D45B" w14:textId="1E9A8DDF">
            <w:pPr>
              <w:pStyle w:val="Heading4"/>
              <w:spacing w:before="0" w:after="0"/>
              <w:rPr>
                <w:sz w:val="20"/>
                <w:szCs w:val="20"/>
              </w:rPr>
            </w:pPr>
            <w:r w:rsidRPr="4FFCD385">
              <w:rPr>
                <w:sz w:val="20"/>
                <w:szCs w:val="20"/>
              </w:rPr>
              <w:t>Behaviour and Engagement</w:t>
            </w:r>
          </w:p>
          <w:p w:rsidR="0199D0BC" w:rsidP="00737771" w:rsidRDefault="0199D0BC" w14:paraId="61728D01" w14:textId="14A2DCBE">
            <w:pPr>
              <w:pStyle w:val="ListParagraph"/>
              <w:spacing w:after="0"/>
              <w:rPr>
                <w:sz w:val="20"/>
                <w:szCs w:val="20"/>
              </w:rPr>
            </w:pPr>
            <w:r w:rsidRPr="424DC4C0">
              <w:rPr>
                <w:sz w:val="20"/>
                <w:szCs w:val="20"/>
              </w:rPr>
              <w:t xml:space="preserve">Suspensions for PP pupils fell by 36% over three years. </w:t>
            </w:r>
          </w:p>
          <w:p w:rsidR="0199D0BC" w:rsidP="00737771" w:rsidRDefault="0199D0BC" w14:paraId="01C0494F" w14:textId="042B1EF2">
            <w:pPr>
              <w:pStyle w:val="ListParagraph"/>
              <w:spacing w:after="0"/>
              <w:rPr>
                <w:sz w:val="20"/>
                <w:szCs w:val="20"/>
              </w:rPr>
            </w:pPr>
            <w:r w:rsidRPr="424DC4C0">
              <w:rPr>
                <w:sz w:val="20"/>
                <w:szCs w:val="20"/>
              </w:rPr>
              <w:t xml:space="preserve">PP students received 42% of virtue points, with strong recognition in resilience and self-belief. </w:t>
            </w:r>
          </w:p>
          <w:p w:rsidR="4FFCD385" w:rsidP="00C26744" w:rsidRDefault="0199D0BC" w14:paraId="0FF826AA" w14:textId="6410EF14">
            <w:pPr>
              <w:pStyle w:val="ListParagraph"/>
              <w:numPr>
                <w:ilvl w:val="0"/>
                <w:numId w:val="0"/>
              </w:numPr>
              <w:spacing w:after="0" w:line="240" w:lineRule="auto"/>
              <w:jc w:val="both"/>
              <w:rPr>
                <w:sz w:val="20"/>
                <w:szCs w:val="20"/>
              </w:rPr>
            </w:pPr>
            <w:r w:rsidRPr="00C431F4">
              <w:rPr>
                <w:sz w:val="20"/>
                <w:szCs w:val="20"/>
              </w:rPr>
              <w:t>Pupil voice highlights oracy and gratitude speeches as valued experiences.</w:t>
            </w:r>
          </w:p>
          <w:p w:rsidRPr="00C431F4" w:rsidR="00C431F4" w:rsidP="00C26744" w:rsidRDefault="00C431F4" w14:paraId="307ECEAD" w14:textId="77777777">
            <w:pPr>
              <w:pStyle w:val="ListParagraph"/>
              <w:numPr>
                <w:ilvl w:val="0"/>
                <w:numId w:val="0"/>
              </w:numPr>
              <w:spacing w:after="0" w:line="240" w:lineRule="auto"/>
              <w:jc w:val="both"/>
              <w:rPr>
                <w:rFonts w:cs="Arial"/>
                <w:b/>
                <w:bCs/>
                <w:color w:val="auto"/>
                <w:sz w:val="20"/>
                <w:szCs w:val="20"/>
              </w:rPr>
            </w:pPr>
          </w:p>
          <w:p w:rsidR="504B9CAB" w:rsidP="1C1A0893" w:rsidRDefault="0199D0BC" w14:paraId="3AF10970" w14:textId="5EA41943">
            <w:pPr>
              <w:spacing w:before="240"/>
              <w:rPr>
                <w:sz w:val="20"/>
                <w:szCs w:val="20"/>
              </w:rPr>
            </w:pPr>
            <w:r w:rsidRPr="7B446C08">
              <w:rPr>
                <w:sz w:val="20"/>
                <w:szCs w:val="20"/>
              </w:rPr>
              <w:t>We have</w:t>
            </w:r>
            <w:r w:rsidRPr="7B446C08" w:rsidR="504B9CAB">
              <w:rPr>
                <w:sz w:val="20"/>
                <w:szCs w:val="20"/>
              </w:rPr>
              <w:t xml:space="preserve"> made </w:t>
            </w:r>
            <w:r w:rsidRPr="7B446C08" w:rsidR="504B9CAB">
              <w:rPr>
                <w:b/>
                <w:bCs/>
                <w:sz w:val="20"/>
                <w:szCs w:val="20"/>
              </w:rPr>
              <w:t>significant strides</w:t>
            </w:r>
            <w:r w:rsidRPr="7B446C08" w:rsidR="504B9CAB">
              <w:rPr>
                <w:sz w:val="20"/>
                <w:szCs w:val="20"/>
              </w:rPr>
              <w:t xml:space="preserve"> in meeting its pupil premium aims:</w:t>
            </w:r>
          </w:p>
          <w:p w:rsidR="504B9CAB" w:rsidP="1C1A0893" w:rsidRDefault="504B9CAB" w14:paraId="0DED5794" w14:textId="0DBEB0E7">
            <w:pPr>
              <w:pStyle w:val="ListParagraph"/>
              <w:spacing w:after="0"/>
              <w:rPr>
                <w:sz w:val="20"/>
                <w:szCs w:val="20"/>
              </w:rPr>
            </w:pPr>
            <w:r w:rsidRPr="71D4050D">
              <w:rPr>
                <w:sz w:val="20"/>
                <w:szCs w:val="20"/>
              </w:rPr>
              <w:t>Academic outcomes for disadvantaged pupils have improved and remain above local and national disadvantaged outcomes.</w:t>
            </w:r>
          </w:p>
          <w:p w:rsidR="504B9CAB" w:rsidP="1C1A0893" w:rsidRDefault="504B9CAB" w14:paraId="4466D55C" w14:textId="40747D18">
            <w:pPr>
              <w:pStyle w:val="ListParagraph"/>
              <w:spacing w:after="0"/>
              <w:rPr>
                <w:sz w:val="20"/>
                <w:szCs w:val="20"/>
              </w:rPr>
            </w:pPr>
            <w:r w:rsidRPr="71D4050D">
              <w:rPr>
                <w:sz w:val="20"/>
                <w:szCs w:val="20"/>
              </w:rPr>
              <w:t xml:space="preserve">Attendance and behaviour indicators show sustained progress and continue to be better than </w:t>
            </w:r>
            <w:r w:rsidRPr="71D4050D" w:rsidR="5E965D04">
              <w:rPr>
                <w:sz w:val="20"/>
                <w:szCs w:val="20"/>
              </w:rPr>
              <w:t xml:space="preserve">the </w:t>
            </w:r>
            <w:r w:rsidRPr="71D4050D">
              <w:rPr>
                <w:sz w:val="20"/>
                <w:szCs w:val="20"/>
              </w:rPr>
              <w:t xml:space="preserve">national </w:t>
            </w:r>
            <w:r w:rsidRPr="71D4050D" w:rsidR="4E7FB038">
              <w:rPr>
                <w:sz w:val="20"/>
                <w:szCs w:val="20"/>
              </w:rPr>
              <w:t>picture</w:t>
            </w:r>
            <w:r w:rsidRPr="71D4050D">
              <w:rPr>
                <w:sz w:val="20"/>
                <w:szCs w:val="20"/>
              </w:rPr>
              <w:t>.</w:t>
            </w:r>
          </w:p>
          <w:p w:rsidR="504B9CAB" w:rsidP="1C1A0893" w:rsidRDefault="504B9CAB" w14:paraId="60637D84" w14:textId="4A591192">
            <w:pPr>
              <w:pStyle w:val="ListParagraph"/>
              <w:spacing w:after="0"/>
              <w:rPr>
                <w:sz w:val="20"/>
                <w:szCs w:val="20"/>
              </w:rPr>
            </w:pPr>
            <w:r w:rsidRPr="1C1A0893">
              <w:rPr>
                <w:sz w:val="20"/>
                <w:szCs w:val="20"/>
              </w:rPr>
              <w:t>Enrichment and leadership opportunities are equitably distributed.</w:t>
            </w:r>
          </w:p>
          <w:p w:rsidR="504B9CAB" w:rsidP="7B446C08" w:rsidRDefault="1EA9A29A" w14:paraId="20E66B47" w14:textId="29E2F6A8">
            <w:pPr>
              <w:pStyle w:val="ListParagraph"/>
              <w:spacing w:after="0"/>
              <w:rPr>
                <w:sz w:val="20"/>
                <w:szCs w:val="20"/>
              </w:rPr>
            </w:pPr>
            <w:r w:rsidRPr="7B446C08">
              <w:rPr>
                <w:sz w:val="20"/>
                <w:szCs w:val="20"/>
              </w:rPr>
              <w:t>Our s</w:t>
            </w:r>
            <w:r w:rsidRPr="7B446C08" w:rsidR="504B9CAB">
              <w:rPr>
                <w:sz w:val="20"/>
                <w:szCs w:val="20"/>
              </w:rPr>
              <w:t>trategy is embedded, monitored, and aligned with national best practice</w:t>
            </w:r>
            <w:r w:rsidRPr="7B446C08" w:rsidR="63EE23F7">
              <w:rPr>
                <w:sz w:val="20"/>
                <w:szCs w:val="20"/>
              </w:rPr>
              <w:t xml:space="preserve"> and more recently the Darlington inclusion charter</w:t>
            </w:r>
          </w:p>
          <w:p w:rsidR="1C1A0893" w:rsidP="1C1A0893" w:rsidRDefault="1C1A0893" w14:paraId="385D5445" w14:textId="36E2B4D2">
            <w:pPr>
              <w:pStyle w:val="ListParagraph"/>
              <w:numPr>
                <w:ilvl w:val="0"/>
                <w:numId w:val="0"/>
              </w:numPr>
              <w:spacing w:after="0" w:line="240" w:lineRule="auto"/>
              <w:jc w:val="both"/>
              <w:rPr>
                <w:rFonts w:cs="Arial"/>
                <w:color w:val="auto"/>
                <w:sz w:val="20"/>
                <w:szCs w:val="20"/>
              </w:rPr>
            </w:pPr>
          </w:p>
          <w:p w:rsidRPr="469A689D" w:rsidR="0064167B" w:rsidP="469A689D" w:rsidRDefault="0064167B" w14:paraId="5023926C" w14:textId="52F3ED43">
            <w:pPr>
              <w:spacing w:after="0"/>
              <w:jc w:val="both"/>
              <w:rPr>
                <w:rFonts w:eastAsia="Arial" w:cs="Arial"/>
                <w:b/>
                <w:color w:val="auto"/>
                <w:sz w:val="20"/>
                <w:szCs w:val="20"/>
              </w:rPr>
            </w:pPr>
          </w:p>
        </w:tc>
      </w:tr>
    </w:tbl>
    <w:p w:rsidR="00E66558" w:rsidP="00EE5679" w:rsidRDefault="006D6372" w14:paraId="2A7D5548" w14:textId="0199D85C">
      <w:pPr>
        <w:pStyle w:val="Heading2"/>
        <w:spacing w:before="0" w:after="0"/>
        <w:jc w:val="both"/>
      </w:pPr>
      <w:r>
        <w:lastRenderedPageBreak/>
        <w:t>E</w:t>
      </w:r>
      <w:r w:rsidR="009D71E8">
        <w:t xml:space="preserve">xternally provided </w:t>
      </w:r>
      <w:r w:rsidRPr="00781713" w:rsidR="009D71E8">
        <w:t>programmes</w:t>
      </w:r>
    </w:p>
    <w:p w:rsidR="00E66558" w:rsidP="00EE5679" w:rsidRDefault="0B240EAF" w14:paraId="2A7D5549" w14:textId="6982BE0C">
      <w:pPr>
        <w:spacing w:after="0"/>
        <w:jc w:val="both"/>
        <w:rPr>
          <w:i/>
          <w:iCs/>
        </w:rPr>
      </w:pPr>
      <w:r w:rsidRPr="07FFD3D3">
        <w:rPr>
          <w:i/>
          <w:iCs/>
        </w:rPr>
        <w:t xml:space="preserve">Please include the names of any non-DfE programmes that you </w:t>
      </w:r>
      <w:r w:rsidRPr="07FFD3D3" w:rsidR="491E3A64">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588"/>
        <w:gridCol w:w="4428"/>
      </w:tblGrid>
      <w:tr w:rsidR="00E66558" w:rsidTr="00D004C2"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EE5679" w:rsidRDefault="009D71E8" w14:paraId="2A7D554A" w14:textId="77777777">
            <w:pPr>
              <w:pStyle w:val="TableHeader"/>
              <w:spacing w:before="0" w:after="0"/>
              <w:ind w:left="0" w:right="0"/>
              <w:jc w:val="both"/>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EE5679" w:rsidRDefault="009D71E8" w14:paraId="2A7D554B" w14:textId="77777777">
            <w:pPr>
              <w:pStyle w:val="TableHeader"/>
              <w:spacing w:before="0" w:after="0"/>
              <w:ind w:left="0" w:right="0"/>
              <w:jc w:val="both"/>
            </w:pPr>
            <w:r>
              <w:t>Provider</w:t>
            </w:r>
          </w:p>
        </w:tc>
      </w:tr>
      <w:tr w:rsidR="00E66558" w:rsidTr="00D004C2" w14:paraId="2A7D554F"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EE5679" w:rsidRDefault="0049355B" w14:paraId="2A7D554D" w14:textId="10B282C5">
            <w:pPr>
              <w:pStyle w:val="TableRow"/>
              <w:spacing w:before="0" w:after="0"/>
              <w:ind w:left="0" w:right="0"/>
              <w:jc w:val="both"/>
            </w:pPr>
            <w:r>
              <w:t>Fresh Start</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EE5679" w:rsidRDefault="00E66558" w14:paraId="2A7D554E" w14:textId="77777777">
            <w:pPr>
              <w:pStyle w:val="TableRowCentered"/>
              <w:spacing w:before="0" w:after="0"/>
              <w:ind w:left="0" w:right="0"/>
              <w:jc w:val="both"/>
            </w:pPr>
          </w:p>
        </w:tc>
      </w:tr>
      <w:tr w:rsidR="00E66558" w:rsidTr="00D004C2" w14:paraId="2A7D5552"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EE5679" w:rsidRDefault="0049355B" w14:paraId="2A7D5550" w14:textId="3FE572E9">
            <w:pPr>
              <w:pStyle w:val="TableRow"/>
              <w:spacing w:before="0" w:after="0"/>
              <w:ind w:left="0" w:right="0"/>
              <w:jc w:val="both"/>
            </w:pPr>
            <w:r>
              <w:lastRenderedPageBreak/>
              <w:t>Accelerated Reader</w:t>
            </w: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EE5679" w:rsidRDefault="00E66558" w14:paraId="2A7D5551" w14:textId="77777777">
            <w:pPr>
              <w:pStyle w:val="TableRowCentered"/>
              <w:spacing w:before="0" w:after="0"/>
              <w:ind w:left="0" w:right="0"/>
              <w:jc w:val="both"/>
            </w:pPr>
          </w:p>
        </w:tc>
      </w:tr>
    </w:tbl>
    <w:p w:rsidR="00E66558" w:rsidP="00EE5679" w:rsidRDefault="00E66558" w14:paraId="2A7D5553" w14:textId="193B71B2">
      <w:pPr>
        <w:spacing w:after="0"/>
        <w:jc w:val="both"/>
      </w:pPr>
    </w:p>
    <w:p w:rsidR="0008384B" w:rsidP="00EE5679" w:rsidRDefault="0008384B" w14:paraId="188578FB" w14:textId="537EFB51">
      <w:pPr>
        <w:spacing w:after="0"/>
        <w:jc w:val="both"/>
      </w:pPr>
    </w:p>
    <w:p w:rsidR="0008384B" w:rsidP="00EE5679" w:rsidRDefault="0008384B" w14:paraId="497C2CDD" w14:textId="3BD1FD57">
      <w:pPr>
        <w:spacing w:after="0"/>
        <w:jc w:val="both"/>
      </w:pPr>
    </w:p>
    <w:p w:rsidR="0008384B" w:rsidP="00EE5679" w:rsidRDefault="0008384B" w14:paraId="01F0D165" w14:textId="1FC4C866">
      <w:pPr>
        <w:spacing w:after="0"/>
        <w:jc w:val="both"/>
      </w:pPr>
    </w:p>
    <w:p w:rsidRPr="0008384B" w:rsidR="0008384B" w:rsidP="00EE5679" w:rsidRDefault="0008384B" w14:paraId="540A892B" w14:textId="3B30AD65">
      <w:pPr>
        <w:pStyle w:val="Heading2"/>
        <w:spacing w:before="0" w:after="0"/>
        <w:jc w:val="both"/>
      </w:pPr>
      <w:r w:rsidRPr="0008384B">
        <w:t>Service pupil premium funding (optional)</w:t>
      </w:r>
    </w:p>
    <w:tbl>
      <w:tblPr>
        <w:tblStyle w:val="TableGrid"/>
        <w:tblW w:w="0" w:type="auto"/>
        <w:tblLook w:val="04A0" w:firstRow="1" w:lastRow="0" w:firstColumn="1" w:lastColumn="0" w:noHBand="0" w:noVBand="1"/>
      </w:tblPr>
      <w:tblGrid>
        <w:gridCol w:w="9016"/>
      </w:tblGrid>
      <w:tr w:rsidR="00ED5108" w:rsidTr="00D004C2" w14:paraId="60D4B166" w14:textId="77777777">
        <w:tc>
          <w:tcPr>
            <w:tcW w:w="9486" w:type="dxa"/>
            <w:shd w:val="clear" w:color="auto" w:fill="CFDCE3"/>
          </w:tcPr>
          <w:p w:rsidRPr="00E86F05" w:rsidR="00ED5108" w:rsidP="00EE5679" w:rsidRDefault="009D71E8" w14:paraId="4641AE9E" w14:textId="2758D317">
            <w:pPr>
              <w:spacing w:after="0"/>
              <w:jc w:val="both"/>
              <w:rPr>
                <w:b/>
                <w:bCs/>
              </w:rPr>
            </w:pPr>
            <w:r>
              <w:rPr>
                <w:i/>
                <w:iCs/>
              </w:rPr>
              <w:t xml:space="preserve">For schools that receive this funding, you may wish to provide the following information: </w:t>
            </w:r>
            <w:r w:rsidRPr="00E86F05" w:rsidR="00ED5108">
              <w:rPr>
                <w:b/>
                <w:bCs/>
                <w:color w:val="000000"/>
                <w:szCs w:val="28"/>
              </w:rPr>
              <w:t>How our service pupil premium allocation was spent last academic year</w:t>
            </w:r>
          </w:p>
        </w:tc>
      </w:tr>
      <w:tr w:rsidR="00ED5108" w:rsidTr="00D004C2" w14:paraId="3EA0D00B" w14:textId="77777777">
        <w:tc>
          <w:tcPr>
            <w:tcW w:w="9486" w:type="dxa"/>
          </w:tcPr>
          <w:p w:rsidR="00ED5108" w:rsidP="00EE5679" w:rsidRDefault="00ED5108" w14:paraId="5AA67344" w14:textId="77777777">
            <w:pPr>
              <w:spacing w:after="0"/>
              <w:jc w:val="both"/>
            </w:pPr>
          </w:p>
        </w:tc>
      </w:tr>
      <w:tr w:rsidR="00ED5108" w:rsidTr="00D004C2" w14:paraId="2D016C33" w14:textId="77777777">
        <w:tc>
          <w:tcPr>
            <w:tcW w:w="9486" w:type="dxa"/>
            <w:shd w:val="clear" w:color="auto" w:fill="CFDCE3"/>
          </w:tcPr>
          <w:p w:rsidRPr="00E86F05" w:rsidR="00ED5108" w:rsidP="00EE5679" w:rsidRDefault="00ED5108" w14:paraId="3A5A15C1" w14:textId="789D6271">
            <w:pPr>
              <w:spacing w:after="0"/>
              <w:jc w:val="both"/>
              <w:rPr>
                <w:b/>
                <w:bCs/>
              </w:rPr>
            </w:pPr>
            <w:r w:rsidRPr="00E86F05">
              <w:rPr>
                <w:b/>
                <w:bCs/>
                <w:color w:val="000000"/>
                <w:szCs w:val="28"/>
              </w:rPr>
              <w:t>The impact of that spending on service pupil premium eligible pupils</w:t>
            </w:r>
          </w:p>
        </w:tc>
      </w:tr>
      <w:tr w:rsidR="00ED5108" w:rsidTr="00D004C2" w14:paraId="703D7ACC" w14:textId="77777777">
        <w:tc>
          <w:tcPr>
            <w:tcW w:w="9486" w:type="dxa"/>
          </w:tcPr>
          <w:p w:rsidR="00ED5108" w:rsidP="00EE5679" w:rsidRDefault="00ED5108" w14:paraId="2AA0A743" w14:textId="77777777">
            <w:pPr>
              <w:spacing w:after="0"/>
              <w:jc w:val="both"/>
            </w:pPr>
          </w:p>
        </w:tc>
      </w:tr>
    </w:tbl>
    <w:p w:rsidR="00E66558" w:rsidP="00EE5679" w:rsidRDefault="00E66558" w14:paraId="2A7D555F" w14:textId="77777777">
      <w:pPr>
        <w:spacing w:after="0" w:line="240" w:lineRule="auto"/>
        <w:jc w:val="both"/>
      </w:pPr>
    </w:p>
    <w:p w:rsidR="00E66558" w:rsidP="00EE5679" w:rsidRDefault="009D71E8" w14:paraId="2A7D5560" w14:textId="77777777">
      <w:pPr>
        <w:pStyle w:val="Heading1"/>
        <w:spacing w:after="0"/>
        <w:jc w:val="both"/>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Tr="00D004C2" w14:paraId="2A7D5563" w14:textId="77777777">
        <w:tc>
          <w:tcPr>
            <w:tcW w:w="9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AA355B" w:rsidR="00E66558" w:rsidP="00EE5679" w:rsidRDefault="009D71E8" w14:paraId="2A7D5562" w14:textId="7A9BAE22">
            <w:pPr>
              <w:spacing w:after="0"/>
              <w:jc w:val="both"/>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6"/>
      <w:bookmarkEnd w:id="17"/>
      <w:bookmarkEnd w:id="18"/>
    </w:tbl>
    <w:p w:rsidR="00E66558" w:rsidP="00EE5679" w:rsidRDefault="00E66558" w14:paraId="2A7D5564" w14:textId="77777777">
      <w:pPr>
        <w:spacing w:after="0"/>
        <w:jc w:val="both"/>
      </w:pPr>
    </w:p>
    <w:sectPr w:rsidR="00E66558">
      <w:headerReference w:type="default" r:id="rId52"/>
      <w:footerReference w:type="default" r:id="rId53"/>
      <w:pgSz w:w="11906" w:h="16838" w:orient="portrait"/>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2A3" w:rsidRDefault="003D62A3" w14:paraId="6FD94713" w14:textId="77777777">
      <w:pPr>
        <w:spacing w:after="0" w:line="240" w:lineRule="auto"/>
      </w:pPr>
      <w:r>
        <w:separator/>
      </w:r>
    </w:p>
  </w:endnote>
  <w:endnote w:type="continuationSeparator" w:id="0">
    <w:p w:rsidR="003D62A3" w:rsidRDefault="003D62A3" w14:paraId="7BAB0CF8" w14:textId="77777777">
      <w:pPr>
        <w:spacing w:after="0" w:line="240" w:lineRule="auto"/>
      </w:pPr>
      <w:r>
        <w:continuationSeparator/>
      </w:r>
    </w:p>
  </w:endnote>
  <w:endnote w:type="continuationNotice" w:id="1">
    <w:p w:rsidR="003D62A3" w:rsidRDefault="003D62A3" w14:paraId="436566F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P="5CD75767" w:rsidRDefault="009D71E8" w14:paraId="2A7D54BE" w14:textId="1F0E979E">
    <w:pPr>
      <w:pStyle w:val="TableRow"/>
      <w:spacing w:before="0" w:after="0"/>
      <w:ind w:left="0" w:right="0"/>
      <w:jc w:val="both"/>
    </w:pPr>
    <w:r>
      <w:fldChar w:fldCharType="begin"/>
    </w:r>
    <w:r>
      <w:instrText xml:space="preserve"> PAGE </w:instrText>
    </w:r>
    <w:r>
      <w:fldChar w:fldCharType="separate"/>
    </w:r>
    <w:r w:rsidR="3AE65F12">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2A3" w:rsidRDefault="003D62A3" w14:paraId="56E3D8B9" w14:textId="77777777">
      <w:pPr>
        <w:spacing w:after="0" w:line="240" w:lineRule="auto"/>
      </w:pPr>
      <w:r>
        <w:separator/>
      </w:r>
    </w:p>
  </w:footnote>
  <w:footnote w:type="continuationSeparator" w:id="0">
    <w:p w:rsidR="003D62A3" w:rsidRDefault="003D62A3" w14:paraId="19D7708C" w14:textId="77777777">
      <w:pPr>
        <w:spacing w:after="0" w:line="240" w:lineRule="auto"/>
      </w:pPr>
      <w:r>
        <w:continuationSeparator/>
      </w:r>
    </w:p>
  </w:footnote>
  <w:footnote w:type="continuationNotice" w:id="1">
    <w:p w:rsidR="003D62A3" w:rsidRDefault="003D62A3" w14:paraId="5E3A58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P="5CD75767" w:rsidRDefault="00C373EA" w14:paraId="2A7D54BC" w14:textId="26ACBB89">
    <w:pPr>
      <w:pStyle w:val="TableRow"/>
      <w:spacing w:before="0" w:after="0"/>
      <w:ind w:left="0" w:right="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073C"/>
    <w:multiLevelType w:val="hybridMultilevel"/>
    <w:tmpl w:val="FFFFFFFF"/>
    <w:lvl w:ilvl="0" w:tplc="0A2C9B7A">
      <w:start w:val="1"/>
      <w:numFmt w:val="bullet"/>
      <w:lvlText w:val=""/>
      <w:lvlJc w:val="left"/>
      <w:pPr>
        <w:ind w:left="720" w:hanging="360"/>
      </w:pPr>
      <w:rPr>
        <w:rFonts w:hint="default" w:ascii="Symbol" w:hAnsi="Symbol"/>
      </w:rPr>
    </w:lvl>
    <w:lvl w:ilvl="1" w:tplc="3A902792">
      <w:start w:val="1"/>
      <w:numFmt w:val="bullet"/>
      <w:lvlText w:val="o"/>
      <w:lvlJc w:val="left"/>
      <w:pPr>
        <w:ind w:left="1440" w:hanging="360"/>
      </w:pPr>
      <w:rPr>
        <w:rFonts w:hint="default" w:ascii="Courier New" w:hAnsi="Courier New"/>
      </w:rPr>
    </w:lvl>
    <w:lvl w:ilvl="2" w:tplc="604228E8">
      <w:start w:val="1"/>
      <w:numFmt w:val="bullet"/>
      <w:lvlText w:val=""/>
      <w:lvlJc w:val="left"/>
      <w:pPr>
        <w:ind w:left="2160" w:hanging="360"/>
      </w:pPr>
      <w:rPr>
        <w:rFonts w:hint="default" w:ascii="Wingdings" w:hAnsi="Wingdings"/>
      </w:rPr>
    </w:lvl>
    <w:lvl w:ilvl="3" w:tplc="937207E8">
      <w:start w:val="1"/>
      <w:numFmt w:val="bullet"/>
      <w:lvlText w:val=""/>
      <w:lvlJc w:val="left"/>
      <w:pPr>
        <w:ind w:left="2880" w:hanging="360"/>
      </w:pPr>
      <w:rPr>
        <w:rFonts w:hint="default" w:ascii="Symbol" w:hAnsi="Symbol"/>
      </w:rPr>
    </w:lvl>
    <w:lvl w:ilvl="4" w:tplc="980805DA">
      <w:start w:val="1"/>
      <w:numFmt w:val="bullet"/>
      <w:lvlText w:val="o"/>
      <w:lvlJc w:val="left"/>
      <w:pPr>
        <w:ind w:left="3600" w:hanging="360"/>
      </w:pPr>
      <w:rPr>
        <w:rFonts w:hint="default" w:ascii="Courier New" w:hAnsi="Courier New"/>
      </w:rPr>
    </w:lvl>
    <w:lvl w:ilvl="5" w:tplc="C6E49BCC">
      <w:start w:val="1"/>
      <w:numFmt w:val="bullet"/>
      <w:lvlText w:val=""/>
      <w:lvlJc w:val="left"/>
      <w:pPr>
        <w:ind w:left="4320" w:hanging="360"/>
      </w:pPr>
      <w:rPr>
        <w:rFonts w:hint="default" w:ascii="Wingdings" w:hAnsi="Wingdings"/>
      </w:rPr>
    </w:lvl>
    <w:lvl w:ilvl="6" w:tplc="536E2816">
      <w:start w:val="1"/>
      <w:numFmt w:val="bullet"/>
      <w:lvlText w:val=""/>
      <w:lvlJc w:val="left"/>
      <w:pPr>
        <w:ind w:left="5040" w:hanging="360"/>
      </w:pPr>
      <w:rPr>
        <w:rFonts w:hint="default" w:ascii="Symbol" w:hAnsi="Symbol"/>
      </w:rPr>
    </w:lvl>
    <w:lvl w:ilvl="7" w:tplc="4C523352">
      <w:start w:val="1"/>
      <w:numFmt w:val="bullet"/>
      <w:lvlText w:val="o"/>
      <w:lvlJc w:val="left"/>
      <w:pPr>
        <w:ind w:left="5760" w:hanging="360"/>
      </w:pPr>
      <w:rPr>
        <w:rFonts w:hint="default" w:ascii="Courier New" w:hAnsi="Courier New"/>
      </w:rPr>
    </w:lvl>
    <w:lvl w:ilvl="8" w:tplc="32E276D6">
      <w:start w:val="1"/>
      <w:numFmt w:val="bullet"/>
      <w:lvlText w:val=""/>
      <w:lvlJc w:val="left"/>
      <w:pPr>
        <w:ind w:left="6480" w:hanging="360"/>
      </w:pPr>
      <w:rPr>
        <w:rFonts w:hint="default" w:ascii="Wingdings" w:hAnsi="Wingdings"/>
      </w:rPr>
    </w:lvl>
  </w:abstractNum>
  <w:abstractNum w:abstractNumId="1" w15:restartNumberingAfterBreak="0">
    <w:nsid w:val="1499761E"/>
    <w:multiLevelType w:val="multilevel"/>
    <w:tmpl w:val="6C86EF6A"/>
    <w:lvl w:ilvl="0">
      <w:numFmt w:val="bullet"/>
      <w:pStyle w:val="ListBullet"/>
      <w:lvlText w:val=""/>
      <w:lvlJc w:val="left"/>
      <w:pPr>
        <w:ind w:left="720" w:hanging="360"/>
      </w:pPr>
      <w:rPr>
        <w:rFonts w:hint="default" w:ascii="Symbol" w:hAnsi="Symbol"/>
      </w:rPr>
    </w:lvl>
    <w:lvl w:ilvl="1">
      <w:numFmt w:val="bullet"/>
      <w:lvlText w:val=""/>
      <w:lvlJc w:val="left"/>
      <w:pPr>
        <w:ind w:left="1440" w:hanging="360"/>
      </w:pPr>
      <w:rPr>
        <w:rFonts w:hint="default" w:ascii="Symbol" w:hAnsi="Symbol"/>
        <w:color w:val="auto"/>
        <w:sz w:val="24"/>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abstractNum w:abstractNumId="2" w15:restartNumberingAfterBreak="0">
    <w:nsid w:val="212E2A8F"/>
    <w:multiLevelType w:val="multilevel"/>
    <w:tmpl w:val="D2FCC3E6"/>
    <w:styleLink w:val="WWOutlineListStyle"/>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53CB4BA"/>
    <w:multiLevelType w:val="hybridMultilevel"/>
    <w:tmpl w:val="FFFFFFFF"/>
    <w:lvl w:ilvl="0" w:tplc="D2A0F0A6">
      <w:start w:val="1"/>
      <w:numFmt w:val="bullet"/>
      <w:lvlText w:val=""/>
      <w:lvlJc w:val="left"/>
      <w:pPr>
        <w:ind w:left="720" w:hanging="360"/>
      </w:pPr>
      <w:rPr>
        <w:rFonts w:hint="default" w:ascii="Symbol" w:hAnsi="Symbol"/>
      </w:rPr>
    </w:lvl>
    <w:lvl w:ilvl="1" w:tplc="B9DCD65E">
      <w:start w:val="1"/>
      <w:numFmt w:val="bullet"/>
      <w:lvlText w:val="o"/>
      <w:lvlJc w:val="left"/>
      <w:pPr>
        <w:ind w:left="1440" w:hanging="360"/>
      </w:pPr>
      <w:rPr>
        <w:rFonts w:hint="default" w:ascii="Courier New" w:hAnsi="Courier New"/>
      </w:rPr>
    </w:lvl>
    <w:lvl w:ilvl="2" w:tplc="7E0E6E66">
      <w:start w:val="1"/>
      <w:numFmt w:val="bullet"/>
      <w:lvlText w:val=""/>
      <w:lvlJc w:val="left"/>
      <w:pPr>
        <w:ind w:left="2160" w:hanging="360"/>
      </w:pPr>
      <w:rPr>
        <w:rFonts w:hint="default" w:ascii="Wingdings" w:hAnsi="Wingdings"/>
      </w:rPr>
    </w:lvl>
    <w:lvl w:ilvl="3" w:tplc="9F88A8AE">
      <w:start w:val="1"/>
      <w:numFmt w:val="bullet"/>
      <w:lvlText w:val=""/>
      <w:lvlJc w:val="left"/>
      <w:pPr>
        <w:ind w:left="2880" w:hanging="360"/>
      </w:pPr>
      <w:rPr>
        <w:rFonts w:hint="default" w:ascii="Symbol" w:hAnsi="Symbol"/>
      </w:rPr>
    </w:lvl>
    <w:lvl w:ilvl="4" w:tplc="ABE2A784">
      <w:start w:val="1"/>
      <w:numFmt w:val="bullet"/>
      <w:lvlText w:val="o"/>
      <w:lvlJc w:val="left"/>
      <w:pPr>
        <w:ind w:left="3600" w:hanging="360"/>
      </w:pPr>
      <w:rPr>
        <w:rFonts w:hint="default" w:ascii="Courier New" w:hAnsi="Courier New"/>
      </w:rPr>
    </w:lvl>
    <w:lvl w:ilvl="5" w:tplc="150A821C">
      <w:start w:val="1"/>
      <w:numFmt w:val="bullet"/>
      <w:lvlText w:val=""/>
      <w:lvlJc w:val="left"/>
      <w:pPr>
        <w:ind w:left="4320" w:hanging="360"/>
      </w:pPr>
      <w:rPr>
        <w:rFonts w:hint="default" w:ascii="Wingdings" w:hAnsi="Wingdings"/>
      </w:rPr>
    </w:lvl>
    <w:lvl w:ilvl="6" w:tplc="CCD497F4">
      <w:start w:val="1"/>
      <w:numFmt w:val="bullet"/>
      <w:lvlText w:val=""/>
      <w:lvlJc w:val="left"/>
      <w:pPr>
        <w:ind w:left="5040" w:hanging="360"/>
      </w:pPr>
      <w:rPr>
        <w:rFonts w:hint="default" w:ascii="Symbol" w:hAnsi="Symbol"/>
      </w:rPr>
    </w:lvl>
    <w:lvl w:ilvl="7" w:tplc="1BF4E086">
      <w:start w:val="1"/>
      <w:numFmt w:val="bullet"/>
      <w:lvlText w:val="o"/>
      <w:lvlJc w:val="left"/>
      <w:pPr>
        <w:ind w:left="5760" w:hanging="360"/>
      </w:pPr>
      <w:rPr>
        <w:rFonts w:hint="default" w:ascii="Courier New" w:hAnsi="Courier New"/>
      </w:rPr>
    </w:lvl>
    <w:lvl w:ilvl="8" w:tplc="0F58F5B6">
      <w:start w:val="1"/>
      <w:numFmt w:val="bullet"/>
      <w:lvlText w:val=""/>
      <w:lvlJc w:val="left"/>
      <w:pPr>
        <w:ind w:left="6480" w:hanging="360"/>
      </w:pPr>
      <w:rPr>
        <w:rFonts w:hint="default" w:ascii="Wingdings" w:hAnsi="Wingdings"/>
      </w:rPr>
    </w:lvl>
  </w:abstractNum>
  <w:abstractNum w:abstractNumId="5" w15:restartNumberingAfterBreak="0">
    <w:nsid w:val="26D7422D"/>
    <w:multiLevelType w:val="multilevel"/>
    <w:tmpl w:val="D14605B6"/>
    <w:styleLink w:val="LFO34"/>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lvl w:ilvl="0">
      <w:numFmt w:val="bullet"/>
      <w:pStyle w:val="ListBullet4"/>
      <w:lvlText w:val=""/>
      <w:lvlJc w:val="left"/>
      <w:pPr>
        <w:ind w:left="1209" w:hanging="360"/>
      </w:pPr>
      <w:rPr>
        <w:rFonts w:hint="default"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34817102"/>
    <w:multiLevelType w:val="hybridMultilevel"/>
    <w:tmpl w:val="FFFFFFFF"/>
    <w:lvl w:ilvl="0" w:tplc="16065746">
      <w:start w:val="1"/>
      <w:numFmt w:val="bullet"/>
      <w:lvlText w:val=""/>
      <w:lvlJc w:val="left"/>
      <w:pPr>
        <w:ind w:left="720" w:hanging="360"/>
      </w:pPr>
      <w:rPr>
        <w:rFonts w:hint="default" w:ascii="Symbol" w:hAnsi="Symbol"/>
      </w:rPr>
    </w:lvl>
    <w:lvl w:ilvl="1" w:tplc="B53C517E">
      <w:start w:val="1"/>
      <w:numFmt w:val="bullet"/>
      <w:lvlText w:val="o"/>
      <w:lvlJc w:val="left"/>
      <w:pPr>
        <w:ind w:left="1440" w:hanging="360"/>
      </w:pPr>
      <w:rPr>
        <w:rFonts w:hint="default" w:ascii="Courier New" w:hAnsi="Courier New"/>
      </w:rPr>
    </w:lvl>
    <w:lvl w:ilvl="2" w:tplc="CF52FB20">
      <w:start w:val="1"/>
      <w:numFmt w:val="bullet"/>
      <w:lvlText w:val=""/>
      <w:lvlJc w:val="left"/>
      <w:pPr>
        <w:ind w:left="2160" w:hanging="360"/>
      </w:pPr>
      <w:rPr>
        <w:rFonts w:hint="default" w:ascii="Wingdings" w:hAnsi="Wingdings"/>
      </w:rPr>
    </w:lvl>
    <w:lvl w:ilvl="3" w:tplc="856055D4">
      <w:start w:val="1"/>
      <w:numFmt w:val="bullet"/>
      <w:lvlText w:val=""/>
      <w:lvlJc w:val="left"/>
      <w:pPr>
        <w:ind w:left="2880" w:hanging="360"/>
      </w:pPr>
      <w:rPr>
        <w:rFonts w:hint="default" w:ascii="Symbol" w:hAnsi="Symbol"/>
      </w:rPr>
    </w:lvl>
    <w:lvl w:ilvl="4" w:tplc="21589804">
      <w:start w:val="1"/>
      <w:numFmt w:val="bullet"/>
      <w:lvlText w:val="o"/>
      <w:lvlJc w:val="left"/>
      <w:pPr>
        <w:ind w:left="3600" w:hanging="360"/>
      </w:pPr>
      <w:rPr>
        <w:rFonts w:hint="default" w:ascii="Courier New" w:hAnsi="Courier New"/>
      </w:rPr>
    </w:lvl>
    <w:lvl w:ilvl="5" w:tplc="5472FAB0">
      <w:start w:val="1"/>
      <w:numFmt w:val="bullet"/>
      <w:lvlText w:val=""/>
      <w:lvlJc w:val="left"/>
      <w:pPr>
        <w:ind w:left="4320" w:hanging="360"/>
      </w:pPr>
      <w:rPr>
        <w:rFonts w:hint="default" w:ascii="Wingdings" w:hAnsi="Wingdings"/>
      </w:rPr>
    </w:lvl>
    <w:lvl w:ilvl="6" w:tplc="EFE0F710">
      <w:start w:val="1"/>
      <w:numFmt w:val="bullet"/>
      <w:lvlText w:val=""/>
      <w:lvlJc w:val="left"/>
      <w:pPr>
        <w:ind w:left="5040" w:hanging="360"/>
      </w:pPr>
      <w:rPr>
        <w:rFonts w:hint="default" w:ascii="Symbol" w:hAnsi="Symbol"/>
      </w:rPr>
    </w:lvl>
    <w:lvl w:ilvl="7" w:tplc="DF14C0E0">
      <w:start w:val="1"/>
      <w:numFmt w:val="bullet"/>
      <w:lvlText w:val="o"/>
      <w:lvlJc w:val="left"/>
      <w:pPr>
        <w:ind w:left="5760" w:hanging="360"/>
      </w:pPr>
      <w:rPr>
        <w:rFonts w:hint="default" w:ascii="Courier New" w:hAnsi="Courier New"/>
      </w:rPr>
    </w:lvl>
    <w:lvl w:ilvl="8" w:tplc="07965B70">
      <w:start w:val="1"/>
      <w:numFmt w:val="bullet"/>
      <w:lvlText w:val=""/>
      <w:lvlJc w:val="left"/>
      <w:pPr>
        <w:ind w:left="6480" w:hanging="360"/>
      </w:pPr>
      <w:rPr>
        <w:rFonts w:hint="default" w:ascii="Wingdings" w:hAnsi="Wingdings"/>
      </w:rPr>
    </w:lvl>
  </w:abstractNum>
  <w:abstractNum w:abstractNumId="8" w15:restartNumberingAfterBreak="0">
    <w:nsid w:val="352B3B59"/>
    <w:multiLevelType w:val="hybridMultilevel"/>
    <w:tmpl w:val="FFFFFFFF"/>
    <w:lvl w:ilvl="0" w:tplc="7F183E82">
      <w:start w:val="1"/>
      <w:numFmt w:val="bullet"/>
      <w:lvlText w:val=""/>
      <w:lvlJc w:val="left"/>
      <w:pPr>
        <w:ind w:left="720" w:hanging="360"/>
      </w:pPr>
      <w:rPr>
        <w:rFonts w:hint="default" w:ascii="Symbol" w:hAnsi="Symbol"/>
      </w:rPr>
    </w:lvl>
    <w:lvl w:ilvl="1" w:tplc="719621E0">
      <w:start w:val="1"/>
      <w:numFmt w:val="bullet"/>
      <w:lvlText w:val="o"/>
      <w:lvlJc w:val="left"/>
      <w:pPr>
        <w:ind w:left="1440" w:hanging="360"/>
      </w:pPr>
      <w:rPr>
        <w:rFonts w:hint="default" w:ascii="Courier New" w:hAnsi="Courier New"/>
      </w:rPr>
    </w:lvl>
    <w:lvl w:ilvl="2" w:tplc="199E4120">
      <w:start w:val="1"/>
      <w:numFmt w:val="bullet"/>
      <w:lvlText w:val=""/>
      <w:lvlJc w:val="left"/>
      <w:pPr>
        <w:ind w:left="2160" w:hanging="360"/>
      </w:pPr>
      <w:rPr>
        <w:rFonts w:hint="default" w:ascii="Wingdings" w:hAnsi="Wingdings"/>
      </w:rPr>
    </w:lvl>
    <w:lvl w:ilvl="3" w:tplc="B8342A7C">
      <w:start w:val="1"/>
      <w:numFmt w:val="bullet"/>
      <w:lvlText w:val=""/>
      <w:lvlJc w:val="left"/>
      <w:pPr>
        <w:ind w:left="2880" w:hanging="360"/>
      </w:pPr>
      <w:rPr>
        <w:rFonts w:hint="default" w:ascii="Symbol" w:hAnsi="Symbol"/>
      </w:rPr>
    </w:lvl>
    <w:lvl w:ilvl="4" w:tplc="24D8E998">
      <w:start w:val="1"/>
      <w:numFmt w:val="bullet"/>
      <w:lvlText w:val="o"/>
      <w:lvlJc w:val="left"/>
      <w:pPr>
        <w:ind w:left="3600" w:hanging="360"/>
      </w:pPr>
      <w:rPr>
        <w:rFonts w:hint="default" w:ascii="Courier New" w:hAnsi="Courier New"/>
      </w:rPr>
    </w:lvl>
    <w:lvl w:ilvl="5" w:tplc="EBACEBB4">
      <w:start w:val="1"/>
      <w:numFmt w:val="bullet"/>
      <w:lvlText w:val=""/>
      <w:lvlJc w:val="left"/>
      <w:pPr>
        <w:ind w:left="4320" w:hanging="360"/>
      </w:pPr>
      <w:rPr>
        <w:rFonts w:hint="default" w:ascii="Wingdings" w:hAnsi="Wingdings"/>
      </w:rPr>
    </w:lvl>
    <w:lvl w:ilvl="6" w:tplc="01A6A070">
      <w:start w:val="1"/>
      <w:numFmt w:val="bullet"/>
      <w:lvlText w:val=""/>
      <w:lvlJc w:val="left"/>
      <w:pPr>
        <w:ind w:left="5040" w:hanging="360"/>
      </w:pPr>
      <w:rPr>
        <w:rFonts w:hint="default" w:ascii="Symbol" w:hAnsi="Symbol"/>
      </w:rPr>
    </w:lvl>
    <w:lvl w:ilvl="7" w:tplc="66101334">
      <w:start w:val="1"/>
      <w:numFmt w:val="bullet"/>
      <w:lvlText w:val="o"/>
      <w:lvlJc w:val="left"/>
      <w:pPr>
        <w:ind w:left="5760" w:hanging="360"/>
      </w:pPr>
      <w:rPr>
        <w:rFonts w:hint="default" w:ascii="Courier New" w:hAnsi="Courier New"/>
      </w:rPr>
    </w:lvl>
    <w:lvl w:ilvl="8" w:tplc="1A884BA4">
      <w:start w:val="1"/>
      <w:numFmt w:val="bullet"/>
      <w:lvlText w:val=""/>
      <w:lvlJc w:val="left"/>
      <w:pPr>
        <w:ind w:left="6480" w:hanging="360"/>
      </w:pPr>
      <w:rPr>
        <w:rFonts w:hint="default" w:ascii="Wingdings" w:hAnsi="Wingdings"/>
      </w:rPr>
    </w:lvl>
  </w:abstractNum>
  <w:abstractNum w:abstractNumId="9" w15:restartNumberingAfterBreak="0">
    <w:nsid w:val="3FE9198B"/>
    <w:multiLevelType w:val="multilevel"/>
    <w:tmpl w:val="2A508BBA"/>
    <w:lvl w:ilvl="0">
      <w:numFmt w:val="bullet"/>
      <w:pStyle w:val="ListBullet2"/>
      <w:lvlText w:val=""/>
      <w:lvlJc w:val="left"/>
      <w:pPr>
        <w:ind w:left="643" w:hanging="360"/>
      </w:pPr>
      <w:rPr>
        <w:rFonts w:hint="default"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056A02A"/>
    <w:multiLevelType w:val="multilevel"/>
    <w:tmpl w:val="307EE2C4"/>
    <w:styleLink w:val="LFO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37A60BB"/>
    <w:multiLevelType w:val="hybridMultilevel"/>
    <w:tmpl w:val="4A4247AE"/>
    <w:lvl w:ilvl="0" w:tplc="E8D2847C">
      <w:start w:val="1"/>
      <w:numFmt w:val="bullet"/>
      <w:lvlText w:val=""/>
      <w:lvlJc w:val="left"/>
      <w:pPr>
        <w:ind w:left="720" w:hanging="360"/>
      </w:pPr>
      <w:rPr>
        <w:rFonts w:hint="default" w:ascii="Symbol" w:hAnsi="Symbol"/>
        <w:color w:val="auto"/>
      </w:rPr>
    </w:lvl>
    <w:lvl w:ilvl="1" w:tplc="00369A2C" w:tentative="1">
      <w:start w:val="1"/>
      <w:numFmt w:val="bullet"/>
      <w:lvlText w:val="o"/>
      <w:lvlJc w:val="left"/>
      <w:pPr>
        <w:ind w:left="1440" w:hanging="360"/>
      </w:pPr>
      <w:rPr>
        <w:rFonts w:hint="default" w:ascii="Courier New" w:hAnsi="Courier New"/>
      </w:rPr>
    </w:lvl>
    <w:lvl w:ilvl="2" w:tplc="374CCBA2" w:tentative="1">
      <w:start w:val="1"/>
      <w:numFmt w:val="bullet"/>
      <w:lvlText w:val=""/>
      <w:lvlJc w:val="left"/>
      <w:pPr>
        <w:ind w:left="2160" w:hanging="360"/>
      </w:pPr>
      <w:rPr>
        <w:rFonts w:hint="default" w:ascii="Wingdings" w:hAnsi="Wingdings"/>
      </w:rPr>
    </w:lvl>
    <w:lvl w:ilvl="3" w:tplc="867011AE" w:tentative="1">
      <w:start w:val="1"/>
      <w:numFmt w:val="bullet"/>
      <w:lvlText w:val=""/>
      <w:lvlJc w:val="left"/>
      <w:pPr>
        <w:ind w:left="2880" w:hanging="360"/>
      </w:pPr>
      <w:rPr>
        <w:rFonts w:hint="default" w:ascii="Symbol" w:hAnsi="Symbol"/>
      </w:rPr>
    </w:lvl>
    <w:lvl w:ilvl="4" w:tplc="BF7C94D0" w:tentative="1">
      <w:start w:val="1"/>
      <w:numFmt w:val="bullet"/>
      <w:lvlText w:val="o"/>
      <w:lvlJc w:val="left"/>
      <w:pPr>
        <w:ind w:left="3600" w:hanging="360"/>
      </w:pPr>
      <w:rPr>
        <w:rFonts w:hint="default" w:ascii="Courier New" w:hAnsi="Courier New"/>
      </w:rPr>
    </w:lvl>
    <w:lvl w:ilvl="5" w:tplc="561600DA" w:tentative="1">
      <w:start w:val="1"/>
      <w:numFmt w:val="bullet"/>
      <w:lvlText w:val=""/>
      <w:lvlJc w:val="left"/>
      <w:pPr>
        <w:ind w:left="4320" w:hanging="360"/>
      </w:pPr>
      <w:rPr>
        <w:rFonts w:hint="default" w:ascii="Wingdings" w:hAnsi="Wingdings"/>
      </w:rPr>
    </w:lvl>
    <w:lvl w:ilvl="6" w:tplc="EFA42DAA" w:tentative="1">
      <w:start w:val="1"/>
      <w:numFmt w:val="bullet"/>
      <w:lvlText w:val=""/>
      <w:lvlJc w:val="left"/>
      <w:pPr>
        <w:ind w:left="5040" w:hanging="360"/>
      </w:pPr>
      <w:rPr>
        <w:rFonts w:hint="default" w:ascii="Symbol" w:hAnsi="Symbol"/>
      </w:rPr>
    </w:lvl>
    <w:lvl w:ilvl="7" w:tplc="4FBC6EF4" w:tentative="1">
      <w:start w:val="1"/>
      <w:numFmt w:val="bullet"/>
      <w:lvlText w:val="o"/>
      <w:lvlJc w:val="left"/>
      <w:pPr>
        <w:ind w:left="5760" w:hanging="360"/>
      </w:pPr>
      <w:rPr>
        <w:rFonts w:hint="default" w:ascii="Courier New" w:hAnsi="Courier New"/>
      </w:rPr>
    </w:lvl>
    <w:lvl w:ilvl="8" w:tplc="25BE5CD8" w:tentative="1">
      <w:start w:val="1"/>
      <w:numFmt w:val="bullet"/>
      <w:lvlText w:val=""/>
      <w:lvlJc w:val="left"/>
      <w:pPr>
        <w:ind w:left="6480" w:hanging="360"/>
      </w:pPr>
      <w:rPr>
        <w:rFonts w:hint="default" w:ascii="Wingdings" w:hAnsi="Wingdings"/>
      </w:rPr>
    </w:lvl>
  </w:abstractNum>
  <w:abstractNum w:abstractNumId="12" w15:restartNumberingAfterBreak="0">
    <w:nsid w:val="48396DC8"/>
    <w:multiLevelType w:val="hybridMultilevel"/>
    <w:tmpl w:val="D222FD24"/>
    <w:lvl w:ilvl="0" w:tplc="38602822">
      <w:start w:val="1"/>
      <w:numFmt w:val="bullet"/>
      <w:lvlText w:val=""/>
      <w:lvlJc w:val="left"/>
      <w:pPr>
        <w:ind w:left="360" w:hanging="360"/>
      </w:pPr>
      <w:rPr>
        <w:rFonts w:hint="default" w:ascii="Symbol" w:hAnsi="Symbol"/>
      </w:rPr>
    </w:lvl>
    <w:lvl w:ilvl="1" w:tplc="E4EE3202" w:tentative="1">
      <w:start w:val="1"/>
      <w:numFmt w:val="bullet"/>
      <w:lvlText w:val="o"/>
      <w:lvlJc w:val="left"/>
      <w:pPr>
        <w:ind w:left="1080" w:hanging="360"/>
      </w:pPr>
      <w:rPr>
        <w:rFonts w:hint="default" w:ascii="Courier New" w:hAnsi="Courier New"/>
      </w:rPr>
    </w:lvl>
    <w:lvl w:ilvl="2" w:tplc="D4D69AFA" w:tentative="1">
      <w:start w:val="1"/>
      <w:numFmt w:val="bullet"/>
      <w:lvlText w:val=""/>
      <w:lvlJc w:val="left"/>
      <w:pPr>
        <w:ind w:left="1800" w:hanging="360"/>
      </w:pPr>
      <w:rPr>
        <w:rFonts w:hint="default" w:ascii="Wingdings" w:hAnsi="Wingdings"/>
      </w:rPr>
    </w:lvl>
    <w:lvl w:ilvl="3" w:tplc="12D013E2" w:tentative="1">
      <w:start w:val="1"/>
      <w:numFmt w:val="bullet"/>
      <w:lvlText w:val=""/>
      <w:lvlJc w:val="left"/>
      <w:pPr>
        <w:ind w:left="2520" w:hanging="360"/>
      </w:pPr>
      <w:rPr>
        <w:rFonts w:hint="default" w:ascii="Symbol" w:hAnsi="Symbol"/>
      </w:rPr>
    </w:lvl>
    <w:lvl w:ilvl="4" w:tplc="24E61808" w:tentative="1">
      <w:start w:val="1"/>
      <w:numFmt w:val="bullet"/>
      <w:lvlText w:val="o"/>
      <w:lvlJc w:val="left"/>
      <w:pPr>
        <w:ind w:left="3240" w:hanging="360"/>
      </w:pPr>
      <w:rPr>
        <w:rFonts w:hint="default" w:ascii="Courier New" w:hAnsi="Courier New"/>
      </w:rPr>
    </w:lvl>
    <w:lvl w:ilvl="5" w:tplc="703C2536" w:tentative="1">
      <w:start w:val="1"/>
      <w:numFmt w:val="bullet"/>
      <w:lvlText w:val=""/>
      <w:lvlJc w:val="left"/>
      <w:pPr>
        <w:ind w:left="3960" w:hanging="360"/>
      </w:pPr>
      <w:rPr>
        <w:rFonts w:hint="default" w:ascii="Wingdings" w:hAnsi="Wingdings"/>
      </w:rPr>
    </w:lvl>
    <w:lvl w:ilvl="6" w:tplc="EAD47D96" w:tentative="1">
      <w:start w:val="1"/>
      <w:numFmt w:val="bullet"/>
      <w:lvlText w:val=""/>
      <w:lvlJc w:val="left"/>
      <w:pPr>
        <w:ind w:left="4680" w:hanging="360"/>
      </w:pPr>
      <w:rPr>
        <w:rFonts w:hint="default" w:ascii="Symbol" w:hAnsi="Symbol"/>
      </w:rPr>
    </w:lvl>
    <w:lvl w:ilvl="7" w:tplc="79BCBBCA" w:tentative="1">
      <w:start w:val="1"/>
      <w:numFmt w:val="bullet"/>
      <w:lvlText w:val="o"/>
      <w:lvlJc w:val="left"/>
      <w:pPr>
        <w:ind w:left="5400" w:hanging="360"/>
      </w:pPr>
      <w:rPr>
        <w:rFonts w:hint="default" w:ascii="Courier New" w:hAnsi="Courier New"/>
      </w:rPr>
    </w:lvl>
    <w:lvl w:ilvl="8" w:tplc="CAD8459C" w:tentative="1">
      <w:start w:val="1"/>
      <w:numFmt w:val="bullet"/>
      <w:lvlText w:val=""/>
      <w:lvlJc w:val="left"/>
      <w:pPr>
        <w:ind w:left="6120" w:hanging="360"/>
      </w:pPr>
      <w:rPr>
        <w:rFonts w:hint="default" w:ascii="Wingdings" w:hAnsi="Wingdings"/>
      </w:rPr>
    </w:lvl>
  </w:abstractNum>
  <w:abstractNum w:abstractNumId="13" w15:restartNumberingAfterBreak="0">
    <w:nsid w:val="4B95767B"/>
    <w:multiLevelType w:val="multilevel"/>
    <w:tmpl w:val="4AF4F444"/>
    <w:styleLink w:val="LFO3"/>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53B2EB5"/>
    <w:multiLevelType w:val="hybridMultilevel"/>
    <w:tmpl w:val="FFFFFFFF"/>
    <w:lvl w:ilvl="0" w:tplc="6FFEF50A">
      <w:start w:val="1"/>
      <w:numFmt w:val="bullet"/>
      <w:lvlText w:val=""/>
      <w:lvlJc w:val="left"/>
      <w:pPr>
        <w:ind w:left="720" w:hanging="360"/>
      </w:pPr>
      <w:rPr>
        <w:rFonts w:hint="default" w:ascii="Symbol" w:hAnsi="Symbol"/>
      </w:rPr>
    </w:lvl>
    <w:lvl w:ilvl="1" w:tplc="4314D75E">
      <w:start w:val="1"/>
      <w:numFmt w:val="bullet"/>
      <w:lvlText w:val="o"/>
      <w:lvlJc w:val="left"/>
      <w:pPr>
        <w:ind w:left="1440" w:hanging="360"/>
      </w:pPr>
      <w:rPr>
        <w:rFonts w:hint="default" w:ascii="Courier New" w:hAnsi="Courier New"/>
      </w:rPr>
    </w:lvl>
    <w:lvl w:ilvl="2" w:tplc="ABFE9FC8">
      <w:start w:val="1"/>
      <w:numFmt w:val="bullet"/>
      <w:lvlText w:val=""/>
      <w:lvlJc w:val="left"/>
      <w:pPr>
        <w:ind w:left="2160" w:hanging="360"/>
      </w:pPr>
      <w:rPr>
        <w:rFonts w:hint="default" w:ascii="Wingdings" w:hAnsi="Wingdings"/>
      </w:rPr>
    </w:lvl>
    <w:lvl w:ilvl="3" w:tplc="494C734C">
      <w:start w:val="1"/>
      <w:numFmt w:val="bullet"/>
      <w:lvlText w:val=""/>
      <w:lvlJc w:val="left"/>
      <w:pPr>
        <w:ind w:left="2880" w:hanging="360"/>
      </w:pPr>
      <w:rPr>
        <w:rFonts w:hint="default" w:ascii="Symbol" w:hAnsi="Symbol"/>
      </w:rPr>
    </w:lvl>
    <w:lvl w:ilvl="4" w:tplc="8B7A4DEE">
      <w:start w:val="1"/>
      <w:numFmt w:val="bullet"/>
      <w:lvlText w:val="o"/>
      <w:lvlJc w:val="left"/>
      <w:pPr>
        <w:ind w:left="3600" w:hanging="360"/>
      </w:pPr>
      <w:rPr>
        <w:rFonts w:hint="default" w:ascii="Courier New" w:hAnsi="Courier New"/>
      </w:rPr>
    </w:lvl>
    <w:lvl w:ilvl="5" w:tplc="2C4A8BBC">
      <w:start w:val="1"/>
      <w:numFmt w:val="bullet"/>
      <w:lvlText w:val=""/>
      <w:lvlJc w:val="left"/>
      <w:pPr>
        <w:ind w:left="4320" w:hanging="360"/>
      </w:pPr>
      <w:rPr>
        <w:rFonts w:hint="default" w:ascii="Wingdings" w:hAnsi="Wingdings"/>
      </w:rPr>
    </w:lvl>
    <w:lvl w:ilvl="6" w:tplc="14F0AE9E">
      <w:start w:val="1"/>
      <w:numFmt w:val="bullet"/>
      <w:lvlText w:val=""/>
      <w:lvlJc w:val="left"/>
      <w:pPr>
        <w:ind w:left="5040" w:hanging="360"/>
      </w:pPr>
      <w:rPr>
        <w:rFonts w:hint="default" w:ascii="Symbol" w:hAnsi="Symbol"/>
      </w:rPr>
    </w:lvl>
    <w:lvl w:ilvl="7" w:tplc="508225FE">
      <w:start w:val="1"/>
      <w:numFmt w:val="bullet"/>
      <w:lvlText w:val="o"/>
      <w:lvlJc w:val="left"/>
      <w:pPr>
        <w:ind w:left="5760" w:hanging="360"/>
      </w:pPr>
      <w:rPr>
        <w:rFonts w:hint="default" w:ascii="Courier New" w:hAnsi="Courier New"/>
      </w:rPr>
    </w:lvl>
    <w:lvl w:ilvl="8" w:tplc="C9CE8CE6">
      <w:start w:val="1"/>
      <w:numFmt w:val="bullet"/>
      <w:lvlText w:val=""/>
      <w:lvlJc w:val="left"/>
      <w:pPr>
        <w:ind w:left="6480" w:hanging="360"/>
      </w:pPr>
      <w:rPr>
        <w:rFonts w:hint="default" w:ascii="Wingdings" w:hAnsi="Wingdings"/>
      </w:rPr>
    </w:lvl>
  </w:abstractNum>
  <w:abstractNum w:abstractNumId="15" w15:restartNumberingAfterBreak="0">
    <w:nsid w:val="68B2215D"/>
    <w:multiLevelType w:val="hybridMultilevel"/>
    <w:tmpl w:val="FFFFFFFF"/>
    <w:styleLink w:val="LFO9"/>
    <w:lvl w:ilvl="0" w:tplc="81CCD198">
      <w:start w:val="1"/>
      <w:numFmt w:val="bullet"/>
      <w:lvlText w:val=""/>
      <w:lvlJc w:val="left"/>
      <w:pPr>
        <w:ind w:left="360" w:hanging="360"/>
      </w:pPr>
      <w:rPr>
        <w:rFonts w:hint="default" w:ascii="Symbol" w:hAnsi="Symbol"/>
      </w:rPr>
    </w:lvl>
    <w:lvl w:ilvl="1" w:tplc="71540F0A">
      <w:start w:val="1"/>
      <w:numFmt w:val="bullet"/>
      <w:lvlText w:val="o"/>
      <w:lvlJc w:val="left"/>
      <w:pPr>
        <w:ind w:left="1080" w:hanging="360"/>
      </w:pPr>
      <w:rPr>
        <w:rFonts w:hint="default" w:ascii="Courier New" w:hAnsi="Courier New"/>
      </w:rPr>
    </w:lvl>
    <w:lvl w:ilvl="2" w:tplc="579C547A">
      <w:start w:val="1"/>
      <w:numFmt w:val="bullet"/>
      <w:lvlText w:val=""/>
      <w:lvlJc w:val="left"/>
      <w:pPr>
        <w:ind w:left="1800" w:hanging="360"/>
      </w:pPr>
      <w:rPr>
        <w:rFonts w:hint="default" w:ascii="Wingdings" w:hAnsi="Wingdings"/>
      </w:rPr>
    </w:lvl>
    <w:lvl w:ilvl="3" w:tplc="3AD43162">
      <w:start w:val="1"/>
      <w:numFmt w:val="bullet"/>
      <w:lvlText w:val=""/>
      <w:lvlJc w:val="left"/>
      <w:pPr>
        <w:ind w:left="2520" w:hanging="360"/>
      </w:pPr>
      <w:rPr>
        <w:rFonts w:hint="default" w:ascii="Symbol" w:hAnsi="Symbol"/>
      </w:rPr>
    </w:lvl>
    <w:lvl w:ilvl="4" w:tplc="EB26955E">
      <w:start w:val="1"/>
      <w:numFmt w:val="bullet"/>
      <w:lvlText w:val="o"/>
      <w:lvlJc w:val="left"/>
      <w:pPr>
        <w:ind w:left="3240" w:hanging="360"/>
      </w:pPr>
      <w:rPr>
        <w:rFonts w:hint="default" w:ascii="Courier New" w:hAnsi="Courier New"/>
      </w:rPr>
    </w:lvl>
    <w:lvl w:ilvl="5" w:tplc="B2CCDBE4">
      <w:start w:val="1"/>
      <w:numFmt w:val="bullet"/>
      <w:lvlText w:val=""/>
      <w:lvlJc w:val="left"/>
      <w:pPr>
        <w:ind w:left="3960" w:hanging="360"/>
      </w:pPr>
      <w:rPr>
        <w:rFonts w:hint="default" w:ascii="Wingdings" w:hAnsi="Wingdings"/>
      </w:rPr>
    </w:lvl>
    <w:lvl w:ilvl="6" w:tplc="5D424230">
      <w:start w:val="1"/>
      <w:numFmt w:val="bullet"/>
      <w:lvlText w:val=""/>
      <w:lvlJc w:val="left"/>
      <w:pPr>
        <w:ind w:left="4680" w:hanging="360"/>
      </w:pPr>
      <w:rPr>
        <w:rFonts w:hint="default" w:ascii="Symbol" w:hAnsi="Symbol"/>
      </w:rPr>
    </w:lvl>
    <w:lvl w:ilvl="7" w:tplc="9306F504">
      <w:start w:val="1"/>
      <w:numFmt w:val="bullet"/>
      <w:lvlText w:val="o"/>
      <w:lvlJc w:val="left"/>
      <w:pPr>
        <w:ind w:left="5400" w:hanging="360"/>
      </w:pPr>
      <w:rPr>
        <w:rFonts w:hint="default" w:ascii="Courier New" w:hAnsi="Courier New"/>
      </w:rPr>
    </w:lvl>
    <w:lvl w:ilvl="8" w:tplc="41B41B54">
      <w:start w:val="1"/>
      <w:numFmt w:val="bullet"/>
      <w:lvlText w:val=""/>
      <w:lvlJc w:val="left"/>
      <w:pPr>
        <w:ind w:left="6120" w:hanging="360"/>
      </w:pPr>
      <w:rPr>
        <w:rFonts w:hint="default" w:ascii="Wingdings" w:hAnsi="Wingdings"/>
      </w:rPr>
    </w:lvl>
  </w:abstractNum>
  <w:abstractNum w:abstractNumId="16" w15:restartNumberingAfterBreak="0">
    <w:nsid w:val="68F37F9D"/>
    <w:multiLevelType w:val="multilevel"/>
    <w:tmpl w:val="DE90E1B2"/>
    <w:lvl w:ilvl="0">
      <w:numFmt w:val="bullet"/>
      <w:pStyle w:val="ListBullet3"/>
      <w:lvlText w:val=""/>
      <w:lvlJc w:val="left"/>
      <w:pPr>
        <w:ind w:left="926" w:hanging="360"/>
      </w:pPr>
      <w:rPr>
        <w:rFonts w:hint="default"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6A89E5B1"/>
    <w:multiLevelType w:val="multilevel"/>
    <w:tmpl w:val="B0AC61C4"/>
    <w:styleLink w:val="LFO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F8AFB25"/>
    <w:multiLevelType w:val="multilevel"/>
    <w:tmpl w:val="00A2BB82"/>
    <w:styleLink w:val="WWOutlineListStyle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704D82EB"/>
    <w:multiLevelType w:val="multilevel"/>
    <w:tmpl w:val="C2223F1C"/>
    <w:styleLink w:val="LFO1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hint="default" w:ascii="Symbol" w:hAnsi="Symbol"/>
      </w:rPr>
    </w:lvl>
    <w:lvl w:ilvl="1">
      <w:numFmt w:val="bullet"/>
      <w:lvlText w:val="o"/>
      <w:lvlJc w:val="left"/>
      <w:pPr>
        <w:ind w:left="1800" w:hanging="360"/>
      </w:pPr>
      <w:rPr>
        <w:rFonts w:hint="default" w:ascii="Courier New" w:hAnsi="Courier New"/>
      </w:rPr>
    </w:lvl>
    <w:lvl w:ilvl="2">
      <w:numFmt w:val="bullet"/>
      <w:lvlText w:val=""/>
      <w:lvlJc w:val="left"/>
      <w:pPr>
        <w:ind w:left="2520" w:hanging="360"/>
      </w:pPr>
      <w:rPr>
        <w:rFonts w:hint="default" w:ascii="Wingdings" w:hAnsi="Wingdings"/>
      </w:rPr>
    </w:lvl>
    <w:lvl w:ilvl="3">
      <w:numFmt w:val="bullet"/>
      <w:lvlText w:val=""/>
      <w:lvlJc w:val="left"/>
      <w:pPr>
        <w:ind w:left="3240" w:hanging="360"/>
      </w:pPr>
      <w:rPr>
        <w:rFonts w:hint="default" w:ascii="Symbol" w:hAnsi="Symbol"/>
      </w:rPr>
    </w:lvl>
    <w:lvl w:ilvl="4">
      <w:numFmt w:val="bullet"/>
      <w:lvlText w:val="o"/>
      <w:lvlJc w:val="left"/>
      <w:pPr>
        <w:ind w:left="3960" w:hanging="360"/>
      </w:pPr>
      <w:rPr>
        <w:rFonts w:hint="default" w:ascii="Courier New" w:hAnsi="Courier New"/>
      </w:rPr>
    </w:lvl>
    <w:lvl w:ilvl="5">
      <w:numFmt w:val="bullet"/>
      <w:lvlText w:val=""/>
      <w:lvlJc w:val="left"/>
      <w:pPr>
        <w:ind w:left="4680" w:hanging="360"/>
      </w:pPr>
      <w:rPr>
        <w:rFonts w:hint="default" w:ascii="Wingdings" w:hAnsi="Wingdings"/>
      </w:rPr>
    </w:lvl>
    <w:lvl w:ilvl="6">
      <w:numFmt w:val="bullet"/>
      <w:lvlText w:val=""/>
      <w:lvlJc w:val="left"/>
      <w:pPr>
        <w:ind w:left="5400" w:hanging="360"/>
      </w:pPr>
      <w:rPr>
        <w:rFonts w:hint="default" w:ascii="Symbol" w:hAnsi="Symbol"/>
      </w:rPr>
    </w:lvl>
    <w:lvl w:ilvl="7">
      <w:numFmt w:val="bullet"/>
      <w:lvlText w:val="o"/>
      <w:lvlJc w:val="left"/>
      <w:pPr>
        <w:ind w:left="6120" w:hanging="360"/>
      </w:pPr>
      <w:rPr>
        <w:rFonts w:hint="default" w:ascii="Courier New" w:hAnsi="Courier New"/>
      </w:rPr>
    </w:lvl>
    <w:lvl w:ilvl="8">
      <w:numFmt w:val="bullet"/>
      <w:lvlText w:val=""/>
      <w:lvlJc w:val="left"/>
      <w:pPr>
        <w:ind w:left="6840" w:hanging="360"/>
      </w:pPr>
      <w:rPr>
        <w:rFonts w:hint="default"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hint="default" w:ascii="Symbol" w:hAnsi="Symbol"/>
      </w:rPr>
    </w:lvl>
    <w:lvl w:ilvl="1">
      <w:numFmt w:val="bullet"/>
      <w:lvlText w:val=""/>
      <w:lvlJc w:val="left"/>
      <w:pPr>
        <w:ind w:left="1440" w:hanging="360"/>
      </w:pPr>
      <w:rPr>
        <w:rFonts w:hint="default" w:ascii="Symbol" w:hAnsi="Symbol"/>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abstractNum w:abstractNumId="24" w15:restartNumberingAfterBreak="0">
    <w:nsid w:val="7C4C984D"/>
    <w:multiLevelType w:val="hybridMultilevel"/>
    <w:tmpl w:val="FFFFFFFF"/>
    <w:lvl w:ilvl="0" w:tplc="95CAF2D8">
      <w:start w:val="1"/>
      <w:numFmt w:val="bullet"/>
      <w:lvlText w:val=""/>
      <w:lvlJc w:val="left"/>
      <w:pPr>
        <w:ind w:left="720" w:hanging="360"/>
      </w:pPr>
      <w:rPr>
        <w:rFonts w:hint="default" w:ascii="Symbol" w:hAnsi="Symbol"/>
      </w:rPr>
    </w:lvl>
    <w:lvl w:ilvl="1" w:tplc="FCC2210E">
      <w:start w:val="1"/>
      <w:numFmt w:val="bullet"/>
      <w:lvlText w:val="o"/>
      <w:lvlJc w:val="left"/>
      <w:pPr>
        <w:ind w:left="1440" w:hanging="360"/>
      </w:pPr>
      <w:rPr>
        <w:rFonts w:hint="default" w:ascii="Courier New" w:hAnsi="Courier New"/>
      </w:rPr>
    </w:lvl>
    <w:lvl w:ilvl="2" w:tplc="A1D4BE92">
      <w:start w:val="1"/>
      <w:numFmt w:val="bullet"/>
      <w:lvlText w:val=""/>
      <w:lvlJc w:val="left"/>
      <w:pPr>
        <w:ind w:left="2160" w:hanging="360"/>
      </w:pPr>
      <w:rPr>
        <w:rFonts w:hint="default" w:ascii="Wingdings" w:hAnsi="Wingdings"/>
      </w:rPr>
    </w:lvl>
    <w:lvl w:ilvl="3" w:tplc="76B0A98E">
      <w:start w:val="1"/>
      <w:numFmt w:val="bullet"/>
      <w:lvlText w:val=""/>
      <w:lvlJc w:val="left"/>
      <w:pPr>
        <w:ind w:left="2880" w:hanging="360"/>
      </w:pPr>
      <w:rPr>
        <w:rFonts w:hint="default" w:ascii="Symbol" w:hAnsi="Symbol"/>
      </w:rPr>
    </w:lvl>
    <w:lvl w:ilvl="4" w:tplc="4676AD24">
      <w:start w:val="1"/>
      <w:numFmt w:val="bullet"/>
      <w:lvlText w:val="o"/>
      <w:lvlJc w:val="left"/>
      <w:pPr>
        <w:ind w:left="3600" w:hanging="360"/>
      </w:pPr>
      <w:rPr>
        <w:rFonts w:hint="default" w:ascii="Courier New" w:hAnsi="Courier New"/>
      </w:rPr>
    </w:lvl>
    <w:lvl w:ilvl="5" w:tplc="B914CA40">
      <w:start w:val="1"/>
      <w:numFmt w:val="bullet"/>
      <w:lvlText w:val=""/>
      <w:lvlJc w:val="left"/>
      <w:pPr>
        <w:ind w:left="4320" w:hanging="360"/>
      </w:pPr>
      <w:rPr>
        <w:rFonts w:hint="default" w:ascii="Wingdings" w:hAnsi="Wingdings"/>
      </w:rPr>
    </w:lvl>
    <w:lvl w:ilvl="6" w:tplc="AE2C5060">
      <w:start w:val="1"/>
      <w:numFmt w:val="bullet"/>
      <w:lvlText w:val=""/>
      <w:lvlJc w:val="left"/>
      <w:pPr>
        <w:ind w:left="5040" w:hanging="360"/>
      </w:pPr>
      <w:rPr>
        <w:rFonts w:hint="default" w:ascii="Symbol" w:hAnsi="Symbol"/>
      </w:rPr>
    </w:lvl>
    <w:lvl w:ilvl="7" w:tplc="C11E133E">
      <w:start w:val="1"/>
      <w:numFmt w:val="bullet"/>
      <w:lvlText w:val="o"/>
      <w:lvlJc w:val="left"/>
      <w:pPr>
        <w:ind w:left="5760" w:hanging="360"/>
      </w:pPr>
      <w:rPr>
        <w:rFonts w:hint="default" w:ascii="Courier New" w:hAnsi="Courier New"/>
      </w:rPr>
    </w:lvl>
    <w:lvl w:ilvl="8" w:tplc="B9AEBFE8">
      <w:start w:val="1"/>
      <w:numFmt w:val="bullet"/>
      <w:lvlText w:val=""/>
      <w:lvlJc w:val="left"/>
      <w:pPr>
        <w:ind w:left="6480" w:hanging="360"/>
      </w:pPr>
      <w:rPr>
        <w:rFonts w:hint="default" w:ascii="Wingdings" w:hAnsi="Wingdings"/>
      </w:rPr>
    </w:lvl>
  </w:abstractNum>
  <w:abstractNum w:abstractNumId="25" w15:restartNumberingAfterBreak="0">
    <w:nsid w:val="7D4091E5"/>
    <w:multiLevelType w:val="hybridMultilevel"/>
    <w:tmpl w:val="FFFFFFFF"/>
    <w:lvl w:ilvl="0" w:tplc="1916D27A">
      <w:start w:val="1"/>
      <w:numFmt w:val="bullet"/>
      <w:lvlText w:val=""/>
      <w:lvlJc w:val="left"/>
      <w:pPr>
        <w:ind w:left="720" w:hanging="360"/>
      </w:pPr>
      <w:rPr>
        <w:rFonts w:hint="default" w:ascii="Symbol" w:hAnsi="Symbol"/>
      </w:rPr>
    </w:lvl>
    <w:lvl w:ilvl="1" w:tplc="184ED9EA">
      <w:start w:val="1"/>
      <w:numFmt w:val="bullet"/>
      <w:lvlText w:val="o"/>
      <w:lvlJc w:val="left"/>
      <w:pPr>
        <w:ind w:left="1440" w:hanging="360"/>
      </w:pPr>
      <w:rPr>
        <w:rFonts w:hint="default" w:ascii="Courier New" w:hAnsi="Courier New"/>
      </w:rPr>
    </w:lvl>
    <w:lvl w:ilvl="2" w:tplc="A9DAB360">
      <w:start w:val="1"/>
      <w:numFmt w:val="bullet"/>
      <w:lvlText w:val=""/>
      <w:lvlJc w:val="left"/>
      <w:pPr>
        <w:ind w:left="2160" w:hanging="360"/>
      </w:pPr>
      <w:rPr>
        <w:rFonts w:hint="default" w:ascii="Wingdings" w:hAnsi="Wingdings"/>
      </w:rPr>
    </w:lvl>
    <w:lvl w:ilvl="3" w:tplc="F0A68F64">
      <w:start w:val="1"/>
      <w:numFmt w:val="bullet"/>
      <w:lvlText w:val=""/>
      <w:lvlJc w:val="left"/>
      <w:pPr>
        <w:ind w:left="2880" w:hanging="360"/>
      </w:pPr>
      <w:rPr>
        <w:rFonts w:hint="default" w:ascii="Symbol" w:hAnsi="Symbol"/>
      </w:rPr>
    </w:lvl>
    <w:lvl w:ilvl="4" w:tplc="9612B990">
      <w:start w:val="1"/>
      <w:numFmt w:val="bullet"/>
      <w:lvlText w:val="o"/>
      <w:lvlJc w:val="left"/>
      <w:pPr>
        <w:ind w:left="3600" w:hanging="360"/>
      </w:pPr>
      <w:rPr>
        <w:rFonts w:hint="default" w:ascii="Courier New" w:hAnsi="Courier New"/>
      </w:rPr>
    </w:lvl>
    <w:lvl w:ilvl="5" w:tplc="53925B52">
      <w:start w:val="1"/>
      <w:numFmt w:val="bullet"/>
      <w:lvlText w:val=""/>
      <w:lvlJc w:val="left"/>
      <w:pPr>
        <w:ind w:left="4320" w:hanging="360"/>
      </w:pPr>
      <w:rPr>
        <w:rFonts w:hint="default" w:ascii="Wingdings" w:hAnsi="Wingdings"/>
      </w:rPr>
    </w:lvl>
    <w:lvl w:ilvl="6" w:tplc="DE46C1D2">
      <w:start w:val="1"/>
      <w:numFmt w:val="bullet"/>
      <w:lvlText w:val=""/>
      <w:lvlJc w:val="left"/>
      <w:pPr>
        <w:ind w:left="5040" w:hanging="360"/>
      </w:pPr>
      <w:rPr>
        <w:rFonts w:hint="default" w:ascii="Symbol" w:hAnsi="Symbol"/>
      </w:rPr>
    </w:lvl>
    <w:lvl w:ilvl="7" w:tplc="4C249960">
      <w:start w:val="1"/>
      <w:numFmt w:val="bullet"/>
      <w:lvlText w:val="o"/>
      <w:lvlJc w:val="left"/>
      <w:pPr>
        <w:ind w:left="5760" w:hanging="360"/>
      </w:pPr>
      <w:rPr>
        <w:rFonts w:hint="default" w:ascii="Courier New" w:hAnsi="Courier New"/>
      </w:rPr>
    </w:lvl>
    <w:lvl w:ilvl="8" w:tplc="7AC4587A">
      <w:start w:val="1"/>
      <w:numFmt w:val="bullet"/>
      <w:lvlText w:val=""/>
      <w:lvlJc w:val="left"/>
      <w:pPr>
        <w:ind w:left="6480" w:hanging="360"/>
      </w:pPr>
      <w:rPr>
        <w:rFonts w:hint="default" w:ascii="Wingdings" w:hAnsi="Wingdings"/>
      </w:rPr>
    </w:lvl>
  </w:abstractNum>
  <w:num w:numId="1" w16cid:durableId="147870413">
    <w:abstractNumId w:val="19"/>
  </w:num>
  <w:num w:numId="2" w16cid:durableId="1810391605">
    <w:abstractNumId w:val="13"/>
  </w:num>
  <w:num w:numId="3" w16cid:durableId="986974559">
    <w:abstractNumId w:val="10"/>
  </w:num>
  <w:num w:numId="4" w16cid:durableId="1237475859">
    <w:abstractNumId w:val="17"/>
  </w:num>
  <w:num w:numId="5" w16cid:durableId="1864854607">
    <w:abstractNumId w:val="20"/>
  </w:num>
  <w:num w:numId="6" w16cid:durableId="94711259">
    <w:abstractNumId w:val="3"/>
  </w:num>
  <w:num w:numId="7" w16cid:durableId="497188144">
    <w:abstractNumId w:val="5"/>
  </w:num>
  <w:num w:numId="8" w16cid:durableId="1138914232">
    <w:abstractNumId w:val="6"/>
  </w:num>
  <w:num w:numId="9" w16cid:durableId="857932188">
    <w:abstractNumId w:val="1"/>
  </w:num>
  <w:num w:numId="10" w16cid:durableId="798501009">
    <w:abstractNumId w:val="9"/>
  </w:num>
  <w:num w:numId="11" w16cid:durableId="1210847263">
    <w:abstractNumId w:val="16"/>
  </w:num>
  <w:num w:numId="12" w16cid:durableId="982348153">
    <w:abstractNumId w:val="23"/>
  </w:num>
  <w:num w:numId="13" w16cid:durableId="1529290868">
    <w:abstractNumId w:val="21"/>
  </w:num>
  <w:num w:numId="14" w16cid:durableId="1171066271">
    <w:abstractNumId w:val="18"/>
  </w:num>
  <w:num w:numId="15" w16cid:durableId="1453552857">
    <w:abstractNumId w:val="2"/>
  </w:num>
  <w:num w:numId="16" w16cid:durableId="1812097430">
    <w:abstractNumId w:val="22"/>
  </w:num>
  <w:num w:numId="17" w16cid:durableId="1721712531">
    <w:abstractNumId w:val="11"/>
  </w:num>
  <w:num w:numId="18" w16cid:durableId="189300659">
    <w:abstractNumId w:val="15"/>
  </w:num>
  <w:num w:numId="19" w16cid:durableId="710885925">
    <w:abstractNumId w:val="12"/>
  </w:num>
  <w:num w:numId="20" w16cid:durableId="1403333878">
    <w:abstractNumId w:val="4"/>
  </w:num>
  <w:num w:numId="21" w16cid:durableId="327101811">
    <w:abstractNumId w:val="25"/>
  </w:num>
  <w:num w:numId="22" w16cid:durableId="398331441">
    <w:abstractNumId w:val="7"/>
  </w:num>
  <w:num w:numId="23" w16cid:durableId="939796309">
    <w:abstractNumId w:val="14"/>
  </w:num>
  <w:num w:numId="24" w16cid:durableId="2119517229">
    <w:abstractNumId w:val="0"/>
  </w:num>
  <w:num w:numId="25" w16cid:durableId="508757337">
    <w:abstractNumId w:val="24"/>
  </w:num>
  <w:num w:numId="26" w16cid:durableId="186393008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1EF"/>
    <w:rsid w:val="00003A45"/>
    <w:rsid w:val="00005079"/>
    <w:rsid w:val="00005BED"/>
    <w:rsid w:val="00007035"/>
    <w:rsid w:val="00007067"/>
    <w:rsid w:val="00007EAD"/>
    <w:rsid w:val="00010057"/>
    <w:rsid w:val="0001019C"/>
    <w:rsid w:val="000114C5"/>
    <w:rsid w:val="00011B7F"/>
    <w:rsid w:val="00014356"/>
    <w:rsid w:val="00014A18"/>
    <w:rsid w:val="00015166"/>
    <w:rsid w:val="000151C9"/>
    <w:rsid w:val="0001668F"/>
    <w:rsid w:val="00016809"/>
    <w:rsid w:val="00016A90"/>
    <w:rsid w:val="00017F5E"/>
    <w:rsid w:val="00017F90"/>
    <w:rsid w:val="000212DE"/>
    <w:rsid w:val="000213C0"/>
    <w:rsid w:val="0002169E"/>
    <w:rsid w:val="00021CE0"/>
    <w:rsid w:val="00023373"/>
    <w:rsid w:val="000236C7"/>
    <w:rsid w:val="00023729"/>
    <w:rsid w:val="000243B4"/>
    <w:rsid w:val="0002461E"/>
    <w:rsid w:val="00024FEF"/>
    <w:rsid w:val="0002530E"/>
    <w:rsid w:val="0002710D"/>
    <w:rsid w:val="000300DC"/>
    <w:rsid w:val="000308BB"/>
    <w:rsid w:val="00031EA0"/>
    <w:rsid w:val="000330E0"/>
    <w:rsid w:val="00034355"/>
    <w:rsid w:val="00036678"/>
    <w:rsid w:val="00037343"/>
    <w:rsid w:val="00037EC2"/>
    <w:rsid w:val="000407CB"/>
    <w:rsid w:val="00040C72"/>
    <w:rsid w:val="0004379F"/>
    <w:rsid w:val="000452EB"/>
    <w:rsid w:val="00045603"/>
    <w:rsid w:val="0004589B"/>
    <w:rsid w:val="000463AE"/>
    <w:rsid w:val="00046CB6"/>
    <w:rsid w:val="000507A3"/>
    <w:rsid w:val="0005167E"/>
    <w:rsid w:val="00051B13"/>
    <w:rsid w:val="00052742"/>
    <w:rsid w:val="00055473"/>
    <w:rsid w:val="00055583"/>
    <w:rsid w:val="00055669"/>
    <w:rsid w:val="000572B1"/>
    <w:rsid w:val="00060A62"/>
    <w:rsid w:val="00060F0B"/>
    <w:rsid w:val="000611ED"/>
    <w:rsid w:val="00061A85"/>
    <w:rsid w:val="00061E14"/>
    <w:rsid w:val="00063DC8"/>
    <w:rsid w:val="00064366"/>
    <w:rsid w:val="00065399"/>
    <w:rsid w:val="00065471"/>
    <w:rsid w:val="00065F2E"/>
    <w:rsid w:val="00066516"/>
    <w:rsid w:val="0006653B"/>
    <w:rsid w:val="00066B73"/>
    <w:rsid w:val="0006711D"/>
    <w:rsid w:val="00070261"/>
    <w:rsid w:val="00071481"/>
    <w:rsid w:val="00071D77"/>
    <w:rsid w:val="00073402"/>
    <w:rsid w:val="00073F53"/>
    <w:rsid w:val="00075904"/>
    <w:rsid w:val="00075FAE"/>
    <w:rsid w:val="00082F38"/>
    <w:rsid w:val="000837DB"/>
    <w:rsid w:val="0008384B"/>
    <w:rsid w:val="0008393C"/>
    <w:rsid w:val="0008459A"/>
    <w:rsid w:val="00084D00"/>
    <w:rsid w:val="000869F9"/>
    <w:rsid w:val="00090988"/>
    <w:rsid w:val="00090EF4"/>
    <w:rsid w:val="00090F16"/>
    <w:rsid w:val="00091270"/>
    <w:rsid w:val="00091D72"/>
    <w:rsid w:val="000929EC"/>
    <w:rsid w:val="0009384B"/>
    <w:rsid w:val="00093CDE"/>
    <w:rsid w:val="00094529"/>
    <w:rsid w:val="00097D66"/>
    <w:rsid w:val="00097FD4"/>
    <w:rsid w:val="00097FDF"/>
    <w:rsid w:val="000A2806"/>
    <w:rsid w:val="000A53F8"/>
    <w:rsid w:val="000A5738"/>
    <w:rsid w:val="000A5C58"/>
    <w:rsid w:val="000A6379"/>
    <w:rsid w:val="000A700F"/>
    <w:rsid w:val="000A7471"/>
    <w:rsid w:val="000A7E35"/>
    <w:rsid w:val="000B0D49"/>
    <w:rsid w:val="000B203E"/>
    <w:rsid w:val="000B2BD6"/>
    <w:rsid w:val="000B3B57"/>
    <w:rsid w:val="000B4786"/>
    <w:rsid w:val="000B48C0"/>
    <w:rsid w:val="000B59FE"/>
    <w:rsid w:val="000B5BCC"/>
    <w:rsid w:val="000B6BD0"/>
    <w:rsid w:val="000B74A2"/>
    <w:rsid w:val="000B7757"/>
    <w:rsid w:val="000B7F89"/>
    <w:rsid w:val="000B7FE9"/>
    <w:rsid w:val="000C23BA"/>
    <w:rsid w:val="000C2CD4"/>
    <w:rsid w:val="000C2CD8"/>
    <w:rsid w:val="000C2E0C"/>
    <w:rsid w:val="000C3563"/>
    <w:rsid w:val="000C35EA"/>
    <w:rsid w:val="000C45D9"/>
    <w:rsid w:val="000C64E1"/>
    <w:rsid w:val="000C70A4"/>
    <w:rsid w:val="000D0589"/>
    <w:rsid w:val="000D22B0"/>
    <w:rsid w:val="000D2881"/>
    <w:rsid w:val="000D318D"/>
    <w:rsid w:val="000D3455"/>
    <w:rsid w:val="000D35C9"/>
    <w:rsid w:val="000D3E33"/>
    <w:rsid w:val="000D520C"/>
    <w:rsid w:val="000D55EE"/>
    <w:rsid w:val="000D6596"/>
    <w:rsid w:val="000D6779"/>
    <w:rsid w:val="000D67F1"/>
    <w:rsid w:val="000D7A81"/>
    <w:rsid w:val="000E12EF"/>
    <w:rsid w:val="000E1880"/>
    <w:rsid w:val="000E1B82"/>
    <w:rsid w:val="000E283B"/>
    <w:rsid w:val="000E30A8"/>
    <w:rsid w:val="000E30D1"/>
    <w:rsid w:val="000E367B"/>
    <w:rsid w:val="000E41AD"/>
    <w:rsid w:val="000E68A7"/>
    <w:rsid w:val="000E6DF0"/>
    <w:rsid w:val="000E7E65"/>
    <w:rsid w:val="000F1820"/>
    <w:rsid w:val="000F2138"/>
    <w:rsid w:val="000F3DA4"/>
    <w:rsid w:val="000F3F7C"/>
    <w:rsid w:val="000F471B"/>
    <w:rsid w:val="000F4AE2"/>
    <w:rsid w:val="000F5536"/>
    <w:rsid w:val="000F6D2A"/>
    <w:rsid w:val="000F6F76"/>
    <w:rsid w:val="000F7B0C"/>
    <w:rsid w:val="00100278"/>
    <w:rsid w:val="001004A6"/>
    <w:rsid w:val="001006B1"/>
    <w:rsid w:val="00103532"/>
    <w:rsid w:val="001037CB"/>
    <w:rsid w:val="00103979"/>
    <w:rsid w:val="00103CB6"/>
    <w:rsid w:val="00104CF9"/>
    <w:rsid w:val="00104E8F"/>
    <w:rsid w:val="0010629E"/>
    <w:rsid w:val="00106CE9"/>
    <w:rsid w:val="00107312"/>
    <w:rsid w:val="001075AE"/>
    <w:rsid w:val="0010794D"/>
    <w:rsid w:val="00107DE5"/>
    <w:rsid w:val="001107FA"/>
    <w:rsid w:val="00111036"/>
    <w:rsid w:val="001123B3"/>
    <w:rsid w:val="00112C8C"/>
    <w:rsid w:val="00113530"/>
    <w:rsid w:val="00114288"/>
    <w:rsid w:val="00115538"/>
    <w:rsid w:val="00116FA8"/>
    <w:rsid w:val="00117E25"/>
    <w:rsid w:val="00120AB1"/>
    <w:rsid w:val="001218F8"/>
    <w:rsid w:val="00122F8A"/>
    <w:rsid w:val="00123A7F"/>
    <w:rsid w:val="001240C4"/>
    <w:rsid w:val="00124511"/>
    <w:rsid w:val="00124B39"/>
    <w:rsid w:val="0012688D"/>
    <w:rsid w:val="001278D0"/>
    <w:rsid w:val="00127B07"/>
    <w:rsid w:val="00127F19"/>
    <w:rsid w:val="00127F72"/>
    <w:rsid w:val="001346FB"/>
    <w:rsid w:val="0013477E"/>
    <w:rsid w:val="0013606C"/>
    <w:rsid w:val="001362C9"/>
    <w:rsid w:val="00137F53"/>
    <w:rsid w:val="00140140"/>
    <w:rsid w:val="00140646"/>
    <w:rsid w:val="00142423"/>
    <w:rsid w:val="0014409B"/>
    <w:rsid w:val="001441B2"/>
    <w:rsid w:val="00144AF4"/>
    <w:rsid w:val="00144D74"/>
    <w:rsid w:val="00145C6B"/>
    <w:rsid w:val="00147A4B"/>
    <w:rsid w:val="00147A6F"/>
    <w:rsid w:val="00152554"/>
    <w:rsid w:val="00152BB9"/>
    <w:rsid w:val="00154AAE"/>
    <w:rsid w:val="00155944"/>
    <w:rsid w:val="001559D7"/>
    <w:rsid w:val="00157EE6"/>
    <w:rsid w:val="001618AF"/>
    <w:rsid w:val="0016230F"/>
    <w:rsid w:val="00163E2D"/>
    <w:rsid w:val="0016523C"/>
    <w:rsid w:val="00165338"/>
    <w:rsid w:val="00166C2C"/>
    <w:rsid w:val="001671ED"/>
    <w:rsid w:val="001705B5"/>
    <w:rsid w:val="00170714"/>
    <w:rsid w:val="00171321"/>
    <w:rsid w:val="00171C87"/>
    <w:rsid w:val="00171D39"/>
    <w:rsid w:val="00171D79"/>
    <w:rsid w:val="0017264D"/>
    <w:rsid w:val="001727FA"/>
    <w:rsid w:val="0017287A"/>
    <w:rsid w:val="00172A1B"/>
    <w:rsid w:val="00172B0F"/>
    <w:rsid w:val="0017332C"/>
    <w:rsid w:val="00173D4C"/>
    <w:rsid w:val="0017539A"/>
    <w:rsid w:val="001759B6"/>
    <w:rsid w:val="001761E3"/>
    <w:rsid w:val="00181A7E"/>
    <w:rsid w:val="001824D3"/>
    <w:rsid w:val="001829D3"/>
    <w:rsid w:val="00182FD8"/>
    <w:rsid w:val="00183218"/>
    <w:rsid w:val="00184079"/>
    <w:rsid w:val="001845FC"/>
    <w:rsid w:val="00185192"/>
    <w:rsid w:val="00185988"/>
    <w:rsid w:val="00185F61"/>
    <w:rsid w:val="00186102"/>
    <w:rsid w:val="00186666"/>
    <w:rsid w:val="0018717D"/>
    <w:rsid w:val="001873B6"/>
    <w:rsid w:val="0018754D"/>
    <w:rsid w:val="001901E6"/>
    <w:rsid w:val="001909BD"/>
    <w:rsid w:val="00191305"/>
    <w:rsid w:val="00192625"/>
    <w:rsid w:val="001948FB"/>
    <w:rsid w:val="00195441"/>
    <w:rsid w:val="00195B1F"/>
    <w:rsid w:val="00195B55"/>
    <w:rsid w:val="00196179"/>
    <w:rsid w:val="00197490"/>
    <w:rsid w:val="0019791A"/>
    <w:rsid w:val="001A020D"/>
    <w:rsid w:val="001A0DEB"/>
    <w:rsid w:val="001A2FE8"/>
    <w:rsid w:val="001A33AC"/>
    <w:rsid w:val="001A3FD6"/>
    <w:rsid w:val="001A49A3"/>
    <w:rsid w:val="001A5645"/>
    <w:rsid w:val="001A772E"/>
    <w:rsid w:val="001A7856"/>
    <w:rsid w:val="001B49E3"/>
    <w:rsid w:val="001B4AB1"/>
    <w:rsid w:val="001B78CB"/>
    <w:rsid w:val="001C156E"/>
    <w:rsid w:val="001C1C51"/>
    <w:rsid w:val="001C3A35"/>
    <w:rsid w:val="001C45CA"/>
    <w:rsid w:val="001C465A"/>
    <w:rsid w:val="001C47E0"/>
    <w:rsid w:val="001C4A16"/>
    <w:rsid w:val="001C4ABC"/>
    <w:rsid w:val="001C5C17"/>
    <w:rsid w:val="001C6487"/>
    <w:rsid w:val="001C6CF1"/>
    <w:rsid w:val="001C774B"/>
    <w:rsid w:val="001D10FD"/>
    <w:rsid w:val="001D325D"/>
    <w:rsid w:val="001D3321"/>
    <w:rsid w:val="001D37F1"/>
    <w:rsid w:val="001D4FC9"/>
    <w:rsid w:val="001D5494"/>
    <w:rsid w:val="001D7073"/>
    <w:rsid w:val="001E0534"/>
    <w:rsid w:val="001E05F2"/>
    <w:rsid w:val="001E0D22"/>
    <w:rsid w:val="001E0ECA"/>
    <w:rsid w:val="001E18BA"/>
    <w:rsid w:val="001E1C31"/>
    <w:rsid w:val="001E1E7D"/>
    <w:rsid w:val="001E206F"/>
    <w:rsid w:val="001E3784"/>
    <w:rsid w:val="001E5102"/>
    <w:rsid w:val="001E51FA"/>
    <w:rsid w:val="001E5750"/>
    <w:rsid w:val="001E66BA"/>
    <w:rsid w:val="001E7739"/>
    <w:rsid w:val="001F247F"/>
    <w:rsid w:val="001F25F1"/>
    <w:rsid w:val="001F3DB4"/>
    <w:rsid w:val="001F5ADD"/>
    <w:rsid w:val="001F6E51"/>
    <w:rsid w:val="001F6F6F"/>
    <w:rsid w:val="001F7564"/>
    <w:rsid w:val="001F75B7"/>
    <w:rsid w:val="00200B15"/>
    <w:rsid w:val="00201EAC"/>
    <w:rsid w:val="00202694"/>
    <w:rsid w:val="00202C99"/>
    <w:rsid w:val="00202EC5"/>
    <w:rsid w:val="002038A9"/>
    <w:rsid w:val="00203DB9"/>
    <w:rsid w:val="00203E44"/>
    <w:rsid w:val="00204F40"/>
    <w:rsid w:val="0020508A"/>
    <w:rsid w:val="00205175"/>
    <w:rsid w:val="00205BFB"/>
    <w:rsid w:val="00205DEF"/>
    <w:rsid w:val="00207C50"/>
    <w:rsid w:val="0021035D"/>
    <w:rsid w:val="00210D14"/>
    <w:rsid w:val="002112C3"/>
    <w:rsid w:val="0021238E"/>
    <w:rsid w:val="002131E5"/>
    <w:rsid w:val="00213A2E"/>
    <w:rsid w:val="00213C48"/>
    <w:rsid w:val="00214D4E"/>
    <w:rsid w:val="00216381"/>
    <w:rsid w:val="00216B50"/>
    <w:rsid w:val="00216C8A"/>
    <w:rsid w:val="00220930"/>
    <w:rsid w:val="0022099A"/>
    <w:rsid w:val="00220D72"/>
    <w:rsid w:val="002219E4"/>
    <w:rsid w:val="00223012"/>
    <w:rsid w:val="002230B5"/>
    <w:rsid w:val="00224174"/>
    <w:rsid w:val="002248BD"/>
    <w:rsid w:val="002256FE"/>
    <w:rsid w:val="00226317"/>
    <w:rsid w:val="00230F92"/>
    <w:rsid w:val="00231539"/>
    <w:rsid w:val="002316AA"/>
    <w:rsid w:val="00231847"/>
    <w:rsid w:val="00232F30"/>
    <w:rsid w:val="0023308F"/>
    <w:rsid w:val="00235BD9"/>
    <w:rsid w:val="00237296"/>
    <w:rsid w:val="00237652"/>
    <w:rsid w:val="00237A21"/>
    <w:rsid w:val="00240237"/>
    <w:rsid w:val="00240EE1"/>
    <w:rsid w:val="002410B4"/>
    <w:rsid w:val="00242093"/>
    <w:rsid w:val="00243E31"/>
    <w:rsid w:val="00243F22"/>
    <w:rsid w:val="002453C9"/>
    <w:rsid w:val="00245BAC"/>
    <w:rsid w:val="0025215A"/>
    <w:rsid w:val="002523E3"/>
    <w:rsid w:val="0025292D"/>
    <w:rsid w:val="00252AD6"/>
    <w:rsid w:val="00252F4F"/>
    <w:rsid w:val="002542CE"/>
    <w:rsid w:val="00254310"/>
    <w:rsid w:val="0025450F"/>
    <w:rsid w:val="00255091"/>
    <w:rsid w:val="00255184"/>
    <w:rsid w:val="00255A99"/>
    <w:rsid w:val="002564DC"/>
    <w:rsid w:val="00257A4E"/>
    <w:rsid w:val="00257DF2"/>
    <w:rsid w:val="00260483"/>
    <w:rsid w:val="00260FBC"/>
    <w:rsid w:val="0026190E"/>
    <w:rsid w:val="002621D0"/>
    <w:rsid w:val="00262DCC"/>
    <w:rsid w:val="00264A2B"/>
    <w:rsid w:val="00266153"/>
    <w:rsid w:val="00266FA5"/>
    <w:rsid w:val="002711D6"/>
    <w:rsid w:val="00272068"/>
    <w:rsid w:val="002731E9"/>
    <w:rsid w:val="00273B1F"/>
    <w:rsid w:val="00275FC8"/>
    <w:rsid w:val="00276BDF"/>
    <w:rsid w:val="00276FBA"/>
    <w:rsid w:val="00277665"/>
    <w:rsid w:val="00277E22"/>
    <w:rsid w:val="00281344"/>
    <w:rsid w:val="002820D7"/>
    <w:rsid w:val="00283417"/>
    <w:rsid w:val="002837AE"/>
    <w:rsid w:val="002839E0"/>
    <w:rsid w:val="00283E1F"/>
    <w:rsid w:val="00285165"/>
    <w:rsid w:val="002876D4"/>
    <w:rsid w:val="00287FA8"/>
    <w:rsid w:val="00290241"/>
    <w:rsid w:val="00290C8E"/>
    <w:rsid w:val="00291A6F"/>
    <w:rsid w:val="00291C02"/>
    <w:rsid w:val="002920F4"/>
    <w:rsid w:val="002940F3"/>
    <w:rsid w:val="00294CAC"/>
    <w:rsid w:val="00294CEA"/>
    <w:rsid w:val="002951AB"/>
    <w:rsid w:val="00295842"/>
    <w:rsid w:val="00295AF7"/>
    <w:rsid w:val="0029646B"/>
    <w:rsid w:val="00297175"/>
    <w:rsid w:val="00297964"/>
    <w:rsid w:val="00297C5C"/>
    <w:rsid w:val="002A021E"/>
    <w:rsid w:val="002A1320"/>
    <w:rsid w:val="002A36C8"/>
    <w:rsid w:val="002A4F34"/>
    <w:rsid w:val="002A51B8"/>
    <w:rsid w:val="002A5F21"/>
    <w:rsid w:val="002A61D1"/>
    <w:rsid w:val="002A716A"/>
    <w:rsid w:val="002B27B6"/>
    <w:rsid w:val="002B31C9"/>
    <w:rsid w:val="002B3574"/>
    <w:rsid w:val="002B36BA"/>
    <w:rsid w:val="002B4FD9"/>
    <w:rsid w:val="002B64DE"/>
    <w:rsid w:val="002B6745"/>
    <w:rsid w:val="002B6B74"/>
    <w:rsid w:val="002B7DA7"/>
    <w:rsid w:val="002C02D4"/>
    <w:rsid w:val="002C066A"/>
    <w:rsid w:val="002C2AA7"/>
    <w:rsid w:val="002C353C"/>
    <w:rsid w:val="002C48C8"/>
    <w:rsid w:val="002C6AE7"/>
    <w:rsid w:val="002C7370"/>
    <w:rsid w:val="002C7DDE"/>
    <w:rsid w:val="002D16AE"/>
    <w:rsid w:val="002D1A85"/>
    <w:rsid w:val="002D2D4B"/>
    <w:rsid w:val="002D3008"/>
    <w:rsid w:val="002D3805"/>
    <w:rsid w:val="002D4454"/>
    <w:rsid w:val="002D63AE"/>
    <w:rsid w:val="002D77AF"/>
    <w:rsid w:val="002D7EF9"/>
    <w:rsid w:val="002DF3FB"/>
    <w:rsid w:val="002E00DB"/>
    <w:rsid w:val="002E0ACA"/>
    <w:rsid w:val="002E16B0"/>
    <w:rsid w:val="002E1754"/>
    <w:rsid w:val="002E402A"/>
    <w:rsid w:val="002E6427"/>
    <w:rsid w:val="002E66AE"/>
    <w:rsid w:val="002E705E"/>
    <w:rsid w:val="002E7763"/>
    <w:rsid w:val="002F0703"/>
    <w:rsid w:val="002F2BC8"/>
    <w:rsid w:val="002F4C6F"/>
    <w:rsid w:val="002F5011"/>
    <w:rsid w:val="002F5842"/>
    <w:rsid w:val="002F6D3A"/>
    <w:rsid w:val="002F6EF6"/>
    <w:rsid w:val="002F7847"/>
    <w:rsid w:val="002F7C34"/>
    <w:rsid w:val="002F7CA3"/>
    <w:rsid w:val="002F7DFA"/>
    <w:rsid w:val="00301B7D"/>
    <w:rsid w:val="003026A1"/>
    <w:rsid w:val="00303FE1"/>
    <w:rsid w:val="00304FA4"/>
    <w:rsid w:val="00306CB7"/>
    <w:rsid w:val="00306E1F"/>
    <w:rsid w:val="00307ABF"/>
    <w:rsid w:val="00307FD0"/>
    <w:rsid w:val="003101B2"/>
    <w:rsid w:val="00310312"/>
    <w:rsid w:val="00310CBA"/>
    <w:rsid w:val="0031106E"/>
    <w:rsid w:val="003111F5"/>
    <w:rsid w:val="0031152C"/>
    <w:rsid w:val="00311F81"/>
    <w:rsid w:val="0031214F"/>
    <w:rsid w:val="00312AF1"/>
    <w:rsid w:val="0031508D"/>
    <w:rsid w:val="003152FE"/>
    <w:rsid w:val="00315375"/>
    <w:rsid w:val="003158A1"/>
    <w:rsid w:val="003169D3"/>
    <w:rsid w:val="00317615"/>
    <w:rsid w:val="00317664"/>
    <w:rsid w:val="00317F75"/>
    <w:rsid w:val="00324BE4"/>
    <w:rsid w:val="0032545F"/>
    <w:rsid w:val="003275C8"/>
    <w:rsid w:val="00334A51"/>
    <w:rsid w:val="00334FBF"/>
    <w:rsid w:val="00335995"/>
    <w:rsid w:val="00336200"/>
    <w:rsid w:val="0033725C"/>
    <w:rsid w:val="00337418"/>
    <w:rsid w:val="00340BBC"/>
    <w:rsid w:val="003410D2"/>
    <w:rsid w:val="003410E9"/>
    <w:rsid w:val="00342F7F"/>
    <w:rsid w:val="0034628B"/>
    <w:rsid w:val="003467EE"/>
    <w:rsid w:val="003471DC"/>
    <w:rsid w:val="00350E4B"/>
    <w:rsid w:val="00351D83"/>
    <w:rsid w:val="00352197"/>
    <w:rsid w:val="00353E46"/>
    <w:rsid w:val="00356ABC"/>
    <w:rsid w:val="003576C4"/>
    <w:rsid w:val="00357DE7"/>
    <w:rsid w:val="00360150"/>
    <w:rsid w:val="00360B74"/>
    <w:rsid w:val="0036277A"/>
    <w:rsid w:val="003634C2"/>
    <w:rsid w:val="00363885"/>
    <w:rsid w:val="0036457D"/>
    <w:rsid w:val="003655E7"/>
    <w:rsid w:val="003659CA"/>
    <w:rsid w:val="00365B64"/>
    <w:rsid w:val="00366AB0"/>
    <w:rsid w:val="003700E8"/>
    <w:rsid w:val="003720C6"/>
    <w:rsid w:val="00372BA9"/>
    <w:rsid w:val="00372ECE"/>
    <w:rsid w:val="0037437C"/>
    <w:rsid w:val="00376115"/>
    <w:rsid w:val="00376F84"/>
    <w:rsid w:val="00377488"/>
    <w:rsid w:val="00381074"/>
    <w:rsid w:val="00381127"/>
    <w:rsid w:val="00381191"/>
    <w:rsid w:val="0038146B"/>
    <w:rsid w:val="0038179E"/>
    <w:rsid w:val="0038340F"/>
    <w:rsid w:val="00384457"/>
    <w:rsid w:val="00384F24"/>
    <w:rsid w:val="00385728"/>
    <w:rsid w:val="00385A1E"/>
    <w:rsid w:val="00386EC5"/>
    <w:rsid w:val="00386FCC"/>
    <w:rsid w:val="00387B71"/>
    <w:rsid w:val="003924F4"/>
    <w:rsid w:val="00392C33"/>
    <w:rsid w:val="00394792"/>
    <w:rsid w:val="00394B65"/>
    <w:rsid w:val="00394C5C"/>
    <w:rsid w:val="00395085"/>
    <w:rsid w:val="003959C9"/>
    <w:rsid w:val="00397DEF"/>
    <w:rsid w:val="003A0E22"/>
    <w:rsid w:val="003A32B2"/>
    <w:rsid w:val="003A40C7"/>
    <w:rsid w:val="003A40D9"/>
    <w:rsid w:val="003A426F"/>
    <w:rsid w:val="003A47DD"/>
    <w:rsid w:val="003A5F67"/>
    <w:rsid w:val="003A634F"/>
    <w:rsid w:val="003B0B14"/>
    <w:rsid w:val="003B0B35"/>
    <w:rsid w:val="003B14C1"/>
    <w:rsid w:val="003B19FE"/>
    <w:rsid w:val="003B2274"/>
    <w:rsid w:val="003B2884"/>
    <w:rsid w:val="003B34E0"/>
    <w:rsid w:val="003B41CF"/>
    <w:rsid w:val="003B497E"/>
    <w:rsid w:val="003B5716"/>
    <w:rsid w:val="003B588A"/>
    <w:rsid w:val="003B5F5B"/>
    <w:rsid w:val="003B621D"/>
    <w:rsid w:val="003B6660"/>
    <w:rsid w:val="003B6EF9"/>
    <w:rsid w:val="003B7326"/>
    <w:rsid w:val="003C0005"/>
    <w:rsid w:val="003C0FC7"/>
    <w:rsid w:val="003C2D64"/>
    <w:rsid w:val="003C3AC3"/>
    <w:rsid w:val="003C4388"/>
    <w:rsid w:val="003C4C27"/>
    <w:rsid w:val="003C4E38"/>
    <w:rsid w:val="003C5B1C"/>
    <w:rsid w:val="003C5B90"/>
    <w:rsid w:val="003C5DA3"/>
    <w:rsid w:val="003C72E4"/>
    <w:rsid w:val="003C7F7B"/>
    <w:rsid w:val="003C7FE9"/>
    <w:rsid w:val="003D038C"/>
    <w:rsid w:val="003D09AA"/>
    <w:rsid w:val="003D0CD6"/>
    <w:rsid w:val="003D20FC"/>
    <w:rsid w:val="003D2672"/>
    <w:rsid w:val="003D271E"/>
    <w:rsid w:val="003D2EAA"/>
    <w:rsid w:val="003D36C8"/>
    <w:rsid w:val="003D448C"/>
    <w:rsid w:val="003D5929"/>
    <w:rsid w:val="003D62A3"/>
    <w:rsid w:val="003D721D"/>
    <w:rsid w:val="003E054C"/>
    <w:rsid w:val="003E1EC5"/>
    <w:rsid w:val="003E220D"/>
    <w:rsid w:val="003E2730"/>
    <w:rsid w:val="003E27A0"/>
    <w:rsid w:val="003E29E6"/>
    <w:rsid w:val="003E2B3C"/>
    <w:rsid w:val="003E34F1"/>
    <w:rsid w:val="003E371E"/>
    <w:rsid w:val="003E3872"/>
    <w:rsid w:val="003E3D0E"/>
    <w:rsid w:val="003E4343"/>
    <w:rsid w:val="003E4530"/>
    <w:rsid w:val="003E6646"/>
    <w:rsid w:val="003E7155"/>
    <w:rsid w:val="003F0184"/>
    <w:rsid w:val="003F095E"/>
    <w:rsid w:val="003F42D7"/>
    <w:rsid w:val="003F49F2"/>
    <w:rsid w:val="003F57D0"/>
    <w:rsid w:val="003F66CC"/>
    <w:rsid w:val="00400051"/>
    <w:rsid w:val="0040124C"/>
    <w:rsid w:val="00401E94"/>
    <w:rsid w:val="00401FD2"/>
    <w:rsid w:val="004044AA"/>
    <w:rsid w:val="004044C8"/>
    <w:rsid w:val="00404F3F"/>
    <w:rsid w:val="00405D54"/>
    <w:rsid w:val="0040607C"/>
    <w:rsid w:val="00406FC7"/>
    <w:rsid w:val="004070B1"/>
    <w:rsid w:val="00407517"/>
    <w:rsid w:val="00410B5D"/>
    <w:rsid w:val="00412626"/>
    <w:rsid w:val="00412A7B"/>
    <w:rsid w:val="00413588"/>
    <w:rsid w:val="00413BEC"/>
    <w:rsid w:val="0042265E"/>
    <w:rsid w:val="0042423F"/>
    <w:rsid w:val="00424ED7"/>
    <w:rsid w:val="00425258"/>
    <w:rsid w:val="00426217"/>
    <w:rsid w:val="00426C45"/>
    <w:rsid w:val="004271B4"/>
    <w:rsid w:val="00427662"/>
    <w:rsid w:val="004301D0"/>
    <w:rsid w:val="00430C3F"/>
    <w:rsid w:val="00430F18"/>
    <w:rsid w:val="0043168A"/>
    <w:rsid w:val="00431A80"/>
    <w:rsid w:val="00433187"/>
    <w:rsid w:val="00433641"/>
    <w:rsid w:val="00434BE6"/>
    <w:rsid w:val="00435A89"/>
    <w:rsid w:val="0043684C"/>
    <w:rsid w:val="00437263"/>
    <w:rsid w:val="004422BF"/>
    <w:rsid w:val="00442897"/>
    <w:rsid w:val="00443AAA"/>
    <w:rsid w:val="004464E5"/>
    <w:rsid w:val="00447C50"/>
    <w:rsid w:val="00450004"/>
    <w:rsid w:val="00450065"/>
    <w:rsid w:val="00451893"/>
    <w:rsid w:val="00451CFD"/>
    <w:rsid w:val="00452267"/>
    <w:rsid w:val="0045231D"/>
    <w:rsid w:val="0045290A"/>
    <w:rsid w:val="00452C48"/>
    <w:rsid w:val="00453307"/>
    <w:rsid w:val="004538BA"/>
    <w:rsid w:val="00454EE1"/>
    <w:rsid w:val="00455662"/>
    <w:rsid w:val="00455A02"/>
    <w:rsid w:val="00456C9A"/>
    <w:rsid w:val="00457E36"/>
    <w:rsid w:val="004602F3"/>
    <w:rsid w:val="004603EA"/>
    <w:rsid w:val="00460BD3"/>
    <w:rsid w:val="00462F8F"/>
    <w:rsid w:val="0046383B"/>
    <w:rsid w:val="00465052"/>
    <w:rsid w:val="00470099"/>
    <w:rsid w:val="00470498"/>
    <w:rsid w:val="004708F2"/>
    <w:rsid w:val="00470EC7"/>
    <w:rsid w:val="00471E87"/>
    <w:rsid w:val="004724DE"/>
    <w:rsid w:val="0047290C"/>
    <w:rsid w:val="004736D6"/>
    <w:rsid w:val="00474755"/>
    <w:rsid w:val="00476487"/>
    <w:rsid w:val="004770FE"/>
    <w:rsid w:val="0048157F"/>
    <w:rsid w:val="00481D56"/>
    <w:rsid w:val="00482710"/>
    <w:rsid w:val="00482E50"/>
    <w:rsid w:val="00483707"/>
    <w:rsid w:val="00483ABF"/>
    <w:rsid w:val="00486A56"/>
    <w:rsid w:val="00487570"/>
    <w:rsid w:val="0048788C"/>
    <w:rsid w:val="00490003"/>
    <w:rsid w:val="00490338"/>
    <w:rsid w:val="00490408"/>
    <w:rsid w:val="004904E3"/>
    <w:rsid w:val="004906B1"/>
    <w:rsid w:val="00490907"/>
    <w:rsid w:val="00493249"/>
    <w:rsid w:val="0049355B"/>
    <w:rsid w:val="0049377E"/>
    <w:rsid w:val="0049494F"/>
    <w:rsid w:val="004951CC"/>
    <w:rsid w:val="004959FB"/>
    <w:rsid w:val="0049747A"/>
    <w:rsid w:val="004A04F9"/>
    <w:rsid w:val="004A0D39"/>
    <w:rsid w:val="004A2FC3"/>
    <w:rsid w:val="004A3C8A"/>
    <w:rsid w:val="004A4C45"/>
    <w:rsid w:val="004A55C4"/>
    <w:rsid w:val="004B03CA"/>
    <w:rsid w:val="004B0485"/>
    <w:rsid w:val="004B0ED7"/>
    <w:rsid w:val="004B0F1E"/>
    <w:rsid w:val="004B1BA5"/>
    <w:rsid w:val="004B1F58"/>
    <w:rsid w:val="004B2ADB"/>
    <w:rsid w:val="004B428E"/>
    <w:rsid w:val="004B4783"/>
    <w:rsid w:val="004B4D0A"/>
    <w:rsid w:val="004B4D37"/>
    <w:rsid w:val="004B574E"/>
    <w:rsid w:val="004B61CA"/>
    <w:rsid w:val="004B675A"/>
    <w:rsid w:val="004C158A"/>
    <w:rsid w:val="004C1D66"/>
    <w:rsid w:val="004C2860"/>
    <w:rsid w:val="004C2F10"/>
    <w:rsid w:val="004C3497"/>
    <w:rsid w:val="004C42F0"/>
    <w:rsid w:val="004C4BBD"/>
    <w:rsid w:val="004C572C"/>
    <w:rsid w:val="004C5F23"/>
    <w:rsid w:val="004C688F"/>
    <w:rsid w:val="004C6CBB"/>
    <w:rsid w:val="004D10F1"/>
    <w:rsid w:val="004D173B"/>
    <w:rsid w:val="004D21D1"/>
    <w:rsid w:val="004D2CC6"/>
    <w:rsid w:val="004D3FFB"/>
    <w:rsid w:val="004D4CE0"/>
    <w:rsid w:val="004D4F80"/>
    <w:rsid w:val="004D50C8"/>
    <w:rsid w:val="004D5CB3"/>
    <w:rsid w:val="004D5F43"/>
    <w:rsid w:val="004D60AC"/>
    <w:rsid w:val="004D6B72"/>
    <w:rsid w:val="004D6FE6"/>
    <w:rsid w:val="004D74F0"/>
    <w:rsid w:val="004E0C89"/>
    <w:rsid w:val="004E1D73"/>
    <w:rsid w:val="004E40E6"/>
    <w:rsid w:val="004E494C"/>
    <w:rsid w:val="004E5450"/>
    <w:rsid w:val="004E57C3"/>
    <w:rsid w:val="004E6662"/>
    <w:rsid w:val="004E69C7"/>
    <w:rsid w:val="004E6DC1"/>
    <w:rsid w:val="004E72DD"/>
    <w:rsid w:val="004F1188"/>
    <w:rsid w:val="004F22CD"/>
    <w:rsid w:val="004F2506"/>
    <w:rsid w:val="004F31DA"/>
    <w:rsid w:val="004F52D9"/>
    <w:rsid w:val="004F6277"/>
    <w:rsid w:val="004F6638"/>
    <w:rsid w:val="004F7BD6"/>
    <w:rsid w:val="004F7C00"/>
    <w:rsid w:val="004F7E2E"/>
    <w:rsid w:val="005008D0"/>
    <w:rsid w:val="005025FB"/>
    <w:rsid w:val="00503288"/>
    <w:rsid w:val="00503462"/>
    <w:rsid w:val="0050370F"/>
    <w:rsid w:val="00503C98"/>
    <w:rsid w:val="00504743"/>
    <w:rsid w:val="005047DB"/>
    <w:rsid w:val="00506193"/>
    <w:rsid w:val="00506C92"/>
    <w:rsid w:val="005070E4"/>
    <w:rsid w:val="00507883"/>
    <w:rsid w:val="00507D87"/>
    <w:rsid w:val="0051007A"/>
    <w:rsid w:val="005100C1"/>
    <w:rsid w:val="005103BC"/>
    <w:rsid w:val="005106B5"/>
    <w:rsid w:val="005116AF"/>
    <w:rsid w:val="00512374"/>
    <w:rsid w:val="0051260C"/>
    <w:rsid w:val="0051286E"/>
    <w:rsid w:val="005147DF"/>
    <w:rsid w:val="00514A92"/>
    <w:rsid w:val="00516021"/>
    <w:rsid w:val="00516457"/>
    <w:rsid w:val="00516641"/>
    <w:rsid w:val="0051729F"/>
    <w:rsid w:val="005201C6"/>
    <w:rsid w:val="00520A0C"/>
    <w:rsid w:val="00521A68"/>
    <w:rsid w:val="00523C98"/>
    <w:rsid w:val="00527E8A"/>
    <w:rsid w:val="00530121"/>
    <w:rsid w:val="00530349"/>
    <w:rsid w:val="00530871"/>
    <w:rsid w:val="00530E37"/>
    <w:rsid w:val="00532DA6"/>
    <w:rsid w:val="00533935"/>
    <w:rsid w:val="005358E3"/>
    <w:rsid w:val="00535946"/>
    <w:rsid w:val="0053662B"/>
    <w:rsid w:val="00537AB5"/>
    <w:rsid w:val="0054042B"/>
    <w:rsid w:val="0054259E"/>
    <w:rsid w:val="00542B98"/>
    <w:rsid w:val="0054337B"/>
    <w:rsid w:val="00543533"/>
    <w:rsid w:val="0054419C"/>
    <w:rsid w:val="00544987"/>
    <w:rsid w:val="005450A2"/>
    <w:rsid w:val="005452CF"/>
    <w:rsid w:val="00545F57"/>
    <w:rsid w:val="005464A1"/>
    <w:rsid w:val="00546EF6"/>
    <w:rsid w:val="00546F12"/>
    <w:rsid w:val="00550460"/>
    <w:rsid w:val="00550764"/>
    <w:rsid w:val="00551366"/>
    <w:rsid w:val="0055167E"/>
    <w:rsid w:val="005532EC"/>
    <w:rsid w:val="0055339C"/>
    <w:rsid w:val="005542CC"/>
    <w:rsid w:val="0055475A"/>
    <w:rsid w:val="005553D4"/>
    <w:rsid w:val="00560424"/>
    <w:rsid w:val="00560737"/>
    <w:rsid w:val="00562B3C"/>
    <w:rsid w:val="00563089"/>
    <w:rsid w:val="005646FA"/>
    <w:rsid w:val="00564E40"/>
    <w:rsid w:val="00565123"/>
    <w:rsid w:val="00565197"/>
    <w:rsid w:val="0056644F"/>
    <w:rsid w:val="00566E7A"/>
    <w:rsid w:val="00567222"/>
    <w:rsid w:val="005677FF"/>
    <w:rsid w:val="00567846"/>
    <w:rsid w:val="005702D2"/>
    <w:rsid w:val="005712F6"/>
    <w:rsid w:val="0057180D"/>
    <w:rsid w:val="0057202D"/>
    <w:rsid w:val="00573DC9"/>
    <w:rsid w:val="00573E1D"/>
    <w:rsid w:val="00574710"/>
    <w:rsid w:val="00574B9E"/>
    <w:rsid w:val="00574E42"/>
    <w:rsid w:val="005750E2"/>
    <w:rsid w:val="00575617"/>
    <w:rsid w:val="00575B90"/>
    <w:rsid w:val="00576225"/>
    <w:rsid w:val="00577E91"/>
    <w:rsid w:val="005803A4"/>
    <w:rsid w:val="0058097A"/>
    <w:rsid w:val="00581951"/>
    <w:rsid w:val="00582AB6"/>
    <w:rsid w:val="0058313F"/>
    <w:rsid w:val="00583503"/>
    <w:rsid w:val="00583683"/>
    <w:rsid w:val="00583F16"/>
    <w:rsid w:val="00584F92"/>
    <w:rsid w:val="00585859"/>
    <w:rsid w:val="0058668B"/>
    <w:rsid w:val="00586FBC"/>
    <w:rsid w:val="005879C9"/>
    <w:rsid w:val="00590B0B"/>
    <w:rsid w:val="00592D87"/>
    <w:rsid w:val="00593CA1"/>
    <w:rsid w:val="00593F48"/>
    <w:rsid w:val="005943DA"/>
    <w:rsid w:val="00594CAD"/>
    <w:rsid w:val="00596C57"/>
    <w:rsid w:val="005972C2"/>
    <w:rsid w:val="00597648"/>
    <w:rsid w:val="00597B3E"/>
    <w:rsid w:val="005A1C81"/>
    <w:rsid w:val="005A1D0B"/>
    <w:rsid w:val="005A1F76"/>
    <w:rsid w:val="005A3C6B"/>
    <w:rsid w:val="005A42C4"/>
    <w:rsid w:val="005A624F"/>
    <w:rsid w:val="005A7011"/>
    <w:rsid w:val="005A7AA4"/>
    <w:rsid w:val="005B1EA5"/>
    <w:rsid w:val="005B372A"/>
    <w:rsid w:val="005B796C"/>
    <w:rsid w:val="005B7DCF"/>
    <w:rsid w:val="005C0BBD"/>
    <w:rsid w:val="005C0BFC"/>
    <w:rsid w:val="005C2ADC"/>
    <w:rsid w:val="005C420D"/>
    <w:rsid w:val="005C4DD9"/>
    <w:rsid w:val="005C54A0"/>
    <w:rsid w:val="005C55C9"/>
    <w:rsid w:val="005C583E"/>
    <w:rsid w:val="005C5B47"/>
    <w:rsid w:val="005C6CD5"/>
    <w:rsid w:val="005C7F5E"/>
    <w:rsid w:val="005D09B8"/>
    <w:rsid w:val="005D0D15"/>
    <w:rsid w:val="005D1410"/>
    <w:rsid w:val="005D1FE6"/>
    <w:rsid w:val="005D25D4"/>
    <w:rsid w:val="005D2A7C"/>
    <w:rsid w:val="005D2EED"/>
    <w:rsid w:val="005D3422"/>
    <w:rsid w:val="005D3667"/>
    <w:rsid w:val="005D4042"/>
    <w:rsid w:val="005D4594"/>
    <w:rsid w:val="005D47ED"/>
    <w:rsid w:val="005D490D"/>
    <w:rsid w:val="005D5C6A"/>
    <w:rsid w:val="005D6E8F"/>
    <w:rsid w:val="005D7176"/>
    <w:rsid w:val="005E18CB"/>
    <w:rsid w:val="005E1F24"/>
    <w:rsid w:val="005E2345"/>
    <w:rsid w:val="005E254C"/>
    <w:rsid w:val="005E32B8"/>
    <w:rsid w:val="005E3667"/>
    <w:rsid w:val="005E3B4D"/>
    <w:rsid w:val="005E3B77"/>
    <w:rsid w:val="005E592B"/>
    <w:rsid w:val="005E59F9"/>
    <w:rsid w:val="005E5EBC"/>
    <w:rsid w:val="005E73F1"/>
    <w:rsid w:val="005F071A"/>
    <w:rsid w:val="005F07EF"/>
    <w:rsid w:val="005F0AB2"/>
    <w:rsid w:val="005F159A"/>
    <w:rsid w:val="005F16B6"/>
    <w:rsid w:val="005F2600"/>
    <w:rsid w:val="005F3DF9"/>
    <w:rsid w:val="005F51F7"/>
    <w:rsid w:val="005F5224"/>
    <w:rsid w:val="005F6F97"/>
    <w:rsid w:val="005F7AA1"/>
    <w:rsid w:val="0060090E"/>
    <w:rsid w:val="00600B2E"/>
    <w:rsid w:val="00601083"/>
    <w:rsid w:val="00601122"/>
    <w:rsid w:val="00601A49"/>
    <w:rsid w:val="006046B0"/>
    <w:rsid w:val="00605D92"/>
    <w:rsid w:val="00606006"/>
    <w:rsid w:val="00606521"/>
    <w:rsid w:val="00607CEB"/>
    <w:rsid w:val="0061090E"/>
    <w:rsid w:val="00613299"/>
    <w:rsid w:val="0061478B"/>
    <w:rsid w:val="0061587F"/>
    <w:rsid w:val="00616856"/>
    <w:rsid w:val="0061762D"/>
    <w:rsid w:val="00622E11"/>
    <w:rsid w:val="00623B02"/>
    <w:rsid w:val="00625EC2"/>
    <w:rsid w:val="0063114B"/>
    <w:rsid w:val="0063182A"/>
    <w:rsid w:val="00632418"/>
    <w:rsid w:val="00633527"/>
    <w:rsid w:val="00633768"/>
    <w:rsid w:val="00633AE3"/>
    <w:rsid w:val="00634238"/>
    <w:rsid w:val="00635FBC"/>
    <w:rsid w:val="00636EB5"/>
    <w:rsid w:val="00637728"/>
    <w:rsid w:val="0064113A"/>
    <w:rsid w:val="0064167B"/>
    <w:rsid w:val="00641BB4"/>
    <w:rsid w:val="00643F96"/>
    <w:rsid w:val="00644002"/>
    <w:rsid w:val="0064526B"/>
    <w:rsid w:val="006458B1"/>
    <w:rsid w:val="006478FE"/>
    <w:rsid w:val="00650529"/>
    <w:rsid w:val="00650BAB"/>
    <w:rsid w:val="00651737"/>
    <w:rsid w:val="0065182F"/>
    <w:rsid w:val="00654E31"/>
    <w:rsid w:val="00655587"/>
    <w:rsid w:val="006564CA"/>
    <w:rsid w:val="00656A8F"/>
    <w:rsid w:val="006601B2"/>
    <w:rsid w:val="00661F35"/>
    <w:rsid w:val="00661FDB"/>
    <w:rsid w:val="006632ED"/>
    <w:rsid w:val="006652DD"/>
    <w:rsid w:val="006664F3"/>
    <w:rsid w:val="00666FA8"/>
    <w:rsid w:val="006671BF"/>
    <w:rsid w:val="006672CA"/>
    <w:rsid w:val="0067092A"/>
    <w:rsid w:val="00671AEB"/>
    <w:rsid w:val="00671F91"/>
    <w:rsid w:val="00671FF2"/>
    <w:rsid w:val="00672A7D"/>
    <w:rsid w:val="0067343D"/>
    <w:rsid w:val="006744E9"/>
    <w:rsid w:val="00675BB1"/>
    <w:rsid w:val="00676484"/>
    <w:rsid w:val="00676FAC"/>
    <w:rsid w:val="00680010"/>
    <w:rsid w:val="006808F1"/>
    <w:rsid w:val="00680B1A"/>
    <w:rsid w:val="00681284"/>
    <w:rsid w:val="00681416"/>
    <w:rsid w:val="00683A18"/>
    <w:rsid w:val="006844DC"/>
    <w:rsid w:val="0068494E"/>
    <w:rsid w:val="00686EE2"/>
    <w:rsid w:val="0069006D"/>
    <w:rsid w:val="00690EF6"/>
    <w:rsid w:val="0069148F"/>
    <w:rsid w:val="006932BA"/>
    <w:rsid w:val="00693830"/>
    <w:rsid w:val="006939D7"/>
    <w:rsid w:val="00694651"/>
    <w:rsid w:val="00695B96"/>
    <w:rsid w:val="006A049E"/>
    <w:rsid w:val="006A06F5"/>
    <w:rsid w:val="006A0ED2"/>
    <w:rsid w:val="006A25DA"/>
    <w:rsid w:val="006A2939"/>
    <w:rsid w:val="006A2B7B"/>
    <w:rsid w:val="006A3081"/>
    <w:rsid w:val="006A40B9"/>
    <w:rsid w:val="006A5DD3"/>
    <w:rsid w:val="006A5FDA"/>
    <w:rsid w:val="006A646A"/>
    <w:rsid w:val="006A6FD4"/>
    <w:rsid w:val="006A717A"/>
    <w:rsid w:val="006B0A73"/>
    <w:rsid w:val="006B0F3A"/>
    <w:rsid w:val="006B27C9"/>
    <w:rsid w:val="006B4EE8"/>
    <w:rsid w:val="006B4FAB"/>
    <w:rsid w:val="006B5A6B"/>
    <w:rsid w:val="006B6278"/>
    <w:rsid w:val="006B6FC0"/>
    <w:rsid w:val="006B78B4"/>
    <w:rsid w:val="006C00B8"/>
    <w:rsid w:val="006C0C3C"/>
    <w:rsid w:val="006C0F82"/>
    <w:rsid w:val="006C25E8"/>
    <w:rsid w:val="006C332E"/>
    <w:rsid w:val="006C3535"/>
    <w:rsid w:val="006C4135"/>
    <w:rsid w:val="006C5901"/>
    <w:rsid w:val="006C65B1"/>
    <w:rsid w:val="006C74A0"/>
    <w:rsid w:val="006C786F"/>
    <w:rsid w:val="006D00F1"/>
    <w:rsid w:val="006D08D1"/>
    <w:rsid w:val="006D23B5"/>
    <w:rsid w:val="006D2412"/>
    <w:rsid w:val="006D2AEA"/>
    <w:rsid w:val="006D377A"/>
    <w:rsid w:val="006D402A"/>
    <w:rsid w:val="006D4222"/>
    <w:rsid w:val="006D594C"/>
    <w:rsid w:val="006D6372"/>
    <w:rsid w:val="006D643C"/>
    <w:rsid w:val="006D68C4"/>
    <w:rsid w:val="006D6E5C"/>
    <w:rsid w:val="006E02AF"/>
    <w:rsid w:val="006E0786"/>
    <w:rsid w:val="006E1840"/>
    <w:rsid w:val="006E2317"/>
    <w:rsid w:val="006E46DB"/>
    <w:rsid w:val="006E5D04"/>
    <w:rsid w:val="006E5EBC"/>
    <w:rsid w:val="006E5FA5"/>
    <w:rsid w:val="006E6B4A"/>
    <w:rsid w:val="006E7449"/>
    <w:rsid w:val="006E7FB1"/>
    <w:rsid w:val="006F2604"/>
    <w:rsid w:val="006F3460"/>
    <w:rsid w:val="006F5319"/>
    <w:rsid w:val="006F55FD"/>
    <w:rsid w:val="006F5BBF"/>
    <w:rsid w:val="006F5D21"/>
    <w:rsid w:val="006F674D"/>
    <w:rsid w:val="006F7898"/>
    <w:rsid w:val="006F7B8B"/>
    <w:rsid w:val="00700476"/>
    <w:rsid w:val="0070075D"/>
    <w:rsid w:val="00701522"/>
    <w:rsid w:val="0070326C"/>
    <w:rsid w:val="00705BB6"/>
    <w:rsid w:val="007061DA"/>
    <w:rsid w:val="00706AF8"/>
    <w:rsid w:val="007072FF"/>
    <w:rsid w:val="007109F6"/>
    <w:rsid w:val="00711BE3"/>
    <w:rsid w:val="007121C6"/>
    <w:rsid w:val="007152DA"/>
    <w:rsid w:val="0071534F"/>
    <w:rsid w:val="0071548E"/>
    <w:rsid w:val="00715A63"/>
    <w:rsid w:val="007167BF"/>
    <w:rsid w:val="007172DB"/>
    <w:rsid w:val="00720FBF"/>
    <w:rsid w:val="00721B51"/>
    <w:rsid w:val="00722142"/>
    <w:rsid w:val="00722CB3"/>
    <w:rsid w:val="007240F0"/>
    <w:rsid w:val="00724594"/>
    <w:rsid w:val="00724FA7"/>
    <w:rsid w:val="00725131"/>
    <w:rsid w:val="00725415"/>
    <w:rsid w:val="007259FD"/>
    <w:rsid w:val="00725BF0"/>
    <w:rsid w:val="007262CC"/>
    <w:rsid w:val="00727505"/>
    <w:rsid w:val="00727BAD"/>
    <w:rsid w:val="00731581"/>
    <w:rsid w:val="0073481D"/>
    <w:rsid w:val="007358E2"/>
    <w:rsid w:val="00737771"/>
    <w:rsid w:val="00740465"/>
    <w:rsid w:val="007407B3"/>
    <w:rsid w:val="007414DC"/>
    <w:rsid w:val="00741B9E"/>
    <w:rsid w:val="0074212C"/>
    <w:rsid w:val="00743731"/>
    <w:rsid w:val="00743DAC"/>
    <w:rsid w:val="007455B3"/>
    <w:rsid w:val="0074591F"/>
    <w:rsid w:val="00746671"/>
    <w:rsid w:val="00746A85"/>
    <w:rsid w:val="00746DA9"/>
    <w:rsid w:val="007502CD"/>
    <w:rsid w:val="00752AE7"/>
    <w:rsid w:val="00752D3B"/>
    <w:rsid w:val="0075337B"/>
    <w:rsid w:val="00754497"/>
    <w:rsid w:val="00755CD4"/>
    <w:rsid w:val="00757128"/>
    <w:rsid w:val="00757F96"/>
    <w:rsid w:val="00760DD5"/>
    <w:rsid w:val="007610B5"/>
    <w:rsid w:val="007615D3"/>
    <w:rsid w:val="007623CB"/>
    <w:rsid w:val="00762652"/>
    <w:rsid w:val="00763DDA"/>
    <w:rsid w:val="007644C0"/>
    <w:rsid w:val="00764551"/>
    <w:rsid w:val="0076556F"/>
    <w:rsid w:val="00765B91"/>
    <w:rsid w:val="00765F69"/>
    <w:rsid w:val="00766B21"/>
    <w:rsid w:val="007677B8"/>
    <w:rsid w:val="00771770"/>
    <w:rsid w:val="00772AE7"/>
    <w:rsid w:val="00774673"/>
    <w:rsid w:val="007755A8"/>
    <w:rsid w:val="00776715"/>
    <w:rsid w:val="007770B9"/>
    <w:rsid w:val="007771A4"/>
    <w:rsid w:val="00777933"/>
    <w:rsid w:val="00777B51"/>
    <w:rsid w:val="00780E84"/>
    <w:rsid w:val="00781713"/>
    <w:rsid w:val="00782C96"/>
    <w:rsid w:val="00782CE9"/>
    <w:rsid w:val="00782FD8"/>
    <w:rsid w:val="00783F9D"/>
    <w:rsid w:val="007844E3"/>
    <w:rsid w:val="00785285"/>
    <w:rsid w:val="0078529D"/>
    <w:rsid w:val="00785E77"/>
    <w:rsid w:val="0078720B"/>
    <w:rsid w:val="00787DC1"/>
    <w:rsid w:val="00787EA3"/>
    <w:rsid w:val="00791860"/>
    <w:rsid w:val="00792203"/>
    <w:rsid w:val="00793C00"/>
    <w:rsid w:val="00794070"/>
    <w:rsid w:val="00794276"/>
    <w:rsid w:val="007946E4"/>
    <w:rsid w:val="00795069"/>
    <w:rsid w:val="00796AC7"/>
    <w:rsid w:val="00797016"/>
    <w:rsid w:val="007970C0"/>
    <w:rsid w:val="007973F9"/>
    <w:rsid w:val="007A1818"/>
    <w:rsid w:val="007A1878"/>
    <w:rsid w:val="007A2B35"/>
    <w:rsid w:val="007A2B3D"/>
    <w:rsid w:val="007A2BFB"/>
    <w:rsid w:val="007A324D"/>
    <w:rsid w:val="007A378F"/>
    <w:rsid w:val="007A5CD2"/>
    <w:rsid w:val="007A5CEE"/>
    <w:rsid w:val="007A63CA"/>
    <w:rsid w:val="007A713B"/>
    <w:rsid w:val="007A7B25"/>
    <w:rsid w:val="007A7D19"/>
    <w:rsid w:val="007A7DA0"/>
    <w:rsid w:val="007B0EB5"/>
    <w:rsid w:val="007B3298"/>
    <w:rsid w:val="007B3D09"/>
    <w:rsid w:val="007B507F"/>
    <w:rsid w:val="007B597E"/>
    <w:rsid w:val="007B64E5"/>
    <w:rsid w:val="007B66EC"/>
    <w:rsid w:val="007B68AA"/>
    <w:rsid w:val="007B75DF"/>
    <w:rsid w:val="007B7FBE"/>
    <w:rsid w:val="007C1324"/>
    <w:rsid w:val="007C26FB"/>
    <w:rsid w:val="007C2F04"/>
    <w:rsid w:val="007C3605"/>
    <w:rsid w:val="007C3B00"/>
    <w:rsid w:val="007C3C58"/>
    <w:rsid w:val="007C4A0C"/>
    <w:rsid w:val="007C57E1"/>
    <w:rsid w:val="007C5CB8"/>
    <w:rsid w:val="007C6CC7"/>
    <w:rsid w:val="007C70F9"/>
    <w:rsid w:val="007D21C5"/>
    <w:rsid w:val="007D22D8"/>
    <w:rsid w:val="007D29E4"/>
    <w:rsid w:val="007D3B42"/>
    <w:rsid w:val="007D429F"/>
    <w:rsid w:val="007D42F9"/>
    <w:rsid w:val="007D47DC"/>
    <w:rsid w:val="007D60DC"/>
    <w:rsid w:val="007D7039"/>
    <w:rsid w:val="007E0560"/>
    <w:rsid w:val="007E1FC1"/>
    <w:rsid w:val="007E1FD7"/>
    <w:rsid w:val="007E20B1"/>
    <w:rsid w:val="007E28DE"/>
    <w:rsid w:val="007E2EDB"/>
    <w:rsid w:val="007E41E4"/>
    <w:rsid w:val="007E5052"/>
    <w:rsid w:val="007E55CC"/>
    <w:rsid w:val="007E6494"/>
    <w:rsid w:val="007E6DC8"/>
    <w:rsid w:val="007F0353"/>
    <w:rsid w:val="007F06E5"/>
    <w:rsid w:val="007F087B"/>
    <w:rsid w:val="007F0C49"/>
    <w:rsid w:val="007F1EE8"/>
    <w:rsid w:val="007F209F"/>
    <w:rsid w:val="007F292B"/>
    <w:rsid w:val="007F3210"/>
    <w:rsid w:val="007F3F68"/>
    <w:rsid w:val="007F4475"/>
    <w:rsid w:val="007F5B10"/>
    <w:rsid w:val="007F5B8B"/>
    <w:rsid w:val="007F5C81"/>
    <w:rsid w:val="007F5F3B"/>
    <w:rsid w:val="007F6828"/>
    <w:rsid w:val="007F760B"/>
    <w:rsid w:val="007F7A8E"/>
    <w:rsid w:val="008011A3"/>
    <w:rsid w:val="00801B5D"/>
    <w:rsid w:val="008042C7"/>
    <w:rsid w:val="00804795"/>
    <w:rsid w:val="008054BA"/>
    <w:rsid w:val="00805BC0"/>
    <w:rsid w:val="00806DEA"/>
    <w:rsid w:val="00806E19"/>
    <w:rsid w:val="0080773F"/>
    <w:rsid w:val="00810D3D"/>
    <w:rsid w:val="00810E1F"/>
    <w:rsid w:val="00811B3C"/>
    <w:rsid w:val="00811C2A"/>
    <w:rsid w:val="00812835"/>
    <w:rsid w:val="00812CE4"/>
    <w:rsid w:val="00814FB9"/>
    <w:rsid w:val="008162EC"/>
    <w:rsid w:val="008164DE"/>
    <w:rsid w:val="00817A30"/>
    <w:rsid w:val="00817E9A"/>
    <w:rsid w:val="008224E2"/>
    <w:rsid w:val="00822653"/>
    <w:rsid w:val="0082283F"/>
    <w:rsid w:val="00822D66"/>
    <w:rsid w:val="00824997"/>
    <w:rsid w:val="00827786"/>
    <w:rsid w:val="00827BD5"/>
    <w:rsid w:val="00827BDA"/>
    <w:rsid w:val="008308E1"/>
    <w:rsid w:val="00830D57"/>
    <w:rsid w:val="00830EDD"/>
    <w:rsid w:val="00831F00"/>
    <w:rsid w:val="00832DBF"/>
    <w:rsid w:val="00832E3B"/>
    <w:rsid w:val="00833C8D"/>
    <w:rsid w:val="00834753"/>
    <w:rsid w:val="008425AE"/>
    <w:rsid w:val="00846253"/>
    <w:rsid w:val="00850CA0"/>
    <w:rsid w:val="00851039"/>
    <w:rsid w:val="00851A1B"/>
    <w:rsid w:val="00852A2F"/>
    <w:rsid w:val="00852C17"/>
    <w:rsid w:val="008534B8"/>
    <w:rsid w:val="00853C09"/>
    <w:rsid w:val="00853DD3"/>
    <w:rsid w:val="00854FFC"/>
    <w:rsid w:val="00855BB5"/>
    <w:rsid w:val="008566FE"/>
    <w:rsid w:val="008608EE"/>
    <w:rsid w:val="00860B07"/>
    <w:rsid w:val="008616F6"/>
    <w:rsid w:val="0086259C"/>
    <w:rsid w:val="00862DEF"/>
    <w:rsid w:val="008635B7"/>
    <w:rsid w:val="00863715"/>
    <w:rsid w:val="00864359"/>
    <w:rsid w:val="00865865"/>
    <w:rsid w:val="00866D8A"/>
    <w:rsid w:val="008673C0"/>
    <w:rsid w:val="008674ED"/>
    <w:rsid w:val="00867C73"/>
    <w:rsid w:val="0087074C"/>
    <w:rsid w:val="0087096F"/>
    <w:rsid w:val="00870AFA"/>
    <w:rsid w:val="008714F5"/>
    <w:rsid w:val="00873156"/>
    <w:rsid w:val="00874913"/>
    <w:rsid w:val="008775A9"/>
    <w:rsid w:val="00880E81"/>
    <w:rsid w:val="00883F24"/>
    <w:rsid w:val="00884408"/>
    <w:rsid w:val="00884C4B"/>
    <w:rsid w:val="0088585D"/>
    <w:rsid w:val="00890864"/>
    <w:rsid w:val="00890B4E"/>
    <w:rsid w:val="0089130D"/>
    <w:rsid w:val="0089382D"/>
    <w:rsid w:val="00894140"/>
    <w:rsid w:val="00894558"/>
    <w:rsid w:val="008954A1"/>
    <w:rsid w:val="00895C3F"/>
    <w:rsid w:val="00895F10"/>
    <w:rsid w:val="00897B3F"/>
    <w:rsid w:val="00897E1F"/>
    <w:rsid w:val="008A2F7E"/>
    <w:rsid w:val="008A3087"/>
    <w:rsid w:val="008A3726"/>
    <w:rsid w:val="008A3E8E"/>
    <w:rsid w:val="008A4A96"/>
    <w:rsid w:val="008A4ABE"/>
    <w:rsid w:val="008A6422"/>
    <w:rsid w:val="008A6546"/>
    <w:rsid w:val="008A73D9"/>
    <w:rsid w:val="008B04DA"/>
    <w:rsid w:val="008B0F22"/>
    <w:rsid w:val="008B2CB4"/>
    <w:rsid w:val="008B32CB"/>
    <w:rsid w:val="008B3B63"/>
    <w:rsid w:val="008B3D82"/>
    <w:rsid w:val="008B4B6B"/>
    <w:rsid w:val="008B5503"/>
    <w:rsid w:val="008B595B"/>
    <w:rsid w:val="008B6404"/>
    <w:rsid w:val="008B6B1C"/>
    <w:rsid w:val="008C0B9D"/>
    <w:rsid w:val="008C21C9"/>
    <w:rsid w:val="008C2C21"/>
    <w:rsid w:val="008C4B04"/>
    <w:rsid w:val="008C719A"/>
    <w:rsid w:val="008C71C0"/>
    <w:rsid w:val="008C7508"/>
    <w:rsid w:val="008C7DD3"/>
    <w:rsid w:val="008D0311"/>
    <w:rsid w:val="008D054C"/>
    <w:rsid w:val="008D07E6"/>
    <w:rsid w:val="008D31C1"/>
    <w:rsid w:val="008D57E0"/>
    <w:rsid w:val="008D6B61"/>
    <w:rsid w:val="008D6C26"/>
    <w:rsid w:val="008D7E67"/>
    <w:rsid w:val="008E000B"/>
    <w:rsid w:val="008E0C67"/>
    <w:rsid w:val="008E2926"/>
    <w:rsid w:val="008E35C6"/>
    <w:rsid w:val="008E38AB"/>
    <w:rsid w:val="008E3F49"/>
    <w:rsid w:val="008E62EB"/>
    <w:rsid w:val="008E6A16"/>
    <w:rsid w:val="008E7589"/>
    <w:rsid w:val="008E7FBC"/>
    <w:rsid w:val="008F243B"/>
    <w:rsid w:val="008F4675"/>
    <w:rsid w:val="008F50FE"/>
    <w:rsid w:val="008F52CB"/>
    <w:rsid w:val="008F6194"/>
    <w:rsid w:val="008F6656"/>
    <w:rsid w:val="008F69CD"/>
    <w:rsid w:val="008F6A25"/>
    <w:rsid w:val="008F6BF2"/>
    <w:rsid w:val="008F6E88"/>
    <w:rsid w:val="008F6F2C"/>
    <w:rsid w:val="008F711F"/>
    <w:rsid w:val="008F748B"/>
    <w:rsid w:val="00900DD5"/>
    <w:rsid w:val="0090143B"/>
    <w:rsid w:val="009018E5"/>
    <w:rsid w:val="00901A5E"/>
    <w:rsid w:val="00901C82"/>
    <w:rsid w:val="00901E60"/>
    <w:rsid w:val="00902104"/>
    <w:rsid w:val="00902469"/>
    <w:rsid w:val="009026E5"/>
    <w:rsid w:val="009026EE"/>
    <w:rsid w:val="00903805"/>
    <w:rsid w:val="009047D6"/>
    <w:rsid w:val="00904A66"/>
    <w:rsid w:val="00905029"/>
    <w:rsid w:val="009054F6"/>
    <w:rsid w:val="00905FEF"/>
    <w:rsid w:val="0090656E"/>
    <w:rsid w:val="009102CD"/>
    <w:rsid w:val="00911778"/>
    <w:rsid w:val="0091209A"/>
    <w:rsid w:val="009128CF"/>
    <w:rsid w:val="00912BDA"/>
    <w:rsid w:val="00914BF8"/>
    <w:rsid w:val="00916DEF"/>
    <w:rsid w:val="009173FB"/>
    <w:rsid w:val="00921A3A"/>
    <w:rsid w:val="00922219"/>
    <w:rsid w:val="0092287F"/>
    <w:rsid w:val="009245D1"/>
    <w:rsid w:val="0092495B"/>
    <w:rsid w:val="009263F1"/>
    <w:rsid w:val="0092660E"/>
    <w:rsid w:val="00931381"/>
    <w:rsid w:val="00931660"/>
    <w:rsid w:val="009320B6"/>
    <w:rsid w:val="00934770"/>
    <w:rsid w:val="00934B8B"/>
    <w:rsid w:val="00936519"/>
    <w:rsid w:val="00936595"/>
    <w:rsid w:val="00937DEF"/>
    <w:rsid w:val="009413AA"/>
    <w:rsid w:val="0094173D"/>
    <w:rsid w:val="00941DA3"/>
    <w:rsid w:val="00942C0C"/>
    <w:rsid w:val="00942FBC"/>
    <w:rsid w:val="00943DE5"/>
    <w:rsid w:val="0094452B"/>
    <w:rsid w:val="00944562"/>
    <w:rsid w:val="00945724"/>
    <w:rsid w:val="00945DAB"/>
    <w:rsid w:val="00946B71"/>
    <w:rsid w:val="00947ADB"/>
    <w:rsid w:val="00950A84"/>
    <w:rsid w:val="00951711"/>
    <w:rsid w:val="00951AD5"/>
    <w:rsid w:val="00952CC6"/>
    <w:rsid w:val="009539E3"/>
    <w:rsid w:val="00954083"/>
    <w:rsid w:val="0095443A"/>
    <w:rsid w:val="00954A5E"/>
    <w:rsid w:val="00954F67"/>
    <w:rsid w:val="009551B2"/>
    <w:rsid w:val="00955CA3"/>
    <w:rsid w:val="009562BE"/>
    <w:rsid w:val="00956A9A"/>
    <w:rsid w:val="0096022C"/>
    <w:rsid w:val="009605D1"/>
    <w:rsid w:val="00960ACF"/>
    <w:rsid w:val="009619B1"/>
    <w:rsid w:val="00964625"/>
    <w:rsid w:val="00965260"/>
    <w:rsid w:val="00965B57"/>
    <w:rsid w:val="00971A30"/>
    <w:rsid w:val="00974B3A"/>
    <w:rsid w:val="0097748C"/>
    <w:rsid w:val="00977E32"/>
    <w:rsid w:val="00977E80"/>
    <w:rsid w:val="00980937"/>
    <w:rsid w:val="00981C1D"/>
    <w:rsid w:val="0098258B"/>
    <w:rsid w:val="00982E0A"/>
    <w:rsid w:val="00984129"/>
    <w:rsid w:val="00984942"/>
    <w:rsid w:val="00985954"/>
    <w:rsid w:val="00985BEB"/>
    <w:rsid w:val="009865EB"/>
    <w:rsid w:val="00986FB2"/>
    <w:rsid w:val="0099072D"/>
    <w:rsid w:val="00990FFC"/>
    <w:rsid w:val="0099109C"/>
    <w:rsid w:val="009925C9"/>
    <w:rsid w:val="009936DB"/>
    <w:rsid w:val="00993CFC"/>
    <w:rsid w:val="009945C5"/>
    <w:rsid w:val="00994800"/>
    <w:rsid w:val="00995729"/>
    <w:rsid w:val="00995CE2"/>
    <w:rsid w:val="009966FB"/>
    <w:rsid w:val="00996D0B"/>
    <w:rsid w:val="009A14A4"/>
    <w:rsid w:val="009A1D77"/>
    <w:rsid w:val="009A1DC2"/>
    <w:rsid w:val="009A23DB"/>
    <w:rsid w:val="009A31B6"/>
    <w:rsid w:val="009A500E"/>
    <w:rsid w:val="009A5CE2"/>
    <w:rsid w:val="009A5EEA"/>
    <w:rsid w:val="009A5F3B"/>
    <w:rsid w:val="009A6CA7"/>
    <w:rsid w:val="009A7BCB"/>
    <w:rsid w:val="009B034A"/>
    <w:rsid w:val="009B0581"/>
    <w:rsid w:val="009B0906"/>
    <w:rsid w:val="009B0AAE"/>
    <w:rsid w:val="009B2E60"/>
    <w:rsid w:val="009B34A5"/>
    <w:rsid w:val="009B38F2"/>
    <w:rsid w:val="009B3CE0"/>
    <w:rsid w:val="009B4098"/>
    <w:rsid w:val="009B5514"/>
    <w:rsid w:val="009B5EAB"/>
    <w:rsid w:val="009B7433"/>
    <w:rsid w:val="009C0914"/>
    <w:rsid w:val="009C1DCA"/>
    <w:rsid w:val="009C27E5"/>
    <w:rsid w:val="009C3C9F"/>
    <w:rsid w:val="009C5340"/>
    <w:rsid w:val="009C5656"/>
    <w:rsid w:val="009C6440"/>
    <w:rsid w:val="009C66C4"/>
    <w:rsid w:val="009C7204"/>
    <w:rsid w:val="009C73D4"/>
    <w:rsid w:val="009C783B"/>
    <w:rsid w:val="009D0D57"/>
    <w:rsid w:val="009D0DEE"/>
    <w:rsid w:val="009D0EA8"/>
    <w:rsid w:val="009D142C"/>
    <w:rsid w:val="009D1829"/>
    <w:rsid w:val="009D1850"/>
    <w:rsid w:val="009D24A1"/>
    <w:rsid w:val="009D282D"/>
    <w:rsid w:val="009D3891"/>
    <w:rsid w:val="009D5DB9"/>
    <w:rsid w:val="009D6824"/>
    <w:rsid w:val="009D71E8"/>
    <w:rsid w:val="009D77D8"/>
    <w:rsid w:val="009E011A"/>
    <w:rsid w:val="009E04E0"/>
    <w:rsid w:val="009E0CF5"/>
    <w:rsid w:val="009E104B"/>
    <w:rsid w:val="009E17CC"/>
    <w:rsid w:val="009E35A7"/>
    <w:rsid w:val="009E5A00"/>
    <w:rsid w:val="009E786F"/>
    <w:rsid w:val="009E7DE4"/>
    <w:rsid w:val="009F1A0E"/>
    <w:rsid w:val="009F347D"/>
    <w:rsid w:val="009F3BBD"/>
    <w:rsid w:val="009F3EF1"/>
    <w:rsid w:val="00A01ABA"/>
    <w:rsid w:val="00A022AB"/>
    <w:rsid w:val="00A05718"/>
    <w:rsid w:val="00A063DD"/>
    <w:rsid w:val="00A06548"/>
    <w:rsid w:val="00A07A8F"/>
    <w:rsid w:val="00A07C98"/>
    <w:rsid w:val="00A10062"/>
    <w:rsid w:val="00A1089B"/>
    <w:rsid w:val="00A10B1B"/>
    <w:rsid w:val="00A112B5"/>
    <w:rsid w:val="00A12B0D"/>
    <w:rsid w:val="00A12C0F"/>
    <w:rsid w:val="00A132DB"/>
    <w:rsid w:val="00A13AA9"/>
    <w:rsid w:val="00A13FBB"/>
    <w:rsid w:val="00A14774"/>
    <w:rsid w:val="00A14EEA"/>
    <w:rsid w:val="00A16A7D"/>
    <w:rsid w:val="00A17C29"/>
    <w:rsid w:val="00A20045"/>
    <w:rsid w:val="00A20480"/>
    <w:rsid w:val="00A2129B"/>
    <w:rsid w:val="00A2326C"/>
    <w:rsid w:val="00A26EEA"/>
    <w:rsid w:val="00A27491"/>
    <w:rsid w:val="00A30184"/>
    <w:rsid w:val="00A307BC"/>
    <w:rsid w:val="00A30D97"/>
    <w:rsid w:val="00A316C0"/>
    <w:rsid w:val="00A321B2"/>
    <w:rsid w:val="00A33636"/>
    <w:rsid w:val="00A3418D"/>
    <w:rsid w:val="00A344A6"/>
    <w:rsid w:val="00A34845"/>
    <w:rsid w:val="00A35BFE"/>
    <w:rsid w:val="00A36313"/>
    <w:rsid w:val="00A3687B"/>
    <w:rsid w:val="00A3715D"/>
    <w:rsid w:val="00A377F8"/>
    <w:rsid w:val="00A4139A"/>
    <w:rsid w:val="00A41B49"/>
    <w:rsid w:val="00A43163"/>
    <w:rsid w:val="00A44F7B"/>
    <w:rsid w:val="00A44FBB"/>
    <w:rsid w:val="00A47601"/>
    <w:rsid w:val="00A500A8"/>
    <w:rsid w:val="00A50104"/>
    <w:rsid w:val="00A518AA"/>
    <w:rsid w:val="00A522E0"/>
    <w:rsid w:val="00A52823"/>
    <w:rsid w:val="00A52F3B"/>
    <w:rsid w:val="00A54F3B"/>
    <w:rsid w:val="00A554B0"/>
    <w:rsid w:val="00A60E28"/>
    <w:rsid w:val="00A61F67"/>
    <w:rsid w:val="00A63579"/>
    <w:rsid w:val="00A638AC"/>
    <w:rsid w:val="00A63E6C"/>
    <w:rsid w:val="00A6401A"/>
    <w:rsid w:val="00A64243"/>
    <w:rsid w:val="00A64475"/>
    <w:rsid w:val="00A6649E"/>
    <w:rsid w:val="00A67B2A"/>
    <w:rsid w:val="00A67D8F"/>
    <w:rsid w:val="00A71E03"/>
    <w:rsid w:val="00A72574"/>
    <w:rsid w:val="00A727E5"/>
    <w:rsid w:val="00A742F8"/>
    <w:rsid w:val="00A748B5"/>
    <w:rsid w:val="00A75821"/>
    <w:rsid w:val="00A75D93"/>
    <w:rsid w:val="00A76200"/>
    <w:rsid w:val="00A77851"/>
    <w:rsid w:val="00A7797A"/>
    <w:rsid w:val="00A80A32"/>
    <w:rsid w:val="00A8168C"/>
    <w:rsid w:val="00A81948"/>
    <w:rsid w:val="00A82A98"/>
    <w:rsid w:val="00A82D16"/>
    <w:rsid w:val="00A835A2"/>
    <w:rsid w:val="00A838D6"/>
    <w:rsid w:val="00A852F2"/>
    <w:rsid w:val="00A85421"/>
    <w:rsid w:val="00A854D0"/>
    <w:rsid w:val="00A85624"/>
    <w:rsid w:val="00A856F5"/>
    <w:rsid w:val="00A85C5D"/>
    <w:rsid w:val="00A85E20"/>
    <w:rsid w:val="00A86901"/>
    <w:rsid w:val="00A8712A"/>
    <w:rsid w:val="00A871F2"/>
    <w:rsid w:val="00A907CB"/>
    <w:rsid w:val="00A920A0"/>
    <w:rsid w:val="00A921EF"/>
    <w:rsid w:val="00A93C32"/>
    <w:rsid w:val="00A940DE"/>
    <w:rsid w:val="00A943FC"/>
    <w:rsid w:val="00A95F75"/>
    <w:rsid w:val="00A9620C"/>
    <w:rsid w:val="00A963B7"/>
    <w:rsid w:val="00A968DA"/>
    <w:rsid w:val="00A96B83"/>
    <w:rsid w:val="00AA0790"/>
    <w:rsid w:val="00AA27CF"/>
    <w:rsid w:val="00AA287D"/>
    <w:rsid w:val="00AA2D20"/>
    <w:rsid w:val="00AA355B"/>
    <w:rsid w:val="00AA42E5"/>
    <w:rsid w:val="00AA48BD"/>
    <w:rsid w:val="00AA4AF5"/>
    <w:rsid w:val="00AA560D"/>
    <w:rsid w:val="00AA6321"/>
    <w:rsid w:val="00AA719F"/>
    <w:rsid w:val="00AA74D1"/>
    <w:rsid w:val="00AB065D"/>
    <w:rsid w:val="00AB24FA"/>
    <w:rsid w:val="00AB27C3"/>
    <w:rsid w:val="00AB32F7"/>
    <w:rsid w:val="00AB3445"/>
    <w:rsid w:val="00AB5161"/>
    <w:rsid w:val="00AB51DD"/>
    <w:rsid w:val="00AB6A5A"/>
    <w:rsid w:val="00AB7E76"/>
    <w:rsid w:val="00AC2920"/>
    <w:rsid w:val="00AC323A"/>
    <w:rsid w:val="00AC3C15"/>
    <w:rsid w:val="00AC40FD"/>
    <w:rsid w:val="00AC4EE3"/>
    <w:rsid w:val="00AC5ED1"/>
    <w:rsid w:val="00AC63AA"/>
    <w:rsid w:val="00AD0418"/>
    <w:rsid w:val="00AD1C28"/>
    <w:rsid w:val="00AD232D"/>
    <w:rsid w:val="00AD3A43"/>
    <w:rsid w:val="00AD47F0"/>
    <w:rsid w:val="00AD4ACE"/>
    <w:rsid w:val="00AD6785"/>
    <w:rsid w:val="00AD72C2"/>
    <w:rsid w:val="00AD72E4"/>
    <w:rsid w:val="00AD7B5A"/>
    <w:rsid w:val="00AE146A"/>
    <w:rsid w:val="00AE1ABE"/>
    <w:rsid w:val="00AE2058"/>
    <w:rsid w:val="00AE229F"/>
    <w:rsid w:val="00AE2883"/>
    <w:rsid w:val="00AE2C6E"/>
    <w:rsid w:val="00AE4125"/>
    <w:rsid w:val="00AE41A6"/>
    <w:rsid w:val="00AE4209"/>
    <w:rsid w:val="00AE4345"/>
    <w:rsid w:val="00AE5577"/>
    <w:rsid w:val="00AE5B7F"/>
    <w:rsid w:val="00AE7447"/>
    <w:rsid w:val="00AF0618"/>
    <w:rsid w:val="00AF0F28"/>
    <w:rsid w:val="00AF10F5"/>
    <w:rsid w:val="00AF31F2"/>
    <w:rsid w:val="00AF3CA7"/>
    <w:rsid w:val="00AF424F"/>
    <w:rsid w:val="00AF54A0"/>
    <w:rsid w:val="00AF5E20"/>
    <w:rsid w:val="00AF63FC"/>
    <w:rsid w:val="00B002FA"/>
    <w:rsid w:val="00B00327"/>
    <w:rsid w:val="00B024B3"/>
    <w:rsid w:val="00B03070"/>
    <w:rsid w:val="00B061EA"/>
    <w:rsid w:val="00B066F7"/>
    <w:rsid w:val="00B06A3A"/>
    <w:rsid w:val="00B06A45"/>
    <w:rsid w:val="00B06B1C"/>
    <w:rsid w:val="00B06E18"/>
    <w:rsid w:val="00B10F2E"/>
    <w:rsid w:val="00B11A1D"/>
    <w:rsid w:val="00B11D62"/>
    <w:rsid w:val="00B11DE8"/>
    <w:rsid w:val="00B12113"/>
    <w:rsid w:val="00B141CD"/>
    <w:rsid w:val="00B14CB0"/>
    <w:rsid w:val="00B179ED"/>
    <w:rsid w:val="00B2081D"/>
    <w:rsid w:val="00B209D0"/>
    <w:rsid w:val="00B20E18"/>
    <w:rsid w:val="00B20EFA"/>
    <w:rsid w:val="00B21DB3"/>
    <w:rsid w:val="00B242E1"/>
    <w:rsid w:val="00B24985"/>
    <w:rsid w:val="00B305F4"/>
    <w:rsid w:val="00B3132D"/>
    <w:rsid w:val="00B3296D"/>
    <w:rsid w:val="00B32A9C"/>
    <w:rsid w:val="00B331E1"/>
    <w:rsid w:val="00B33221"/>
    <w:rsid w:val="00B33A41"/>
    <w:rsid w:val="00B33C43"/>
    <w:rsid w:val="00B342F6"/>
    <w:rsid w:val="00B34DD3"/>
    <w:rsid w:val="00B35D41"/>
    <w:rsid w:val="00B37456"/>
    <w:rsid w:val="00B37505"/>
    <w:rsid w:val="00B37A85"/>
    <w:rsid w:val="00B409A0"/>
    <w:rsid w:val="00B40F5E"/>
    <w:rsid w:val="00B414D7"/>
    <w:rsid w:val="00B42BEE"/>
    <w:rsid w:val="00B42FCF"/>
    <w:rsid w:val="00B451D8"/>
    <w:rsid w:val="00B4532A"/>
    <w:rsid w:val="00B45678"/>
    <w:rsid w:val="00B45773"/>
    <w:rsid w:val="00B47116"/>
    <w:rsid w:val="00B47C66"/>
    <w:rsid w:val="00B50009"/>
    <w:rsid w:val="00B50F49"/>
    <w:rsid w:val="00B51E28"/>
    <w:rsid w:val="00B52C28"/>
    <w:rsid w:val="00B5355D"/>
    <w:rsid w:val="00B53F5D"/>
    <w:rsid w:val="00B5667E"/>
    <w:rsid w:val="00B572C4"/>
    <w:rsid w:val="00B574BB"/>
    <w:rsid w:val="00B57DA0"/>
    <w:rsid w:val="00B57FB1"/>
    <w:rsid w:val="00B60858"/>
    <w:rsid w:val="00B60D09"/>
    <w:rsid w:val="00B60D69"/>
    <w:rsid w:val="00B612B2"/>
    <w:rsid w:val="00B61DAF"/>
    <w:rsid w:val="00B6234E"/>
    <w:rsid w:val="00B624C5"/>
    <w:rsid w:val="00B62B09"/>
    <w:rsid w:val="00B6439F"/>
    <w:rsid w:val="00B7022E"/>
    <w:rsid w:val="00B717EB"/>
    <w:rsid w:val="00B72365"/>
    <w:rsid w:val="00B72C26"/>
    <w:rsid w:val="00B72CB1"/>
    <w:rsid w:val="00B739E6"/>
    <w:rsid w:val="00B73CDA"/>
    <w:rsid w:val="00B73D4A"/>
    <w:rsid w:val="00B73D94"/>
    <w:rsid w:val="00B74279"/>
    <w:rsid w:val="00B74D4E"/>
    <w:rsid w:val="00B80219"/>
    <w:rsid w:val="00B81074"/>
    <w:rsid w:val="00B81466"/>
    <w:rsid w:val="00B83640"/>
    <w:rsid w:val="00B83B49"/>
    <w:rsid w:val="00B83C8E"/>
    <w:rsid w:val="00B87184"/>
    <w:rsid w:val="00B8722E"/>
    <w:rsid w:val="00B8724A"/>
    <w:rsid w:val="00B903FF"/>
    <w:rsid w:val="00B91453"/>
    <w:rsid w:val="00B91A3F"/>
    <w:rsid w:val="00B91E0F"/>
    <w:rsid w:val="00B93278"/>
    <w:rsid w:val="00B934CB"/>
    <w:rsid w:val="00B93A9F"/>
    <w:rsid w:val="00B946B7"/>
    <w:rsid w:val="00B94B4A"/>
    <w:rsid w:val="00B96D92"/>
    <w:rsid w:val="00B97150"/>
    <w:rsid w:val="00BA0916"/>
    <w:rsid w:val="00BA19A5"/>
    <w:rsid w:val="00BA1D40"/>
    <w:rsid w:val="00BA290A"/>
    <w:rsid w:val="00BA2B36"/>
    <w:rsid w:val="00BA33D8"/>
    <w:rsid w:val="00BA483C"/>
    <w:rsid w:val="00BA528D"/>
    <w:rsid w:val="00BA76C1"/>
    <w:rsid w:val="00BA76DB"/>
    <w:rsid w:val="00BB0903"/>
    <w:rsid w:val="00BB2907"/>
    <w:rsid w:val="00BB2F72"/>
    <w:rsid w:val="00BB3C9D"/>
    <w:rsid w:val="00BB4EC1"/>
    <w:rsid w:val="00BB51D0"/>
    <w:rsid w:val="00BB5AD4"/>
    <w:rsid w:val="00BB6902"/>
    <w:rsid w:val="00BB788A"/>
    <w:rsid w:val="00BC078B"/>
    <w:rsid w:val="00BC09EE"/>
    <w:rsid w:val="00BC1359"/>
    <w:rsid w:val="00BC1369"/>
    <w:rsid w:val="00BC21CD"/>
    <w:rsid w:val="00BC3A7D"/>
    <w:rsid w:val="00BC5A00"/>
    <w:rsid w:val="00BC6593"/>
    <w:rsid w:val="00BC67B4"/>
    <w:rsid w:val="00BC67F6"/>
    <w:rsid w:val="00BC7398"/>
    <w:rsid w:val="00BC7982"/>
    <w:rsid w:val="00BD0D31"/>
    <w:rsid w:val="00BD1AE4"/>
    <w:rsid w:val="00BD2004"/>
    <w:rsid w:val="00BD4A63"/>
    <w:rsid w:val="00BD4B12"/>
    <w:rsid w:val="00BD4FA2"/>
    <w:rsid w:val="00BD5122"/>
    <w:rsid w:val="00BD5BC3"/>
    <w:rsid w:val="00BD61AD"/>
    <w:rsid w:val="00BD6A41"/>
    <w:rsid w:val="00BD700D"/>
    <w:rsid w:val="00BD7B1D"/>
    <w:rsid w:val="00BE04BC"/>
    <w:rsid w:val="00BE162F"/>
    <w:rsid w:val="00BE212C"/>
    <w:rsid w:val="00BE2F92"/>
    <w:rsid w:val="00BE3E67"/>
    <w:rsid w:val="00BE44AC"/>
    <w:rsid w:val="00BE6190"/>
    <w:rsid w:val="00BF0510"/>
    <w:rsid w:val="00BF0D5F"/>
    <w:rsid w:val="00BF2A07"/>
    <w:rsid w:val="00BF30FC"/>
    <w:rsid w:val="00BF353F"/>
    <w:rsid w:val="00BF59B3"/>
    <w:rsid w:val="00BF5AA7"/>
    <w:rsid w:val="00BF6BEF"/>
    <w:rsid w:val="00BF6F95"/>
    <w:rsid w:val="00C00836"/>
    <w:rsid w:val="00C01179"/>
    <w:rsid w:val="00C02AEB"/>
    <w:rsid w:val="00C02E4A"/>
    <w:rsid w:val="00C0305C"/>
    <w:rsid w:val="00C03884"/>
    <w:rsid w:val="00C049B0"/>
    <w:rsid w:val="00C05DC5"/>
    <w:rsid w:val="00C05EBA"/>
    <w:rsid w:val="00C06D4E"/>
    <w:rsid w:val="00C10BCF"/>
    <w:rsid w:val="00C11EB4"/>
    <w:rsid w:val="00C12394"/>
    <w:rsid w:val="00C12746"/>
    <w:rsid w:val="00C1300D"/>
    <w:rsid w:val="00C1331D"/>
    <w:rsid w:val="00C1401C"/>
    <w:rsid w:val="00C14A47"/>
    <w:rsid w:val="00C14EB9"/>
    <w:rsid w:val="00C16500"/>
    <w:rsid w:val="00C17015"/>
    <w:rsid w:val="00C20F99"/>
    <w:rsid w:val="00C22045"/>
    <w:rsid w:val="00C22292"/>
    <w:rsid w:val="00C23C11"/>
    <w:rsid w:val="00C2441E"/>
    <w:rsid w:val="00C25827"/>
    <w:rsid w:val="00C262E2"/>
    <w:rsid w:val="00C2644D"/>
    <w:rsid w:val="00C27F69"/>
    <w:rsid w:val="00C31163"/>
    <w:rsid w:val="00C31636"/>
    <w:rsid w:val="00C31BB8"/>
    <w:rsid w:val="00C327D8"/>
    <w:rsid w:val="00C32809"/>
    <w:rsid w:val="00C33642"/>
    <w:rsid w:val="00C336B8"/>
    <w:rsid w:val="00C33818"/>
    <w:rsid w:val="00C34C2F"/>
    <w:rsid w:val="00C36BA9"/>
    <w:rsid w:val="00C36E79"/>
    <w:rsid w:val="00C373EA"/>
    <w:rsid w:val="00C40367"/>
    <w:rsid w:val="00C40868"/>
    <w:rsid w:val="00C41542"/>
    <w:rsid w:val="00C418BC"/>
    <w:rsid w:val="00C431F4"/>
    <w:rsid w:val="00C43CA3"/>
    <w:rsid w:val="00C43D9D"/>
    <w:rsid w:val="00C43EA4"/>
    <w:rsid w:val="00C45D8A"/>
    <w:rsid w:val="00C47C21"/>
    <w:rsid w:val="00C50040"/>
    <w:rsid w:val="00C50989"/>
    <w:rsid w:val="00C51516"/>
    <w:rsid w:val="00C51D33"/>
    <w:rsid w:val="00C5245B"/>
    <w:rsid w:val="00C52DFF"/>
    <w:rsid w:val="00C5387D"/>
    <w:rsid w:val="00C53D49"/>
    <w:rsid w:val="00C5452B"/>
    <w:rsid w:val="00C545E5"/>
    <w:rsid w:val="00C55B6C"/>
    <w:rsid w:val="00C5663C"/>
    <w:rsid w:val="00C5723B"/>
    <w:rsid w:val="00C574E1"/>
    <w:rsid w:val="00C57606"/>
    <w:rsid w:val="00C57B71"/>
    <w:rsid w:val="00C61F0C"/>
    <w:rsid w:val="00C62074"/>
    <w:rsid w:val="00C621C1"/>
    <w:rsid w:val="00C62989"/>
    <w:rsid w:val="00C62CC0"/>
    <w:rsid w:val="00C64A50"/>
    <w:rsid w:val="00C65CBB"/>
    <w:rsid w:val="00C65F04"/>
    <w:rsid w:val="00C65F5A"/>
    <w:rsid w:val="00C70054"/>
    <w:rsid w:val="00C732D5"/>
    <w:rsid w:val="00C74684"/>
    <w:rsid w:val="00C7639D"/>
    <w:rsid w:val="00C76537"/>
    <w:rsid w:val="00C77FEF"/>
    <w:rsid w:val="00C80F37"/>
    <w:rsid w:val="00C817BA"/>
    <w:rsid w:val="00C83659"/>
    <w:rsid w:val="00C839C1"/>
    <w:rsid w:val="00C84474"/>
    <w:rsid w:val="00C86587"/>
    <w:rsid w:val="00C87334"/>
    <w:rsid w:val="00C87985"/>
    <w:rsid w:val="00C901BE"/>
    <w:rsid w:val="00C91B76"/>
    <w:rsid w:val="00C9277D"/>
    <w:rsid w:val="00C94E0A"/>
    <w:rsid w:val="00C9540B"/>
    <w:rsid w:val="00C95E3F"/>
    <w:rsid w:val="00C96945"/>
    <w:rsid w:val="00C97A7F"/>
    <w:rsid w:val="00CA28A2"/>
    <w:rsid w:val="00CA2AF3"/>
    <w:rsid w:val="00CA355F"/>
    <w:rsid w:val="00CA426E"/>
    <w:rsid w:val="00CA4421"/>
    <w:rsid w:val="00CA4F95"/>
    <w:rsid w:val="00CA5363"/>
    <w:rsid w:val="00CA5FCF"/>
    <w:rsid w:val="00CA793D"/>
    <w:rsid w:val="00CA7D07"/>
    <w:rsid w:val="00CB0A7F"/>
    <w:rsid w:val="00CB1D76"/>
    <w:rsid w:val="00CB24A4"/>
    <w:rsid w:val="00CB3486"/>
    <w:rsid w:val="00CB35E4"/>
    <w:rsid w:val="00CB4983"/>
    <w:rsid w:val="00CB5B17"/>
    <w:rsid w:val="00CB6530"/>
    <w:rsid w:val="00CB6AA0"/>
    <w:rsid w:val="00CB75B8"/>
    <w:rsid w:val="00CC06C0"/>
    <w:rsid w:val="00CC0E2E"/>
    <w:rsid w:val="00CC21FA"/>
    <w:rsid w:val="00CC4443"/>
    <w:rsid w:val="00CC589B"/>
    <w:rsid w:val="00CC5CAF"/>
    <w:rsid w:val="00CD084E"/>
    <w:rsid w:val="00CD11EB"/>
    <w:rsid w:val="00CD20CC"/>
    <w:rsid w:val="00CD266B"/>
    <w:rsid w:val="00CD5750"/>
    <w:rsid w:val="00CD6A2D"/>
    <w:rsid w:val="00CD7A5E"/>
    <w:rsid w:val="00CE48F1"/>
    <w:rsid w:val="00CE4BEE"/>
    <w:rsid w:val="00CE5B3E"/>
    <w:rsid w:val="00CE7E1B"/>
    <w:rsid w:val="00CF25D7"/>
    <w:rsid w:val="00CF2A09"/>
    <w:rsid w:val="00CF388D"/>
    <w:rsid w:val="00CF5398"/>
    <w:rsid w:val="00CF5D56"/>
    <w:rsid w:val="00CF6F2F"/>
    <w:rsid w:val="00CF78E4"/>
    <w:rsid w:val="00CF7B34"/>
    <w:rsid w:val="00D004C2"/>
    <w:rsid w:val="00D04380"/>
    <w:rsid w:val="00D04F25"/>
    <w:rsid w:val="00D06874"/>
    <w:rsid w:val="00D07078"/>
    <w:rsid w:val="00D07530"/>
    <w:rsid w:val="00D07FCB"/>
    <w:rsid w:val="00D12336"/>
    <w:rsid w:val="00D13CD0"/>
    <w:rsid w:val="00D15986"/>
    <w:rsid w:val="00D173F7"/>
    <w:rsid w:val="00D20203"/>
    <w:rsid w:val="00D204E0"/>
    <w:rsid w:val="00D21354"/>
    <w:rsid w:val="00D21485"/>
    <w:rsid w:val="00D21C4A"/>
    <w:rsid w:val="00D21CF3"/>
    <w:rsid w:val="00D21D10"/>
    <w:rsid w:val="00D22400"/>
    <w:rsid w:val="00D22D08"/>
    <w:rsid w:val="00D22EA8"/>
    <w:rsid w:val="00D230BC"/>
    <w:rsid w:val="00D233F2"/>
    <w:rsid w:val="00D23F4A"/>
    <w:rsid w:val="00D24741"/>
    <w:rsid w:val="00D264E2"/>
    <w:rsid w:val="00D278BA"/>
    <w:rsid w:val="00D279D8"/>
    <w:rsid w:val="00D27A3D"/>
    <w:rsid w:val="00D30268"/>
    <w:rsid w:val="00D310B3"/>
    <w:rsid w:val="00D31238"/>
    <w:rsid w:val="00D33FE5"/>
    <w:rsid w:val="00D348C0"/>
    <w:rsid w:val="00D35704"/>
    <w:rsid w:val="00D3578A"/>
    <w:rsid w:val="00D365B5"/>
    <w:rsid w:val="00D36E2C"/>
    <w:rsid w:val="00D3734E"/>
    <w:rsid w:val="00D37D94"/>
    <w:rsid w:val="00D418DE"/>
    <w:rsid w:val="00D41CFA"/>
    <w:rsid w:val="00D42931"/>
    <w:rsid w:val="00D42EBE"/>
    <w:rsid w:val="00D43A15"/>
    <w:rsid w:val="00D43D0D"/>
    <w:rsid w:val="00D4463C"/>
    <w:rsid w:val="00D46182"/>
    <w:rsid w:val="00D46C7D"/>
    <w:rsid w:val="00D47897"/>
    <w:rsid w:val="00D501EE"/>
    <w:rsid w:val="00D50467"/>
    <w:rsid w:val="00D50F65"/>
    <w:rsid w:val="00D517DC"/>
    <w:rsid w:val="00D51968"/>
    <w:rsid w:val="00D51C83"/>
    <w:rsid w:val="00D53077"/>
    <w:rsid w:val="00D5360D"/>
    <w:rsid w:val="00D5590D"/>
    <w:rsid w:val="00D5674F"/>
    <w:rsid w:val="00D56BD0"/>
    <w:rsid w:val="00D56E80"/>
    <w:rsid w:val="00D57B9D"/>
    <w:rsid w:val="00D607A3"/>
    <w:rsid w:val="00D618E4"/>
    <w:rsid w:val="00D61DA5"/>
    <w:rsid w:val="00D62586"/>
    <w:rsid w:val="00D642A3"/>
    <w:rsid w:val="00D6485E"/>
    <w:rsid w:val="00D6676D"/>
    <w:rsid w:val="00D71478"/>
    <w:rsid w:val="00D71B8A"/>
    <w:rsid w:val="00D72527"/>
    <w:rsid w:val="00D72C08"/>
    <w:rsid w:val="00D72F3C"/>
    <w:rsid w:val="00D73F8E"/>
    <w:rsid w:val="00D75247"/>
    <w:rsid w:val="00D759CF"/>
    <w:rsid w:val="00D75D4E"/>
    <w:rsid w:val="00D767D9"/>
    <w:rsid w:val="00D80415"/>
    <w:rsid w:val="00D81325"/>
    <w:rsid w:val="00D82037"/>
    <w:rsid w:val="00D8270A"/>
    <w:rsid w:val="00D84C3E"/>
    <w:rsid w:val="00D854C9"/>
    <w:rsid w:val="00D86336"/>
    <w:rsid w:val="00D867D8"/>
    <w:rsid w:val="00D86FC2"/>
    <w:rsid w:val="00D875ED"/>
    <w:rsid w:val="00D877D0"/>
    <w:rsid w:val="00D90013"/>
    <w:rsid w:val="00D90A6F"/>
    <w:rsid w:val="00D90E14"/>
    <w:rsid w:val="00D91B9C"/>
    <w:rsid w:val="00D92C1B"/>
    <w:rsid w:val="00D93432"/>
    <w:rsid w:val="00D94425"/>
    <w:rsid w:val="00D94CC7"/>
    <w:rsid w:val="00D955ED"/>
    <w:rsid w:val="00D95676"/>
    <w:rsid w:val="00D97901"/>
    <w:rsid w:val="00D97C72"/>
    <w:rsid w:val="00D97CFE"/>
    <w:rsid w:val="00DA0340"/>
    <w:rsid w:val="00DA0F0F"/>
    <w:rsid w:val="00DA1016"/>
    <w:rsid w:val="00DA1581"/>
    <w:rsid w:val="00DA1AF4"/>
    <w:rsid w:val="00DA2A02"/>
    <w:rsid w:val="00DA3D7F"/>
    <w:rsid w:val="00DB0144"/>
    <w:rsid w:val="00DB0208"/>
    <w:rsid w:val="00DB05C7"/>
    <w:rsid w:val="00DB0C60"/>
    <w:rsid w:val="00DB0F9A"/>
    <w:rsid w:val="00DB3340"/>
    <w:rsid w:val="00DB48F7"/>
    <w:rsid w:val="00DB70F9"/>
    <w:rsid w:val="00DC11B0"/>
    <w:rsid w:val="00DC3B11"/>
    <w:rsid w:val="00DC3D76"/>
    <w:rsid w:val="00DC6113"/>
    <w:rsid w:val="00DC641A"/>
    <w:rsid w:val="00DD1D6A"/>
    <w:rsid w:val="00DD21A1"/>
    <w:rsid w:val="00DD279E"/>
    <w:rsid w:val="00DD50A9"/>
    <w:rsid w:val="00DD563B"/>
    <w:rsid w:val="00DD596F"/>
    <w:rsid w:val="00DD60DC"/>
    <w:rsid w:val="00DD68FB"/>
    <w:rsid w:val="00DD6988"/>
    <w:rsid w:val="00DD6B7D"/>
    <w:rsid w:val="00DD6E14"/>
    <w:rsid w:val="00DD6F56"/>
    <w:rsid w:val="00DE143D"/>
    <w:rsid w:val="00DE15AC"/>
    <w:rsid w:val="00DE1A6A"/>
    <w:rsid w:val="00DE2022"/>
    <w:rsid w:val="00DE2C10"/>
    <w:rsid w:val="00DE36D7"/>
    <w:rsid w:val="00DE38DB"/>
    <w:rsid w:val="00DE597F"/>
    <w:rsid w:val="00DE78AA"/>
    <w:rsid w:val="00DE7B61"/>
    <w:rsid w:val="00DF0579"/>
    <w:rsid w:val="00DF0913"/>
    <w:rsid w:val="00DF2015"/>
    <w:rsid w:val="00DF45A1"/>
    <w:rsid w:val="00DF4BF7"/>
    <w:rsid w:val="00DF60C6"/>
    <w:rsid w:val="00DF662F"/>
    <w:rsid w:val="00DF66B1"/>
    <w:rsid w:val="00DF6E0E"/>
    <w:rsid w:val="00DF7AED"/>
    <w:rsid w:val="00E01483"/>
    <w:rsid w:val="00E014BD"/>
    <w:rsid w:val="00E015B4"/>
    <w:rsid w:val="00E028BA"/>
    <w:rsid w:val="00E03666"/>
    <w:rsid w:val="00E0551F"/>
    <w:rsid w:val="00E061EC"/>
    <w:rsid w:val="00E066DD"/>
    <w:rsid w:val="00E0696B"/>
    <w:rsid w:val="00E10E81"/>
    <w:rsid w:val="00E11FEF"/>
    <w:rsid w:val="00E1267E"/>
    <w:rsid w:val="00E13337"/>
    <w:rsid w:val="00E137A6"/>
    <w:rsid w:val="00E13E51"/>
    <w:rsid w:val="00E1594A"/>
    <w:rsid w:val="00E15F86"/>
    <w:rsid w:val="00E16325"/>
    <w:rsid w:val="00E16496"/>
    <w:rsid w:val="00E1677E"/>
    <w:rsid w:val="00E16C08"/>
    <w:rsid w:val="00E20168"/>
    <w:rsid w:val="00E2087D"/>
    <w:rsid w:val="00E208FA"/>
    <w:rsid w:val="00E21004"/>
    <w:rsid w:val="00E21F56"/>
    <w:rsid w:val="00E22DB4"/>
    <w:rsid w:val="00E22E8A"/>
    <w:rsid w:val="00E23469"/>
    <w:rsid w:val="00E257B2"/>
    <w:rsid w:val="00E25F85"/>
    <w:rsid w:val="00E27BBB"/>
    <w:rsid w:val="00E3014F"/>
    <w:rsid w:val="00E30781"/>
    <w:rsid w:val="00E30FA8"/>
    <w:rsid w:val="00E31BBC"/>
    <w:rsid w:val="00E32CA0"/>
    <w:rsid w:val="00E347EB"/>
    <w:rsid w:val="00E3484D"/>
    <w:rsid w:val="00E366AF"/>
    <w:rsid w:val="00E369DA"/>
    <w:rsid w:val="00E40142"/>
    <w:rsid w:val="00E416F3"/>
    <w:rsid w:val="00E422B0"/>
    <w:rsid w:val="00E4286E"/>
    <w:rsid w:val="00E42FAE"/>
    <w:rsid w:val="00E434A1"/>
    <w:rsid w:val="00E434B7"/>
    <w:rsid w:val="00E43EAD"/>
    <w:rsid w:val="00E43F5F"/>
    <w:rsid w:val="00E44786"/>
    <w:rsid w:val="00E46B1B"/>
    <w:rsid w:val="00E46BD5"/>
    <w:rsid w:val="00E46CB9"/>
    <w:rsid w:val="00E472FD"/>
    <w:rsid w:val="00E4732D"/>
    <w:rsid w:val="00E504AD"/>
    <w:rsid w:val="00E507BE"/>
    <w:rsid w:val="00E50C4D"/>
    <w:rsid w:val="00E51351"/>
    <w:rsid w:val="00E51926"/>
    <w:rsid w:val="00E51947"/>
    <w:rsid w:val="00E51ED1"/>
    <w:rsid w:val="00E5280D"/>
    <w:rsid w:val="00E52E7D"/>
    <w:rsid w:val="00E54B27"/>
    <w:rsid w:val="00E54DE4"/>
    <w:rsid w:val="00E557EE"/>
    <w:rsid w:val="00E55A94"/>
    <w:rsid w:val="00E55FC4"/>
    <w:rsid w:val="00E57052"/>
    <w:rsid w:val="00E57455"/>
    <w:rsid w:val="00E57E54"/>
    <w:rsid w:val="00E60149"/>
    <w:rsid w:val="00E61004"/>
    <w:rsid w:val="00E6159E"/>
    <w:rsid w:val="00E617A6"/>
    <w:rsid w:val="00E61A73"/>
    <w:rsid w:val="00E62822"/>
    <w:rsid w:val="00E62DCB"/>
    <w:rsid w:val="00E6339B"/>
    <w:rsid w:val="00E64B62"/>
    <w:rsid w:val="00E651DD"/>
    <w:rsid w:val="00E66558"/>
    <w:rsid w:val="00E66C51"/>
    <w:rsid w:val="00E672BB"/>
    <w:rsid w:val="00E672DD"/>
    <w:rsid w:val="00E674EE"/>
    <w:rsid w:val="00E6767F"/>
    <w:rsid w:val="00E67ADA"/>
    <w:rsid w:val="00E70C7E"/>
    <w:rsid w:val="00E70D81"/>
    <w:rsid w:val="00E71207"/>
    <w:rsid w:val="00E72537"/>
    <w:rsid w:val="00E726A6"/>
    <w:rsid w:val="00E72D02"/>
    <w:rsid w:val="00E73418"/>
    <w:rsid w:val="00E740BC"/>
    <w:rsid w:val="00E74198"/>
    <w:rsid w:val="00E74A16"/>
    <w:rsid w:val="00E75DE7"/>
    <w:rsid w:val="00E760C4"/>
    <w:rsid w:val="00E77773"/>
    <w:rsid w:val="00E802F4"/>
    <w:rsid w:val="00E808AD"/>
    <w:rsid w:val="00E8109E"/>
    <w:rsid w:val="00E818BF"/>
    <w:rsid w:val="00E82291"/>
    <w:rsid w:val="00E831CE"/>
    <w:rsid w:val="00E84327"/>
    <w:rsid w:val="00E84E11"/>
    <w:rsid w:val="00E85360"/>
    <w:rsid w:val="00E85C23"/>
    <w:rsid w:val="00E86F05"/>
    <w:rsid w:val="00E872D2"/>
    <w:rsid w:val="00E9095A"/>
    <w:rsid w:val="00E92470"/>
    <w:rsid w:val="00E92816"/>
    <w:rsid w:val="00E9338F"/>
    <w:rsid w:val="00E93B2E"/>
    <w:rsid w:val="00E93C84"/>
    <w:rsid w:val="00E945DA"/>
    <w:rsid w:val="00E951FC"/>
    <w:rsid w:val="00E953A3"/>
    <w:rsid w:val="00E95405"/>
    <w:rsid w:val="00E95FE9"/>
    <w:rsid w:val="00E9654D"/>
    <w:rsid w:val="00E9744C"/>
    <w:rsid w:val="00E9755C"/>
    <w:rsid w:val="00E97663"/>
    <w:rsid w:val="00EA128E"/>
    <w:rsid w:val="00EA1CB7"/>
    <w:rsid w:val="00EA21BF"/>
    <w:rsid w:val="00EA3A2A"/>
    <w:rsid w:val="00EA3A59"/>
    <w:rsid w:val="00EA4010"/>
    <w:rsid w:val="00EA4CDA"/>
    <w:rsid w:val="00EA5B01"/>
    <w:rsid w:val="00EA6B46"/>
    <w:rsid w:val="00EA6DF6"/>
    <w:rsid w:val="00EB05B2"/>
    <w:rsid w:val="00EB072B"/>
    <w:rsid w:val="00EB2F2D"/>
    <w:rsid w:val="00EB4556"/>
    <w:rsid w:val="00EB4A11"/>
    <w:rsid w:val="00EB5D69"/>
    <w:rsid w:val="00EB64C8"/>
    <w:rsid w:val="00EB6C8F"/>
    <w:rsid w:val="00EB70CC"/>
    <w:rsid w:val="00EC0A0C"/>
    <w:rsid w:val="00EC2071"/>
    <w:rsid w:val="00EC24F7"/>
    <w:rsid w:val="00EC2505"/>
    <w:rsid w:val="00EC3EF0"/>
    <w:rsid w:val="00EC5664"/>
    <w:rsid w:val="00EC5A66"/>
    <w:rsid w:val="00ED2883"/>
    <w:rsid w:val="00ED4136"/>
    <w:rsid w:val="00ED5108"/>
    <w:rsid w:val="00ED526C"/>
    <w:rsid w:val="00ED5556"/>
    <w:rsid w:val="00ED6AE8"/>
    <w:rsid w:val="00ED6DED"/>
    <w:rsid w:val="00EE0A74"/>
    <w:rsid w:val="00EE23CF"/>
    <w:rsid w:val="00EE291B"/>
    <w:rsid w:val="00EE2CB2"/>
    <w:rsid w:val="00EE5679"/>
    <w:rsid w:val="00EE6FB3"/>
    <w:rsid w:val="00EE7192"/>
    <w:rsid w:val="00EF2731"/>
    <w:rsid w:val="00EF485B"/>
    <w:rsid w:val="00EF5A6B"/>
    <w:rsid w:val="00EF5B2C"/>
    <w:rsid w:val="00EF5E22"/>
    <w:rsid w:val="00EF6D47"/>
    <w:rsid w:val="00EF7288"/>
    <w:rsid w:val="00F00615"/>
    <w:rsid w:val="00F012CA"/>
    <w:rsid w:val="00F01752"/>
    <w:rsid w:val="00F017D2"/>
    <w:rsid w:val="00F02EB5"/>
    <w:rsid w:val="00F0355A"/>
    <w:rsid w:val="00F04A86"/>
    <w:rsid w:val="00F05C44"/>
    <w:rsid w:val="00F05F17"/>
    <w:rsid w:val="00F067D7"/>
    <w:rsid w:val="00F077BB"/>
    <w:rsid w:val="00F11D7A"/>
    <w:rsid w:val="00F121F8"/>
    <w:rsid w:val="00F12810"/>
    <w:rsid w:val="00F12FFA"/>
    <w:rsid w:val="00F13045"/>
    <w:rsid w:val="00F133BE"/>
    <w:rsid w:val="00F1414E"/>
    <w:rsid w:val="00F14A33"/>
    <w:rsid w:val="00F15753"/>
    <w:rsid w:val="00F15F13"/>
    <w:rsid w:val="00F166EB"/>
    <w:rsid w:val="00F1793D"/>
    <w:rsid w:val="00F17967"/>
    <w:rsid w:val="00F21F92"/>
    <w:rsid w:val="00F22049"/>
    <w:rsid w:val="00F224D1"/>
    <w:rsid w:val="00F22EEB"/>
    <w:rsid w:val="00F233E1"/>
    <w:rsid w:val="00F23ACD"/>
    <w:rsid w:val="00F24A7E"/>
    <w:rsid w:val="00F256DE"/>
    <w:rsid w:val="00F26029"/>
    <w:rsid w:val="00F2708C"/>
    <w:rsid w:val="00F270C3"/>
    <w:rsid w:val="00F271D6"/>
    <w:rsid w:val="00F306BE"/>
    <w:rsid w:val="00F32963"/>
    <w:rsid w:val="00F32ABA"/>
    <w:rsid w:val="00F337C1"/>
    <w:rsid w:val="00F3383A"/>
    <w:rsid w:val="00F33DC0"/>
    <w:rsid w:val="00F33F28"/>
    <w:rsid w:val="00F3474A"/>
    <w:rsid w:val="00F34F16"/>
    <w:rsid w:val="00F35A40"/>
    <w:rsid w:val="00F35FDE"/>
    <w:rsid w:val="00F36FCE"/>
    <w:rsid w:val="00F37B85"/>
    <w:rsid w:val="00F405F2"/>
    <w:rsid w:val="00F4088E"/>
    <w:rsid w:val="00F40DE1"/>
    <w:rsid w:val="00F4142A"/>
    <w:rsid w:val="00F41EDB"/>
    <w:rsid w:val="00F425E2"/>
    <w:rsid w:val="00F42C71"/>
    <w:rsid w:val="00F43130"/>
    <w:rsid w:val="00F43C39"/>
    <w:rsid w:val="00F4745E"/>
    <w:rsid w:val="00F5067D"/>
    <w:rsid w:val="00F50685"/>
    <w:rsid w:val="00F507DF"/>
    <w:rsid w:val="00F51082"/>
    <w:rsid w:val="00F519F6"/>
    <w:rsid w:val="00F54352"/>
    <w:rsid w:val="00F54FCB"/>
    <w:rsid w:val="00F55173"/>
    <w:rsid w:val="00F55BB8"/>
    <w:rsid w:val="00F56328"/>
    <w:rsid w:val="00F574D8"/>
    <w:rsid w:val="00F61613"/>
    <w:rsid w:val="00F61C2A"/>
    <w:rsid w:val="00F61FB2"/>
    <w:rsid w:val="00F62255"/>
    <w:rsid w:val="00F62587"/>
    <w:rsid w:val="00F631A6"/>
    <w:rsid w:val="00F632A6"/>
    <w:rsid w:val="00F63E9E"/>
    <w:rsid w:val="00F63FEA"/>
    <w:rsid w:val="00F65F7D"/>
    <w:rsid w:val="00F661E3"/>
    <w:rsid w:val="00F66828"/>
    <w:rsid w:val="00F66AA7"/>
    <w:rsid w:val="00F67241"/>
    <w:rsid w:val="00F71C62"/>
    <w:rsid w:val="00F739EA"/>
    <w:rsid w:val="00F73BDC"/>
    <w:rsid w:val="00F74021"/>
    <w:rsid w:val="00F75004"/>
    <w:rsid w:val="00F75603"/>
    <w:rsid w:val="00F76843"/>
    <w:rsid w:val="00F76B9E"/>
    <w:rsid w:val="00F776E1"/>
    <w:rsid w:val="00F77E8D"/>
    <w:rsid w:val="00F81AEE"/>
    <w:rsid w:val="00F83074"/>
    <w:rsid w:val="00F8332D"/>
    <w:rsid w:val="00F84AFF"/>
    <w:rsid w:val="00F853DC"/>
    <w:rsid w:val="00F855C9"/>
    <w:rsid w:val="00F85C62"/>
    <w:rsid w:val="00F85E77"/>
    <w:rsid w:val="00F87653"/>
    <w:rsid w:val="00F91908"/>
    <w:rsid w:val="00F92149"/>
    <w:rsid w:val="00F925EB"/>
    <w:rsid w:val="00F92FBC"/>
    <w:rsid w:val="00F93B60"/>
    <w:rsid w:val="00F93F1F"/>
    <w:rsid w:val="00F94E94"/>
    <w:rsid w:val="00F95EED"/>
    <w:rsid w:val="00F97033"/>
    <w:rsid w:val="00F971E9"/>
    <w:rsid w:val="00F97888"/>
    <w:rsid w:val="00FA07B9"/>
    <w:rsid w:val="00FA0B82"/>
    <w:rsid w:val="00FA1087"/>
    <w:rsid w:val="00FA1197"/>
    <w:rsid w:val="00FA358C"/>
    <w:rsid w:val="00FA374B"/>
    <w:rsid w:val="00FA47CD"/>
    <w:rsid w:val="00FA5B15"/>
    <w:rsid w:val="00FA6DD0"/>
    <w:rsid w:val="00FB118D"/>
    <w:rsid w:val="00FB5C96"/>
    <w:rsid w:val="00FB64A4"/>
    <w:rsid w:val="00FC0871"/>
    <w:rsid w:val="00FC0E74"/>
    <w:rsid w:val="00FC28DF"/>
    <w:rsid w:val="00FC335A"/>
    <w:rsid w:val="00FD049A"/>
    <w:rsid w:val="00FD1780"/>
    <w:rsid w:val="00FD1FD5"/>
    <w:rsid w:val="00FD2297"/>
    <w:rsid w:val="00FD2B66"/>
    <w:rsid w:val="00FD364C"/>
    <w:rsid w:val="00FD36C3"/>
    <w:rsid w:val="00FD4007"/>
    <w:rsid w:val="00FD406D"/>
    <w:rsid w:val="00FD5532"/>
    <w:rsid w:val="00FD5922"/>
    <w:rsid w:val="00FD628E"/>
    <w:rsid w:val="00FD6AC6"/>
    <w:rsid w:val="00FD7547"/>
    <w:rsid w:val="00FD79A6"/>
    <w:rsid w:val="00FE0C4D"/>
    <w:rsid w:val="00FE2D45"/>
    <w:rsid w:val="00FE3136"/>
    <w:rsid w:val="00FE50A3"/>
    <w:rsid w:val="00FE5204"/>
    <w:rsid w:val="00FE53D4"/>
    <w:rsid w:val="00FE54FA"/>
    <w:rsid w:val="00FE604C"/>
    <w:rsid w:val="00FF1674"/>
    <w:rsid w:val="00FF1B7C"/>
    <w:rsid w:val="00FF2000"/>
    <w:rsid w:val="00FF2357"/>
    <w:rsid w:val="00FF24C6"/>
    <w:rsid w:val="00FF369D"/>
    <w:rsid w:val="00FF3A4D"/>
    <w:rsid w:val="00FF5E3E"/>
    <w:rsid w:val="00FF69D1"/>
    <w:rsid w:val="00FF6CA3"/>
    <w:rsid w:val="00FF6E16"/>
    <w:rsid w:val="00FF6FB0"/>
    <w:rsid w:val="00FF79A8"/>
    <w:rsid w:val="0199D0BC"/>
    <w:rsid w:val="01D8A1F2"/>
    <w:rsid w:val="01F93220"/>
    <w:rsid w:val="02100A8B"/>
    <w:rsid w:val="024759AC"/>
    <w:rsid w:val="02922443"/>
    <w:rsid w:val="02A9558E"/>
    <w:rsid w:val="02BF69E3"/>
    <w:rsid w:val="02D1A246"/>
    <w:rsid w:val="02D42557"/>
    <w:rsid w:val="02D72A13"/>
    <w:rsid w:val="02F6767A"/>
    <w:rsid w:val="02F72A8B"/>
    <w:rsid w:val="03294962"/>
    <w:rsid w:val="03615990"/>
    <w:rsid w:val="03C294B5"/>
    <w:rsid w:val="03F51067"/>
    <w:rsid w:val="03FE0D71"/>
    <w:rsid w:val="04378EDA"/>
    <w:rsid w:val="04493004"/>
    <w:rsid w:val="0465C265"/>
    <w:rsid w:val="048FDB66"/>
    <w:rsid w:val="0493FD75"/>
    <w:rsid w:val="04C7EE69"/>
    <w:rsid w:val="04CF61A0"/>
    <w:rsid w:val="04EE5D1E"/>
    <w:rsid w:val="04F03021"/>
    <w:rsid w:val="04FC29C8"/>
    <w:rsid w:val="05037D75"/>
    <w:rsid w:val="051F3F7B"/>
    <w:rsid w:val="0546A2D6"/>
    <w:rsid w:val="05582C27"/>
    <w:rsid w:val="05839F58"/>
    <w:rsid w:val="05850100"/>
    <w:rsid w:val="05A68B63"/>
    <w:rsid w:val="05A989FA"/>
    <w:rsid w:val="05B6D577"/>
    <w:rsid w:val="05BAC379"/>
    <w:rsid w:val="05C2A2E9"/>
    <w:rsid w:val="05FA5DC8"/>
    <w:rsid w:val="0613ADCD"/>
    <w:rsid w:val="0630E98B"/>
    <w:rsid w:val="063FFC8A"/>
    <w:rsid w:val="069AA0E3"/>
    <w:rsid w:val="069F0F23"/>
    <w:rsid w:val="06A1F455"/>
    <w:rsid w:val="06A60CE0"/>
    <w:rsid w:val="06BC66DC"/>
    <w:rsid w:val="06C7F7C5"/>
    <w:rsid w:val="06DF4F39"/>
    <w:rsid w:val="06E77BD3"/>
    <w:rsid w:val="0723BE1A"/>
    <w:rsid w:val="078E7190"/>
    <w:rsid w:val="07A48BA6"/>
    <w:rsid w:val="07B534E4"/>
    <w:rsid w:val="07D092C4"/>
    <w:rsid w:val="07F5B036"/>
    <w:rsid w:val="07FB7EA2"/>
    <w:rsid w:val="07FD8686"/>
    <w:rsid w:val="07FFD3D3"/>
    <w:rsid w:val="08276463"/>
    <w:rsid w:val="0827F6E3"/>
    <w:rsid w:val="08289106"/>
    <w:rsid w:val="0869D73F"/>
    <w:rsid w:val="08A74DD5"/>
    <w:rsid w:val="08AFFD57"/>
    <w:rsid w:val="08DB4B13"/>
    <w:rsid w:val="08E741BA"/>
    <w:rsid w:val="08E981D2"/>
    <w:rsid w:val="09721A8D"/>
    <w:rsid w:val="098E5876"/>
    <w:rsid w:val="09B759CA"/>
    <w:rsid w:val="09D6CF45"/>
    <w:rsid w:val="09E08355"/>
    <w:rsid w:val="09E89A58"/>
    <w:rsid w:val="0A1E0E4B"/>
    <w:rsid w:val="0A225759"/>
    <w:rsid w:val="0A3D964A"/>
    <w:rsid w:val="0A7D4EF7"/>
    <w:rsid w:val="0ABDFF28"/>
    <w:rsid w:val="0AE29A75"/>
    <w:rsid w:val="0AE491BE"/>
    <w:rsid w:val="0B240EAF"/>
    <w:rsid w:val="0B3A4A6D"/>
    <w:rsid w:val="0B455B1F"/>
    <w:rsid w:val="0B56C6AC"/>
    <w:rsid w:val="0B857A7A"/>
    <w:rsid w:val="0BE215F0"/>
    <w:rsid w:val="0BF08FBE"/>
    <w:rsid w:val="0C158437"/>
    <w:rsid w:val="0C2322D2"/>
    <w:rsid w:val="0C8D119A"/>
    <w:rsid w:val="0CB423FD"/>
    <w:rsid w:val="0CC4634C"/>
    <w:rsid w:val="0CE711D6"/>
    <w:rsid w:val="0D223B52"/>
    <w:rsid w:val="0D4B150A"/>
    <w:rsid w:val="0D975B7B"/>
    <w:rsid w:val="0D9926BA"/>
    <w:rsid w:val="0DB42644"/>
    <w:rsid w:val="0E01F839"/>
    <w:rsid w:val="0E0CB19D"/>
    <w:rsid w:val="0E36B9E7"/>
    <w:rsid w:val="0EAE8FC4"/>
    <w:rsid w:val="0EE1EA34"/>
    <w:rsid w:val="0F1CC433"/>
    <w:rsid w:val="0F21260A"/>
    <w:rsid w:val="0F504B1F"/>
    <w:rsid w:val="0F82FEA0"/>
    <w:rsid w:val="0F9CAA18"/>
    <w:rsid w:val="0FC0347F"/>
    <w:rsid w:val="0FE2F397"/>
    <w:rsid w:val="0FF6E295"/>
    <w:rsid w:val="10032B21"/>
    <w:rsid w:val="1015264E"/>
    <w:rsid w:val="102CDEAF"/>
    <w:rsid w:val="1042DE24"/>
    <w:rsid w:val="10739BC2"/>
    <w:rsid w:val="1077699E"/>
    <w:rsid w:val="107D48A3"/>
    <w:rsid w:val="1088DCF1"/>
    <w:rsid w:val="109BBAAD"/>
    <w:rsid w:val="10B708A1"/>
    <w:rsid w:val="10B7E14C"/>
    <w:rsid w:val="10BC8818"/>
    <w:rsid w:val="10C149E5"/>
    <w:rsid w:val="10D7A6C4"/>
    <w:rsid w:val="10F7BC75"/>
    <w:rsid w:val="11591F84"/>
    <w:rsid w:val="116AFD4C"/>
    <w:rsid w:val="118D63B0"/>
    <w:rsid w:val="11A14A6F"/>
    <w:rsid w:val="11B7445D"/>
    <w:rsid w:val="11CA248E"/>
    <w:rsid w:val="11D29A36"/>
    <w:rsid w:val="11D2E5C6"/>
    <w:rsid w:val="11DD2176"/>
    <w:rsid w:val="11E76105"/>
    <w:rsid w:val="1239084B"/>
    <w:rsid w:val="123A3EC1"/>
    <w:rsid w:val="12FB5ED2"/>
    <w:rsid w:val="13076D12"/>
    <w:rsid w:val="13173609"/>
    <w:rsid w:val="132AB016"/>
    <w:rsid w:val="136C2AE7"/>
    <w:rsid w:val="138ACCDF"/>
    <w:rsid w:val="13B1C09F"/>
    <w:rsid w:val="13C81C52"/>
    <w:rsid w:val="14288AA7"/>
    <w:rsid w:val="14A2D565"/>
    <w:rsid w:val="14B638FA"/>
    <w:rsid w:val="14C9C2F9"/>
    <w:rsid w:val="14D7AC7E"/>
    <w:rsid w:val="14E188D8"/>
    <w:rsid w:val="154BE22D"/>
    <w:rsid w:val="15511BA4"/>
    <w:rsid w:val="15D77C6E"/>
    <w:rsid w:val="15DA9BDB"/>
    <w:rsid w:val="16763093"/>
    <w:rsid w:val="16767328"/>
    <w:rsid w:val="16865831"/>
    <w:rsid w:val="169DBB24"/>
    <w:rsid w:val="16DC29C9"/>
    <w:rsid w:val="16F87D86"/>
    <w:rsid w:val="17073104"/>
    <w:rsid w:val="171D445E"/>
    <w:rsid w:val="1726256B"/>
    <w:rsid w:val="1761CEB0"/>
    <w:rsid w:val="17A3A7AF"/>
    <w:rsid w:val="17A45394"/>
    <w:rsid w:val="17BAF9F6"/>
    <w:rsid w:val="181657FB"/>
    <w:rsid w:val="1824F667"/>
    <w:rsid w:val="184C767B"/>
    <w:rsid w:val="18503935"/>
    <w:rsid w:val="185062EF"/>
    <w:rsid w:val="187D03C5"/>
    <w:rsid w:val="187F6850"/>
    <w:rsid w:val="1885D5E6"/>
    <w:rsid w:val="18B45A67"/>
    <w:rsid w:val="18ECAF7E"/>
    <w:rsid w:val="192AF826"/>
    <w:rsid w:val="19754FF1"/>
    <w:rsid w:val="1987ABDB"/>
    <w:rsid w:val="19B2291E"/>
    <w:rsid w:val="19B9B99F"/>
    <w:rsid w:val="19DE7C63"/>
    <w:rsid w:val="19E5F932"/>
    <w:rsid w:val="19FA41A7"/>
    <w:rsid w:val="1A05E2C2"/>
    <w:rsid w:val="1A0824C6"/>
    <w:rsid w:val="1A172959"/>
    <w:rsid w:val="1A1B8C1B"/>
    <w:rsid w:val="1A2532FB"/>
    <w:rsid w:val="1A2E4675"/>
    <w:rsid w:val="1A4961AD"/>
    <w:rsid w:val="1A5433E1"/>
    <w:rsid w:val="1A59680D"/>
    <w:rsid w:val="1A71D5E5"/>
    <w:rsid w:val="1A88B14A"/>
    <w:rsid w:val="1A9FC993"/>
    <w:rsid w:val="1ADD1B94"/>
    <w:rsid w:val="1AF46A4E"/>
    <w:rsid w:val="1B1CEDBE"/>
    <w:rsid w:val="1B3778DE"/>
    <w:rsid w:val="1B3F6262"/>
    <w:rsid w:val="1B514EBB"/>
    <w:rsid w:val="1B62714A"/>
    <w:rsid w:val="1B7691DA"/>
    <w:rsid w:val="1B9D4BEA"/>
    <w:rsid w:val="1BA5C544"/>
    <w:rsid w:val="1BD57909"/>
    <w:rsid w:val="1BE8C7F5"/>
    <w:rsid w:val="1C043462"/>
    <w:rsid w:val="1C1A0893"/>
    <w:rsid w:val="1C2619A9"/>
    <w:rsid w:val="1C5273F5"/>
    <w:rsid w:val="1C9D47F4"/>
    <w:rsid w:val="1CBF4D92"/>
    <w:rsid w:val="1CC2A271"/>
    <w:rsid w:val="1CC8E1B8"/>
    <w:rsid w:val="1CF55050"/>
    <w:rsid w:val="1D067ECF"/>
    <w:rsid w:val="1D321DD8"/>
    <w:rsid w:val="1D8D429A"/>
    <w:rsid w:val="1D96F127"/>
    <w:rsid w:val="1D9B29BA"/>
    <w:rsid w:val="1DC17BB4"/>
    <w:rsid w:val="1E4612C6"/>
    <w:rsid w:val="1E7FF6AB"/>
    <w:rsid w:val="1EA9A29A"/>
    <w:rsid w:val="1F4764C0"/>
    <w:rsid w:val="1F80F0E7"/>
    <w:rsid w:val="1F90432A"/>
    <w:rsid w:val="1F966E0E"/>
    <w:rsid w:val="1FF2404C"/>
    <w:rsid w:val="2020652D"/>
    <w:rsid w:val="2027260E"/>
    <w:rsid w:val="202D4B35"/>
    <w:rsid w:val="202F1623"/>
    <w:rsid w:val="20511715"/>
    <w:rsid w:val="20D2668D"/>
    <w:rsid w:val="20F6937B"/>
    <w:rsid w:val="20FABBBC"/>
    <w:rsid w:val="2149E6F1"/>
    <w:rsid w:val="21819AD3"/>
    <w:rsid w:val="21A85DD9"/>
    <w:rsid w:val="21C79754"/>
    <w:rsid w:val="21C975B9"/>
    <w:rsid w:val="21F81072"/>
    <w:rsid w:val="21F8722A"/>
    <w:rsid w:val="21FDD786"/>
    <w:rsid w:val="221641C6"/>
    <w:rsid w:val="2281F35F"/>
    <w:rsid w:val="22EAAF6B"/>
    <w:rsid w:val="22F212A1"/>
    <w:rsid w:val="2309A7B9"/>
    <w:rsid w:val="23186631"/>
    <w:rsid w:val="231FC88B"/>
    <w:rsid w:val="233A1BCF"/>
    <w:rsid w:val="233D9817"/>
    <w:rsid w:val="235EC87A"/>
    <w:rsid w:val="23894ED4"/>
    <w:rsid w:val="23AA6761"/>
    <w:rsid w:val="23DAF6C0"/>
    <w:rsid w:val="2415796D"/>
    <w:rsid w:val="242C9232"/>
    <w:rsid w:val="24491B98"/>
    <w:rsid w:val="2454A1E7"/>
    <w:rsid w:val="245D0940"/>
    <w:rsid w:val="2491DD65"/>
    <w:rsid w:val="24955607"/>
    <w:rsid w:val="2497129E"/>
    <w:rsid w:val="24B7AFF5"/>
    <w:rsid w:val="2512B822"/>
    <w:rsid w:val="25341BB8"/>
    <w:rsid w:val="2596EE65"/>
    <w:rsid w:val="25BC66C4"/>
    <w:rsid w:val="25D12D50"/>
    <w:rsid w:val="25FD47EA"/>
    <w:rsid w:val="261320C3"/>
    <w:rsid w:val="261834EB"/>
    <w:rsid w:val="2626676B"/>
    <w:rsid w:val="263498CA"/>
    <w:rsid w:val="2653DCC0"/>
    <w:rsid w:val="2697B6AB"/>
    <w:rsid w:val="269E82D6"/>
    <w:rsid w:val="26A3969F"/>
    <w:rsid w:val="26AB1540"/>
    <w:rsid w:val="26D57F03"/>
    <w:rsid w:val="26F3C082"/>
    <w:rsid w:val="270B74E3"/>
    <w:rsid w:val="2715AF55"/>
    <w:rsid w:val="271CA81F"/>
    <w:rsid w:val="2729F710"/>
    <w:rsid w:val="2741853A"/>
    <w:rsid w:val="27813355"/>
    <w:rsid w:val="27D30B38"/>
    <w:rsid w:val="284E5FF7"/>
    <w:rsid w:val="2850FAB0"/>
    <w:rsid w:val="2856ED94"/>
    <w:rsid w:val="2860AB8E"/>
    <w:rsid w:val="288469F7"/>
    <w:rsid w:val="28CDA86C"/>
    <w:rsid w:val="291B62BE"/>
    <w:rsid w:val="29238E54"/>
    <w:rsid w:val="2942CA52"/>
    <w:rsid w:val="295AD183"/>
    <w:rsid w:val="299DB569"/>
    <w:rsid w:val="29AC317F"/>
    <w:rsid w:val="29CC1B57"/>
    <w:rsid w:val="2A070BB9"/>
    <w:rsid w:val="2A1BD235"/>
    <w:rsid w:val="2A25FD5E"/>
    <w:rsid w:val="2A2B6E4A"/>
    <w:rsid w:val="2A470B8C"/>
    <w:rsid w:val="2A6F15BE"/>
    <w:rsid w:val="2A7F63B5"/>
    <w:rsid w:val="2A806E46"/>
    <w:rsid w:val="2AAD2480"/>
    <w:rsid w:val="2B4D3356"/>
    <w:rsid w:val="2B74B98E"/>
    <w:rsid w:val="2B86FB20"/>
    <w:rsid w:val="2B9CCE69"/>
    <w:rsid w:val="2BD442B6"/>
    <w:rsid w:val="2BDF844E"/>
    <w:rsid w:val="2C1ABD50"/>
    <w:rsid w:val="2C1CD299"/>
    <w:rsid w:val="2C254CFC"/>
    <w:rsid w:val="2C996995"/>
    <w:rsid w:val="2CBCB3CD"/>
    <w:rsid w:val="2CC06ACD"/>
    <w:rsid w:val="2CC983F5"/>
    <w:rsid w:val="2CD1262F"/>
    <w:rsid w:val="2CF16A06"/>
    <w:rsid w:val="2D21D7FF"/>
    <w:rsid w:val="2D39A59C"/>
    <w:rsid w:val="2D5F3F96"/>
    <w:rsid w:val="2D636E9C"/>
    <w:rsid w:val="2D79E64C"/>
    <w:rsid w:val="2DB38764"/>
    <w:rsid w:val="2DC03DD1"/>
    <w:rsid w:val="2DF7009E"/>
    <w:rsid w:val="2E4C229A"/>
    <w:rsid w:val="2E534600"/>
    <w:rsid w:val="2E599566"/>
    <w:rsid w:val="2EA94665"/>
    <w:rsid w:val="2EE57B27"/>
    <w:rsid w:val="2F1D5001"/>
    <w:rsid w:val="2F5E0DD3"/>
    <w:rsid w:val="2F85BA05"/>
    <w:rsid w:val="2F90E539"/>
    <w:rsid w:val="2FAECF0E"/>
    <w:rsid w:val="2FBCC125"/>
    <w:rsid w:val="2FF7C816"/>
    <w:rsid w:val="2FFA381B"/>
    <w:rsid w:val="2FFB967E"/>
    <w:rsid w:val="30243AA0"/>
    <w:rsid w:val="303461A7"/>
    <w:rsid w:val="306B58EC"/>
    <w:rsid w:val="30DB2D74"/>
    <w:rsid w:val="30E4A84A"/>
    <w:rsid w:val="30EA18B3"/>
    <w:rsid w:val="30ECD6AC"/>
    <w:rsid w:val="31744A88"/>
    <w:rsid w:val="318B7D6D"/>
    <w:rsid w:val="31AF73A6"/>
    <w:rsid w:val="31C0DA05"/>
    <w:rsid w:val="31CC4DD9"/>
    <w:rsid w:val="31D91356"/>
    <w:rsid w:val="3202451D"/>
    <w:rsid w:val="322A8AB2"/>
    <w:rsid w:val="323332C8"/>
    <w:rsid w:val="3233E138"/>
    <w:rsid w:val="32469181"/>
    <w:rsid w:val="3271565C"/>
    <w:rsid w:val="32D10D7B"/>
    <w:rsid w:val="32D5AE21"/>
    <w:rsid w:val="32E57FAE"/>
    <w:rsid w:val="3317C13D"/>
    <w:rsid w:val="3360297F"/>
    <w:rsid w:val="3383E9A9"/>
    <w:rsid w:val="33D1A123"/>
    <w:rsid w:val="33DDD583"/>
    <w:rsid w:val="341220EA"/>
    <w:rsid w:val="34122CF1"/>
    <w:rsid w:val="3469935E"/>
    <w:rsid w:val="34BDD785"/>
    <w:rsid w:val="34FD5021"/>
    <w:rsid w:val="3526D4FD"/>
    <w:rsid w:val="35358505"/>
    <w:rsid w:val="35443346"/>
    <w:rsid w:val="354AFB72"/>
    <w:rsid w:val="3593C047"/>
    <w:rsid w:val="359614D9"/>
    <w:rsid w:val="359DD36E"/>
    <w:rsid w:val="35B1A35F"/>
    <w:rsid w:val="35DCEC00"/>
    <w:rsid w:val="35EE3BFA"/>
    <w:rsid w:val="36094B70"/>
    <w:rsid w:val="367AD2A2"/>
    <w:rsid w:val="368CFF9F"/>
    <w:rsid w:val="36D581F3"/>
    <w:rsid w:val="36EB19F8"/>
    <w:rsid w:val="36F7AF77"/>
    <w:rsid w:val="371D7160"/>
    <w:rsid w:val="374E77AC"/>
    <w:rsid w:val="3755C658"/>
    <w:rsid w:val="375CB9BC"/>
    <w:rsid w:val="3789CEBD"/>
    <w:rsid w:val="3801D01D"/>
    <w:rsid w:val="380BAE89"/>
    <w:rsid w:val="38CCA340"/>
    <w:rsid w:val="38D9888A"/>
    <w:rsid w:val="38E096E4"/>
    <w:rsid w:val="39552881"/>
    <w:rsid w:val="39D6ECDA"/>
    <w:rsid w:val="3A33AF2C"/>
    <w:rsid w:val="3A395BCA"/>
    <w:rsid w:val="3A3F1ACF"/>
    <w:rsid w:val="3A44BCE0"/>
    <w:rsid w:val="3A6914AB"/>
    <w:rsid w:val="3A8F7016"/>
    <w:rsid w:val="3A9AC26C"/>
    <w:rsid w:val="3A9BD5A5"/>
    <w:rsid w:val="3AA6D995"/>
    <w:rsid w:val="3AA7AABD"/>
    <w:rsid w:val="3AE4EC79"/>
    <w:rsid w:val="3AE65F12"/>
    <w:rsid w:val="3AF7ED92"/>
    <w:rsid w:val="3B47BAD9"/>
    <w:rsid w:val="3B48EE8F"/>
    <w:rsid w:val="3B5462AB"/>
    <w:rsid w:val="3B821B3B"/>
    <w:rsid w:val="3B95705C"/>
    <w:rsid w:val="3B9B3798"/>
    <w:rsid w:val="3BC00624"/>
    <w:rsid w:val="3BC765B3"/>
    <w:rsid w:val="3BE13FA2"/>
    <w:rsid w:val="3BF7F231"/>
    <w:rsid w:val="3C1DAAC9"/>
    <w:rsid w:val="3C3FEBA8"/>
    <w:rsid w:val="3C51A377"/>
    <w:rsid w:val="3C5A6419"/>
    <w:rsid w:val="3C5D48D5"/>
    <w:rsid w:val="3C75C474"/>
    <w:rsid w:val="3C7F15E6"/>
    <w:rsid w:val="3C85E31F"/>
    <w:rsid w:val="3CC284C1"/>
    <w:rsid w:val="3CD2D0C0"/>
    <w:rsid w:val="3CF40484"/>
    <w:rsid w:val="3CF5A3B2"/>
    <w:rsid w:val="3D0B714F"/>
    <w:rsid w:val="3D4E35C2"/>
    <w:rsid w:val="3D58C15D"/>
    <w:rsid w:val="3D695E56"/>
    <w:rsid w:val="3D6D12ED"/>
    <w:rsid w:val="3D81F8C2"/>
    <w:rsid w:val="3D9E403C"/>
    <w:rsid w:val="3DA96F0E"/>
    <w:rsid w:val="3DEBB221"/>
    <w:rsid w:val="3DFDC087"/>
    <w:rsid w:val="3DFFE3DA"/>
    <w:rsid w:val="3E392FA3"/>
    <w:rsid w:val="3E96B52F"/>
    <w:rsid w:val="3E99A846"/>
    <w:rsid w:val="3EA20903"/>
    <w:rsid w:val="3EA4202B"/>
    <w:rsid w:val="3EBB1502"/>
    <w:rsid w:val="3EDF2B57"/>
    <w:rsid w:val="3F4C9186"/>
    <w:rsid w:val="3F5538BD"/>
    <w:rsid w:val="3FCDF873"/>
    <w:rsid w:val="3FEE68E0"/>
    <w:rsid w:val="401212E7"/>
    <w:rsid w:val="405EA411"/>
    <w:rsid w:val="4067A9DC"/>
    <w:rsid w:val="4068DE8E"/>
    <w:rsid w:val="406C5A2D"/>
    <w:rsid w:val="407F390E"/>
    <w:rsid w:val="40EED710"/>
    <w:rsid w:val="4136C030"/>
    <w:rsid w:val="416942B8"/>
    <w:rsid w:val="418407A1"/>
    <w:rsid w:val="418C0DBB"/>
    <w:rsid w:val="419E02E3"/>
    <w:rsid w:val="41D6F55F"/>
    <w:rsid w:val="41D71FD1"/>
    <w:rsid w:val="41E55EB8"/>
    <w:rsid w:val="41EB4FDA"/>
    <w:rsid w:val="41F4C0DF"/>
    <w:rsid w:val="421C5FC0"/>
    <w:rsid w:val="422BBF5F"/>
    <w:rsid w:val="4230B8F4"/>
    <w:rsid w:val="42453D3D"/>
    <w:rsid w:val="424DC4C0"/>
    <w:rsid w:val="427C44AC"/>
    <w:rsid w:val="429EB7E2"/>
    <w:rsid w:val="42BEDB37"/>
    <w:rsid w:val="42ED4E1F"/>
    <w:rsid w:val="431FC830"/>
    <w:rsid w:val="432F0210"/>
    <w:rsid w:val="434788F7"/>
    <w:rsid w:val="434887CA"/>
    <w:rsid w:val="437504B8"/>
    <w:rsid w:val="43CC2D39"/>
    <w:rsid w:val="43E6486A"/>
    <w:rsid w:val="4432E184"/>
    <w:rsid w:val="44778B56"/>
    <w:rsid w:val="44C03609"/>
    <w:rsid w:val="44EBD19A"/>
    <w:rsid w:val="44F5B318"/>
    <w:rsid w:val="4520B466"/>
    <w:rsid w:val="453F6FE7"/>
    <w:rsid w:val="455015AB"/>
    <w:rsid w:val="45589EA5"/>
    <w:rsid w:val="45936345"/>
    <w:rsid w:val="45DB5794"/>
    <w:rsid w:val="4644DBC4"/>
    <w:rsid w:val="465DC3F1"/>
    <w:rsid w:val="469A689D"/>
    <w:rsid w:val="47894EA3"/>
    <w:rsid w:val="47B05BDB"/>
    <w:rsid w:val="48149C52"/>
    <w:rsid w:val="48A0EC97"/>
    <w:rsid w:val="48AB846A"/>
    <w:rsid w:val="48BCBDDF"/>
    <w:rsid w:val="48C32331"/>
    <w:rsid w:val="491E3A64"/>
    <w:rsid w:val="4996105B"/>
    <w:rsid w:val="49A95CA6"/>
    <w:rsid w:val="49B7637F"/>
    <w:rsid w:val="49C06FB5"/>
    <w:rsid w:val="49CBDAA0"/>
    <w:rsid w:val="49ED1AD2"/>
    <w:rsid w:val="4A0EB3CC"/>
    <w:rsid w:val="4A5CE7CF"/>
    <w:rsid w:val="4A9C069C"/>
    <w:rsid w:val="4ADA3E5B"/>
    <w:rsid w:val="4AE7512A"/>
    <w:rsid w:val="4AF85B6E"/>
    <w:rsid w:val="4B3CA41D"/>
    <w:rsid w:val="4B50CF03"/>
    <w:rsid w:val="4BA056E4"/>
    <w:rsid w:val="4BB1E19D"/>
    <w:rsid w:val="4BBE1C85"/>
    <w:rsid w:val="4BF69EA0"/>
    <w:rsid w:val="4C0526F2"/>
    <w:rsid w:val="4C155CD4"/>
    <w:rsid w:val="4C477FF2"/>
    <w:rsid w:val="4C8A5DD1"/>
    <w:rsid w:val="4C9F04D2"/>
    <w:rsid w:val="4CCA3860"/>
    <w:rsid w:val="4CE2AF3D"/>
    <w:rsid w:val="4D302CF4"/>
    <w:rsid w:val="4D368D80"/>
    <w:rsid w:val="4D414395"/>
    <w:rsid w:val="4D45E9CE"/>
    <w:rsid w:val="4D7D2965"/>
    <w:rsid w:val="4DA7AB9D"/>
    <w:rsid w:val="4DAF96A8"/>
    <w:rsid w:val="4DC110E8"/>
    <w:rsid w:val="4E1E0217"/>
    <w:rsid w:val="4E7FB038"/>
    <w:rsid w:val="4E9450C5"/>
    <w:rsid w:val="4EA7B0E4"/>
    <w:rsid w:val="4EA9CADE"/>
    <w:rsid w:val="4ECCD07C"/>
    <w:rsid w:val="4ED559C5"/>
    <w:rsid w:val="4ED64DEF"/>
    <w:rsid w:val="4EE097EA"/>
    <w:rsid w:val="4EF0D506"/>
    <w:rsid w:val="4F0467D1"/>
    <w:rsid w:val="4F1E5671"/>
    <w:rsid w:val="4F252B0D"/>
    <w:rsid w:val="4F483DAA"/>
    <w:rsid w:val="4F65AABD"/>
    <w:rsid w:val="4F9968E9"/>
    <w:rsid w:val="4FD9FCFC"/>
    <w:rsid w:val="4FF7A076"/>
    <w:rsid w:val="4FF83D48"/>
    <w:rsid w:val="4FFCD385"/>
    <w:rsid w:val="5000D7A0"/>
    <w:rsid w:val="500ABAA7"/>
    <w:rsid w:val="504B9CAB"/>
    <w:rsid w:val="50617D3C"/>
    <w:rsid w:val="50639BDB"/>
    <w:rsid w:val="50BBAC85"/>
    <w:rsid w:val="511F5B17"/>
    <w:rsid w:val="51458CAC"/>
    <w:rsid w:val="5185AD45"/>
    <w:rsid w:val="5187FDA9"/>
    <w:rsid w:val="519F1A2D"/>
    <w:rsid w:val="51F071BF"/>
    <w:rsid w:val="521D0F96"/>
    <w:rsid w:val="52478F3C"/>
    <w:rsid w:val="52586795"/>
    <w:rsid w:val="52CA3501"/>
    <w:rsid w:val="52E89DD8"/>
    <w:rsid w:val="530A86E9"/>
    <w:rsid w:val="532073A5"/>
    <w:rsid w:val="5328AC5A"/>
    <w:rsid w:val="53518272"/>
    <w:rsid w:val="53729184"/>
    <w:rsid w:val="53741C8F"/>
    <w:rsid w:val="53865590"/>
    <w:rsid w:val="53FCB033"/>
    <w:rsid w:val="543BC5EC"/>
    <w:rsid w:val="545C664A"/>
    <w:rsid w:val="549B7E29"/>
    <w:rsid w:val="54A71C45"/>
    <w:rsid w:val="54BE0225"/>
    <w:rsid w:val="55060311"/>
    <w:rsid w:val="551F9B7A"/>
    <w:rsid w:val="552AE2BB"/>
    <w:rsid w:val="55447895"/>
    <w:rsid w:val="55681F76"/>
    <w:rsid w:val="55DBB94D"/>
    <w:rsid w:val="5619CA46"/>
    <w:rsid w:val="5635837B"/>
    <w:rsid w:val="563FBDBC"/>
    <w:rsid w:val="5640BC27"/>
    <w:rsid w:val="569F6481"/>
    <w:rsid w:val="56C6E7FF"/>
    <w:rsid w:val="56C7EA6E"/>
    <w:rsid w:val="56D62802"/>
    <w:rsid w:val="56F074A2"/>
    <w:rsid w:val="56F7B17B"/>
    <w:rsid w:val="56F97865"/>
    <w:rsid w:val="571CBF7F"/>
    <w:rsid w:val="571E646B"/>
    <w:rsid w:val="571F56B2"/>
    <w:rsid w:val="5726C435"/>
    <w:rsid w:val="57279087"/>
    <w:rsid w:val="578529B4"/>
    <w:rsid w:val="57D87127"/>
    <w:rsid w:val="57E85202"/>
    <w:rsid w:val="57FBDF24"/>
    <w:rsid w:val="58961EA7"/>
    <w:rsid w:val="58A264EC"/>
    <w:rsid w:val="58CF8EA4"/>
    <w:rsid w:val="58D50707"/>
    <w:rsid w:val="58DE4AFC"/>
    <w:rsid w:val="58EEF91E"/>
    <w:rsid w:val="58FA2A65"/>
    <w:rsid w:val="5918E628"/>
    <w:rsid w:val="595BF174"/>
    <w:rsid w:val="5961BE64"/>
    <w:rsid w:val="5962CBE7"/>
    <w:rsid w:val="59888D10"/>
    <w:rsid w:val="59A34215"/>
    <w:rsid w:val="59ACB15C"/>
    <w:rsid w:val="59C9F1CB"/>
    <w:rsid w:val="59D3A506"/>
    <w:rsid w:val="59E2F9CA"/>
    <w:rsid w:val="5A125EF3"/>
    <w:rsid w:val="5A3EDBA8"/>
    <w:rsid w:val="5A65357E"/>
    <w:rsid w:val="5B150EE4"/>
    <w:rsid w:val="5B21F9A9"/>
    <w:rsid w:val="5B21FB11"/>
    <w:rsid w:val="5B6403F1"/>
    <w:rsid w:val="5B789FAC"/>
    <w:rsid w:val="5B83FA9D"/>
    <w:rsid w:val="5BBD8BAA"/>
    <w:rsid w:val="5C36C204"/>
    <w:rsid w:val="5C40C457"/>
    <w:rsid w:val="5C41B0D4"/>
    <w:rsid w:val="5C513CA1"/>
    <w:rsid w:val="5CC9C600"/>
    <w:rsid w:val="5CD75767"/>
    <w:rsid w:val="5CF440D2"/>
    <w:rsid w:val="5D2D3E12"/>
    <w:rsid w:val="5D6EECB9"/>
    <w:rsid w:val="5D90B1A5"/>
    <w:rsid w:val="5D9DB011"/>
    <w:rsid w:val="5DC7324A"/>
    <w:rsid w:val="5DDBD2DF"/>
    <w:rsid w:val="5DE49111"/>
    <w:rsid w:val="5E33CDA2"/>
    <w:rsid w:val="5E54749F"/>
    <w:rsid w:val="5E5AED5A"/>
    <w:rsid w:val="5E685D54"/>
    <w:rsid w:val="5E7ABFCE"/>
    <w:rsid w:val="5E877649"/>
    <w:rsid w:val="5E8F3242"/>
    <w:rsid w:val="5E965D04"/>
    <w:rsid w:val="5EFD4191"/>
    <w:rsid w:val="5F067BCF"/>
    <w:rsid w:val="5F2E3DB7"/>
    <w:rsid w:val="5F2FA0A9"/>
    <w:rsid w:val="5F35A0FF"/>
    <w:rsid w:val="5F3A7B6B"/>
    <w:rsid w:val="5F8DD2A8"/>
    <w:rsid w:val="5FB855D9"/>
    <w:rsid w:val="5FB94896"/>
    <w:rsid w:val="602878DF"/>
    <w:rsid w:val="6030E546"/>
    <w:rsid w:val="60469559"/>
    <w:rsid w:val="604CE1B5"/>
    <w:rsid w:val="60728312"/>
    <w:rsid w:val="6088A5DA"/>
    <w:rsid w:val="6090E0FC"/>
    <w:rsid w:val="60E7A229"/>
    <w:rsid w:val="612CC6C8"/>
    <w:rsid w:val="61608C5F"/>
    <w:rsid w:val="6174DD95"/>
    <w:rsid w:val="617B4808"/>
    <w:rsid w:val="618AC73D"/>
    <w:rsid w:val="6197CE16"/>
    <w:rsid w:val="61AA71F4"/>
    <w:rsid w:val="61AAF1F3"/>
    <w:rsid w:val="61B75496"/>
    <w:rsid w:val="61BFFADD"/>
    <w:rsid w:val="621012C5"/>
    <w:rsid w:val="6221C010"/>
    <w:rsid w:val="6223AD48"/>
    <w:rsid w:val="625BF9C0"/>
    <w:rsid w:val="625D1A15"/>
    <w:rsid w:val="627C2A69"/>
    <w:rsid w:val="62EB45CA"/>
    <w:rsid w:val="6339987E"/>
    <w:rsid w:val="63B8523C"/>
    <w:rsid w:val="63C37758"/>
    <w:rsid w:val="63D4FDFE"/>
    <w:rsid w:val="63EE23F7"/>
    <w:rsid w:val="63FB817D"/>
    <w:rsid w:val="6413D70A"/>
    <w:rsid w:val="64789BAA"/>
    <w:rsid w:val="647FD59D"/>
    <w:rsid w:val="648E29F5"/>
    <w:rsid w:val="648F21AB"/>
    <w:rsid w:val="64919A93"/>
    <w:rsid w:val="64BED939"/>
    <w:rsid w:val="64DD2762"/>
    <w:rsid w:val="64E02D44"/>
    <w:rsid w:val="651A3564"/>
    <w:rsid w:val="654B8CD3"/>
    <w:rsid w:val="6583E1F6"/>
    <w:rsid w:val="659AB2E0"/>
    <w:rsid w:val="65C2D742"/>
    <w:rsid w:val="65CE040F"/>
    <w:rsid w:val="65D36F09"/>
    <w:rsid w:val="65D88583"/>
    <w:rsid w:val="6626C0F9"/>
    <w:rsid w:val="664BEBBB"/>
    <w:rsid w:val="665A5C3C"/>
    <w:rsid w:val="666BD59F"/>
    <w:rsid w:val="66B7FF79"/>
    <w:rsid w:val="66B8D97C"/>
    <w:rsid w:val="66C9708D"/>
    <w:rsid w:val="676C4A2E"/>
    <w:rsid w:val="677FB7F1"/>
    <w:rsid w:val="679AD4B3"/>
    <w:rsid w:val="679D7507"/>
    <w:rsid w:val="67ADB356"/>
    <w:rsid w:val="67FEE68D"/>
    <w:rsid w:val="68074DA6"/>
    <w:rsid w:val="6809F93D"/>
    <w:rsid w:val="681372EB"/>
    <w:rsid w:val="68160333"/>
    <w:rsid w:val="685B0007"/>
    <w:rsid w:val="68AA92A9"/>
    <w:rsid w:val="68DD3921"/>
    <w:rsid w:val="68E5CC3E"/>
    <w:rsid w:val="691B0240"/>
    <w:rsid w:val="6926C914"/>
    <w:rsid w:val="69319220"/>
    <w:rsid w:val="6948C1C2"/>
    <w:rsid w:val="69560DEC"/>
    <w:rsid w:val="6978487F"/>
    <w:rsid w:val="69AF2A43"/>
    <w:rsid w:val="69B2983A"/>
    <w:rsid w:val="69D7D0D0"/>
    <w:rsid w:val="6A089D05"/>
    <w:rsid w:val="6A1E9732"/>
    <w:rsid w:val="6A2554E3"/>
    <w:rsid w:val="6A324CEA"/>
    <w:rsid w:val="6A5279F4"/>
    <w:rsid w:val="6A78C50F"/>
    <w:rsid w:val="6A8BFD7B"/>
    <w:rsid w:val="6B17D402"/>
    <w:rsid w:val="6B1E40AA"/>
    <w:rsid w:val="6B492535"/>
    <w:rsid w:val="6B57C07A"/>
    <w:rsid w:val="6B74A548"/>
    <w:rsid w:val="6BC863EB"/>
    <w:rsid w:val="6BDE9772"/>
    <w:rsid w:val="6C1FF499"/>
    <w:rsid w:val="6C65DEB7"/>
    <w:rsid w:val="6C6E4CB3"/>
    <w:rsid w:val="6C7E9CF4"/>
    <w:rsid w:val="6CCA7313"/>
    <w:rsid w:val="6CD03976"/>
    <w:rsid w:val="6CD25CAC"/>
    <w:rsid w:val="6CD2B66D"/>
    <w:rsid w:val="6CD51F38"/>
    <w:rsid w:val="6D0741C3"/>
    <w:rsid w:val="6D0792F4"/>
    <w:rsid w:val="6D0B2F5A"/>
    <w:rsid w:val="6D28B1AF"/>
    <w:rsid w:val="6D407615"/>
    <w:rsid w:val="6D455BC1"/>
    <w:rsid w:val="6D616F43"/>
    <w:rsid w:val="6D73AF4A"/>
    <w:rsid w:val="6DAC9657"/>
    <w:rsid w:val="6DE6D19F"/>
    <w:rsid w:val="6E68D4B4"/>
    <w:rsid w:val="6E71F7B4"/>
    <w:rsid w:val="6E8458B0"/>
    <w:rsid w:val="6E9BC6A9"/>
    <w:rsid w:val="6EB73EE5"/>
    <w:rsid w:val="6EB8492A"/>
    <w:rsid w:val="6ECA8DCE"/>
    <w:rsid w:val="6EDE1597"/>
    <w:rsid w:val="6EDE53FD"/>
    <w:rsid w:val="6F490289"/>
    <w:rsid w:val="6F7F0D50"/>
    <w:rsid w:val="6FB57F20"/>
    <w:rsid w:val="70151661"/>
    <w:rsid w:val="7080960C"/>
    <w:rsid w:val="709C33EC"/>
    <w:rsid w:val="70A85ABF"/>
    <w:rsid w:val="70B1BF9C"/>
    <w:rsid w:val="7138E9D4"/>
    <w:rsid w:val="7163EACA"/>
    <w:rsid w:val="7174F023"/>
    <w:rsid w:val="718BCAE1"/>
    <w:rsid w:val="71A36B63"/>
    <w:rsid w:val="71C47144"/>
    <w:rsid w:val="71D4050D"/>
    <w:rsid w:val="7208635F"/>
    <w:rsid w:val="7259FA05"/>
    <w:rsid w:val="72A94D52"/>
    <w:rsid w:val="72D3002E"/>
    <w:rsid w:val="72E19530"/>
    <w:rsid w:val="731878C1"/>
    <w:rsid w:val="73366745"/>
    <w:rsid w:val="735B3D1F"/>
    <w:rsid w:val="73697B40"/>
    <w:rsid w:val="7380F8FF"/>
    <w:rsid w:val="7384278A"/>
    <w:rsid w:val="739B54C3"/>
    <w:rsid w:val="73CC2C89"/>
    <w:rsid w:val="73E84D81"/>
    <w:rsid w:val="745C82E7"/>
    <w:rsid w:val="74882659"/>
    <w:rsid w:val="7497D7A5"/>
    <w:rsid w:val="74BBC1B4"/>
    <w:rsid w:val="74DB3504"/>
    <w:rsid w:val="7565B019"/>
    <w:rsid w:val="75667D6C"/>
    <w:rsid w:val="757722F7"/>
    <w:rsid w:val="757DB778"/>
    <w:rsid w:val="757F30FB"/>
    <w:rsid w:val="75B02795"/>
    <w:rsid w:val="7667A538"/>
    <w:rsid w:val="766F47DA"/>
    <w:rsid w:val="76754C37"/>
    <w:rsid w:val="769DDCA8"/>
    <w:rsid w:val="76B23072"/>
    <w:rsid w:val="77073254"/>
    <w:rsid w:val="771278B7"/>
    <w:rsid w:val="776B0E37"/>
    <w:rsid w:val="776B7EF1"/>
    <w:rsid w:val="77DDACF2"/>
    <w:rsid w:val="77E59D4D"/>
    <w:rsid w:val="7800EAB1"/>
    <w:rsid w:val="780408C8"/>
    <w:rsid w:val="781A56A6"/>
    <w:rsid w:val="78436830"/>
    <w:rsid w:val="78617F1D"/>
    <w:rsid w:val="788454CB"/>
    <w:rsid w:val="7911A1C7"/>
    <w:rsid w:val="7957A9FF"/>
    <w:rsid w:val="795D7F38"/>
    <w:rsid w:val="797C1003"/>
    <w:rsid w:val="7985595C"/>
    <w:rsid w:val="799DA557"/>
    <w:rsid w:val="79F0A22B"/>
    <w:rsid w:val="7A62DB3A"/>
    <w:rsid w:val="7A652A26"/>
    <w:rsid w:val="7A7386C3"/>
    <w:rsid w:val="7A7F3A0F"/>
    <w:rsid w:val="7A8E7BCE"/>
    <w:rsid w:val="7A935A6D"/>
    <w:rsid w:val="7A9A3748"/>
    <w:rsid w:val="7AB560F4"/>
    <w:rsid w:val="7B17EC18"/>
    <w:rsid w:val="7B21FEDD"/>
    <w:rsid w:val="7B431E58"/>
    <w:rsid w:val="7B446C08"/>
    <w:rsid w:val="7B5EA12B"/>
    <w:rsid w:val="7B71B93B"/>
    <w:rsid w:val="7BF605B6"/>
    <w:rsid w:val="7C42B32A"/>
    <w:rsid w:val="7C7E5A0C"/>
    <w:rsid w:val="7CA5795C"/>
    <w:rsid w:val="7CACD7EC"/>
    <w:rsid w:val="7CAD2AE3"/>
    <w:rsid w:val="7CAF4691"/>
    <w:rsid w:val="7CCF62B6"/>
    <w:rsid w:val="7D0612E3"/>
    <w:rsid w:val="7D0B56C3"/>
    <w:rsid w:val="7D630412"/>
    <w:rsid w:val="7D6E47D9"/>
    <w:rsid w:val="7D7BB212"/>
    <w:rsid w:val="7D7C5862"/>
    <w:rsid w:val="7DC5248D"/>
    <w:rsid w:val="7DDC2FB3"/>
    <w:rsid w:val="7DE9B5ED"/>
    <w:rsid w:val="7DFF55AA"/>
    <w:rsid w:val="7E0E64A4"/>
    <w:rsid w:val="7E233424"/>
    <w:rsid w:val="7E6D1000"/>
    <w:rsid w:val="7E883033"/>
    <w:rsid w:val="7E9B9393"/>
    <w:rsid w:val="7EA19F8C"/>
    <w:rsid w:val="7EA7C3E2"/>
    <w:rsid w:val="7EC6E7FA"/>
    <w:rsid w:val="7F1D0DAA"/>
    <w:rsid w:val="7F95674F"/>
    <w:rsid w:val="7FD4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B15325F-C073-48E4-8011-C076784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6"/>
      </w:numPr>
      <w:spacing w:before="240" w:after="60"/>
      <w:outlineLvl w:val="5"/>
    </w:pPr>
    <w:rPr>
      <w:rFonts w:ascii="Calibri" w:hAnsi="Calibri"/>
      <w:b/>
      <w:bCs/>
      <w:szCs w:val="22"/>
    </w:rPr>
  </w:style>
  <w:style w:type="paragraph" w:styleId="Heading7">
    <w:name w:val="heading 7"/>
    <w:basedOn w:val="Normal"/>
    <w:next w:val="Normal"/>
    <w:pPr>
      <w:numPr>
        <w:ilvl w:val="6"/>
        <w:numId w:val="6"/>
      </w:numPr>
      <w:spacing w:before="240" w:after="60"/>
      <w:outlineLvl w:val="6"/>
    </w:pPr>
    <w:rPr>
      <w:rFonts w:ascii="Calibri" w:hAnsi="Calibri"/>
    </w:rPr>
  </w:style>
  <w:style w:type="paragraph" w:styleId="Heading8">
    <w:name w:val="heading 8"/>
    <w:basedOn w:val="Normal"/>
    <w:next w:val="Normal"/>
    <w:pPr>
      <w:numPr>
        <w:ilvl w:val="7"/>
        <w:numId w:val="6"/>
      </w:numPr>
      <w:spacing w:before="240" w:after="60"/>
      <w:outlineLvl w:val="7"/>
    </w:pPr>
    <w:rPr>
      <w:rFonts w:ascii="Calibri" w:hAnsi="Calibri"/>
      <w:i/>
      <w:iCs/>
    </w:rPr>
  </w:style>
  <w:style w:type="paragraph" w:styleId="Heading9">
    <w:name w:val="heading 9"/>
    <w:basedOn w:val="Normal"/>
    <w:next w:val="Normal"/>
    <w:pPr>
      <w:numPr>
        <w:ilvl w:val="8"/>
        <w:numId w:val="6"/>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6"/>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9"/>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8"/>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12"/>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7"/>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10"/>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1"/>
      </w:numPr>
      <w:contextualSpacing/>
    </w:pPr>
  </w:style>
  <w:style w:type="paragraph" w:styleId="DfESOutNumbered" w:customStyle="1">
    <w:name w:val="DfESOutNumbered"/>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4"/>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5"/>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6"/>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0"/>
      </w:numPr>
    </w:pPr>
  </w:style>
  <w:style w:type="numbering" w:styleId="LFO3" w:customStyle="1">
    <w:name w:val="LFO3"/>
    <w:basedOn w:val="NoList"/>
    <w:pPr>
      <w:numPr>
        <w:numId w:val="7"/>
      </w:numPr>
    </w:pPr>
  </w:style>
  <w:style w:type="numbering" w:styleId="LFO4" w:customStyle="1">
    <w:name w:val="LFO4"/>
    <w:basedOn w:val="NoList"/>
    <w:pPr>
      <w:numPr>
        <w:numId w:val="8"/>
      </w:numPr>
    </w:pPr>
  </w:style>
  <w:style w:type="numbering" w:styleId="LFO6" w:customStyle="1">
    <w:name w:val="LFO6"/>
    <w:basedOn w:val="NoList"/>
    <w:pPr>
      <w:numPr>
        <w:numId w:val="9"/>
      </w:numPr>
    </w:pPr>
  </w:style>
  <w:style w:type="numbering" w:styleId="LFO9" w:customStyle="1">
    <w:name w:val="LFO9"/>
    <w:basedOn w:val="NoList"/>
    <w:pPr>
      <w:numPr>
        <w:numId w:val="23"/>
      </w:numPr>
    </w:pPr>
  </w:style>
  <w:style w:type="numbering" w:styleId="LFO10" w:customStyle="1">
    <w:name w:val="LFO10"/>
    <w:basedOn w:val="NoList"/>
    <w:pPr>
      <w:numPr>
        <w:numId w:val="10"/>
      </w:numPr>
    </w:pPr>
  </w:style>
  <w:style w:type="numbering" w:styleId="LFO25" w:customStyle="1">
    <w:name w:val="LFO25"/>
    <w:basedOn w:val="NoList"/>
    <w:pPr>
      <w:numPr>
        <w:numId w:val="12"/>
      </w:numPr>
    </w:pPr>
  </w:style>
  <w:style w:type="numbering" w:styleId="LFO28" w:customStyle="1">
    <w:name w:val="LFO28"/>
    <w:basedOn w:val="NoList"/>
    <w:pPr>
      <w:numPr>
        <w:numId w:val="18"/>
      </w:numPr>
    </w:pPr>
  </w:style>
  <w:style w:type="numbering" w:styleId="LFO30" w:customStyle="1">
    <w:name w:val="LFO30"/>
    <w:basedOn w:val="NoList"/>
    <w:pPr>
      <w:numPr>
        <w:numId w:val="19"/>
      </w:numPr>
    </w:pPr>
  </w:style>
  <w:style w:type="numbering" w:styleId="LFO34" w:customStyle="1">
    <w:name w:val="LFO34"/>
    <w:basedOn w:val="NoList"/>
    <w:pPr>
      <w:numPr>
        <w:numId w:val="12"/>
      </w:numPr>
    </w:pPr>
  </w:style>
  <w:style w:type="numbering" w:styleId="LFO36" w:customStyle="1">
    <w:name w:val="LFO36"/>
    <w:basedOn w:val="NoList"/>
    <w:pPr>
      <w:numPr>
        <w:numId w:val="16"/>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4230722">
      <w:bodyDiv w:val="1"/>
      <w:marLeft w:val="0"/>
      <w:marRight w:val="0"/>
      <w:marTop w:val="0"/>
      <w:marBottom w:val="0"/>
      <w:divBdr>
        <w:top w:val="none" w:sz="0" w:space="0" w:color="auto"/>
        <w:left w:val="none" w:sz="0" w:space="0" w:color="auto"/>
        <w:bottom w:val="none" w:sz="0" w:space="0" w:color="auto"/>
        <w:right w:val="none" w:sz="0" w:space="0" w:color="auto"/>
      </w:divBdr>
    </w:div>
    <w:div w:id="82648286">
      <w:bodyDiv w:val="1"/>
      <w:marLeft w:val="0"/>
      <w:marRight w:val="0"/>
      <w:marTop w:val="0"/>
      <w:marBottom w:val="0"/>
      <w:divBdr>
        <w:top w:val="none" w:sz="0" w:space="0" w:color="auto"/>
        <w:left w:val="none" w:sz="0" w:space="0" w:color="auto"/>
        <w:bottom w:val="none" w:sz="0" w:space="0" w:color="auto"/>
        <w:right w:val="none" w:sz="0" w:space="0" w:color="auto"/>
      </w:divBdr>
    </w:div>
    <w:div w:id="314652616">
      <w:bodyDiv w:val="1"/>
      <w:marLeft w:val="0"/>
      <w:marRight w:val="0"/>
      <w:marTop w:val="0"/>
      <w:marBottom w:val="0"/>
      <w:divBdr>
        <w:top w:val="none" w:sz="0" w:space="0" w:color="auto"/>
        <w:left w:val="none" w:sz="0" w:space="0" w:color="auto"/>
        <w:bottom w:val="none" w:sz="0" w:space="0" w:color="auto"/>
        <w:right w:val="none" w:sz="0" w:space="0" w:color="auto"/>
      </w:divBdr>
    </w:div>
    <w:div w:id="699211289">
      <w:bodyDiv w:val="1"/>
      <w:marLeft w:val="0"/>
      <w:marRight w:val="0"/>
      <w:marTop w:val="0"/>
      <w:marBottom w:val="0"/>
      <w:divBdr>
        <w:top w:val="none" w:sz="0" w:space="0" w:color="auto"/>
        <w:left w:val="none" w:sz="0" w:space="0" w:color="auto"/>
        <w:bottom w:val="none" w:sz="0" w:space="0" w:color="auto"/>
        <w:right w:val="none" w:sz="0" w:space="0" w:color="auto"/>
      </w:divBdr>
    </w:div>
    <w:div w:id="1006326700">
      <w:bodyDiv w:val="1"/>
      <w:marLeft w:val="0"/>
      <w:marRight w:val="0"/>
      <w:marTop w:val="0"/>
      <w:marBottom w:val="0"/>
      <w:divBdr>
        <w:top w:val="none" w:sz="0" w:space="0" w:color="auto"/>
        <w:left w:val="none" w:sz="0" w:space="0" w:color="auto"/>
        <w:bottom w:val="none" w:sz="0" w:space="0" w:color="auto"/>
        <w:right w:val="none" w:sz="0" w:space="0" w:color="auto"/>
      </w:divBdr>
    </w:div>
    <w:div w:id="1126705113">
      <w:bodyDiv w:val="1"/>
      <w:marLeft w:val="0"/>
      <w:marRight w:val="0"/>
      <w:marTop w:val="0"/>
      <w:marBottom w:val="0"/>
      <w:divBdr>
        <w:top w:val="none" w:sz="0" w:space="0" w:color="auto"/>
        <w:left w:val="none" w:sz="0" w:space="0" w:color="auto"/>
        <w:bottom w:val="none" w:sz="0" w:space="0" w:color="auto"/>
        <w:right w:val="none" w:sz="0" w:space="0" w:color="auto"/>
      </w:divBdr>
    </w:div>
    <w:div w:id="1198352591">
      <w:bodyDiv w:val="1"/>
      <w:marLeft w:val="0"/>
      <w:marRight w:val="0"/>
      <w:marTop w:val="0"/>
      <w:marBottom w:val="0"/>
      <w:divBdr>
        <w:top w:val="none" w:sz="0" w:space="0" w:color="auto"/>
        <w:left w:val="none" w:sz="0" w:space="0" w:color="auto"/>
        <w:bottom w:val="none" w:sz="0" w:space="0" w:color="auto"/>
        <w:right w:val="none" w:sz="0" w:space="0" w:color="auto"/>
      </w:divBdr>
    </w:div>
    <w:div w:id="1212115999">
      <w:bodyDiv w:val="1"/>
      <w:marLeft w:val="0"/>
      <w:marRight w:val="0"/>
      <w:marTop w:val="0"/>
      <w:marBottom w:val="0"/>
      <w:divBdr>
        <w:top w:val="none" w:sz="0" w:space="0" w:color="auto"/>
        <w:left w:val="none" w:sz="0" w:space="0" w:color="auto"/>
        <w:bottom w:val="none" w:sz="0" w:space="0" w:color="auto"/>
        <w:right w:val="none" w:sz="0" w:space="0" w:color="auto"/>
      </w:divBdr>
    </w:div>
    <w:div w:id="1244099968">
      <w:bodyDiv w:val="1"/>
      <w:marLeft w:val="0"/>
      <w:marRight w:val="0"/>
      <w:marTop w:val="0"/>
      <w:marBottom w:val="0"/>
      <w:divBdr>
        <w:top w:val="none" w:sz="0" w:space="0" w:color="auto"/>
        <w:left w:val="none" w:sz="0" w:space="0" w:color="auto"/>
        <w:bottom w:val="none" w:sz="0" w:space="0" w:color="auto"/>
        <w:right w:val="none" w:sz="0" w:space="0" w:color="auto"/>
      </w:divBdr>
      <w:divsChild>
        <w:div w:id="1951938215">
          <w:marLeft w:val="0"/>
          <w:marRight w:val="0"/>
          <w:marTop w:val="0"/>
          <w:marBottom w:val="0"/>
          <w:divBdr>
            <w:top w:val="none" w:sz="0" w:space="0" w:color="auto"/>
            <w:left w:val="none" w:sz="0" w:space="0" w:color="auto"/>
            <w:bottom w:val="none" w:sz="0" w:space="0" w:color="auto"/>
            <w:right w:val="none" w:sz="0" w:space="0" w:color="auto"/>
          </w:divBdr>
        </w:div>
      </w:divsChild>
    </w:div>
    <w:div w:id="1512135543">
      <w:bodyDiv w:val="1"/>
      <w:marLeft w:val="0"/>
      <w:marRight w:val="0"/>
      <w:marTop w:val="0"/>
      <w:marBottom w:val="0"/>
      <w:divBdr>
        <w:top w:val="none" w:sz="0" w:space="0" w:color="auto"/>
        <w:left w:val="none" w:sz="0" w:space="0" w:color="auto"/>
        <w:bottom w:val="none" w:sz="0" w:space="0" w:color="auto"/>
        <w:right w:val="none" w:sz="0" w:space="0" w:color="auto"/>
      </w:divBdr>
    </w:div>
    <w:div w:id="1514032557">
      <w:bodyDiv w:val="1"/>
      <w:marLeft w:val="0"/>
      <w:marRight w:val="0"/>
      <w:marTop w:val="0"/>
      <w:marBottom w:val="0"/>
      <w:divBdr>
        <w:top w:val="none" w:sz="0" w:space="0" w:color="auto"/>
        <w:left w:val="none" w:sz="0" w:space="0" w:color="auto"/>
        <w:bottom w:val="none" w:sz="0" w:space="0" w:color="auto"/>
        <w:right w:val="none" w:sz="0" w:space="0" w:color="auto"/>
      </w:divBdr>
    </w:div>
    <w:div w:id="1566139583">
      <w:bodyDiv w:val="1"/>
      <w:marLeft w:val="0"/>
      <w:marRight w:val="0"/>
      <w:marTop w:val="0"/>
      <w:marBottom w:val="0"/>
      <w:divBdr>
        <w:top w:val="none" w:sz="0" w:space="0" w:color="auto"/>
        <w:left w:val="none" w:sz="0" w:space="0" w:color="auto"/>
        <w:bottom w:val="none" w:sz="0" w:space="0" w:color="auto"/>
        <w:right w:val="none" w:sz="0" w:space="0" w:color="auto"/>
      </w:divBdr>
    </w:div>
    <w:div w:id="1905872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assets.publishing.service.gov.uk/media/65cf69384239310011b7b91f/Using_Pupil_Premium_-_Guidance_for_School_Leaders.pdf" TargetMode="External" Id="rId13" /><Relationship Type="http://schemas.openxmlformats.org/officeDocument/2006/relationships/hyperlink" Target="https://educationendowmentfoundation.org.uk/education-evidence/teaching-learning-toolkit/oral-language-interventions" TargetMode="External" Id="rId18" /><Relationship Type="http://schemas.openxmlformats.org/officeDocument/2006/relationships/hyperlink" Target="https://www.gov.uk/government/publications/improving-attainment-in-the-fe-and-adult-learning-sector/improving-attainment-among-disadvantaged-students-in-the-fe-and-adult-learning-sector-evidence-review-html" TargetMode="External" Id="rId26" /><Relationship Type="http://schemas.openxmlformats.org/officeDocument/2006/relationships/hyperlink" Target="https://educationendowmentfoundation.org.uk/news/evidence-brief-on-improving-attendance-and-support-for-disadvantaged-pupils" TargetMode="External" Id="rId39" /><Relationship Type="http://schemas.openxmlformats.org/officeDocument/2006/relationships/hyperlink" Target="https://library.camtree.org/server/api/core/bitstreams/33851ea0-ab06-466a-bbed-80e37226b84b/content" TargetMode="External" Id="rId21" /><Relationship Type="http://schemas.openxmlformats.org/officeDocument/2006/relationships/hyperlink" Target="https://educationendowmentfoundation.org.uk/education-evidence/evidence-reviews/attendance-interventions-rapid-evidence-assessment" TargetMode="External" Id="rId34" /><Relationship Type="http://schemas.openxmlformats.org/officeDocument/2006/relationships/hyperlink" Target="https://www.n8research.org.uk/media/CotN_Attendance_Report_10.pdf" TargetMode="External" Id="rId42" /><Relationship Type="http://schemas.openxmlformats.org/officeDocument/2006/relationships/hyperlink" Target="https://cfey.org/reports/2024/04/education-and-enrichment/" TargetMode="External" Id="rId47" /><Relationship Type="http://schemas.openxmlformats.org/officeDocument/2006/relationships/hyperlink" Target="https://www.ncfe.org.uk/media/0wzdnmmv/valuing-enrichment-final-report.pdf" TargetMode="External" Id="rId50" /><Relationship Type="http://schemas.openxmlformats.org/officeDocument/2006/relationships/theme" Target="theme/theme1.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ase.org.uk/sites/default/files/Closing%20the%20Disadvantage%20Gap%20%28EEF%20Toolkit%29%20ASE%20IIS.pdf" TargetMode="External" Id="rId16" /><Relationship Type="http://schemas.openxmlformats.org/officeDocument/2006/relationships/hyperlink" Target="https://www.ase.org.uk/sites/default/files/Closing%20the%20Disadvantage%20Gap%20%28EEF%20Toolkit%29%20ASE%20IIS.pdf" TargetMode="External" Id="rId29" /><Relationship Type="http://schemas.openxmlformats.org/officeDocument/2006/relationships/hyperlink" Target="https://assets.publishing.service.gov.uk/media/65cf69384239310011b7b91f/Using_Pupil_Premium_-_Guidance_for_School_Leaders.pdf" TargetMode="External" Id="rId11" /><Relationship Type="http://schemas.openxmlformats.org/officeDocument/2006/relationships/hyperlink" Target="https://researchschool.org.uk/aspirer/news/from-buzzword-to-bedrock-embedding-oral-language-for-disadvantaged-pupils" TargetMode="External" Id="rId24" /><Relationship Type="http://schemas.openxmlformats.org/officeDocument/2006/relationships/hyperlink" Target="https://repository.uel.ac.uk/download/a1e2ba06ead0bc88b96c4f5c9f67e27776bec0c8f475b43797dc0a94a6e495b5/742241/Educational%20Psychology%20Research%20and%20Practice%202023%209%201%20Carter%20and%20Borrett.pdf" TargetMode="External" Id="rId32" /><Relationship Type="http://schemas.openxmlformats.org/officeDocument/2006/relationships/hyperlink" Target="https://www.attendanceworks.org/research/evidence-based-solutions/" TargetMode="External" Id="rId37" /><Relationship Type="http://schemas.openxmlformats.org/officeDocument/2006/relationships/hyperlink" Target="https://www.gov.uk/government/publications/rise-support-for-improving-attendance-in-schools/rise-attendance-improvement" TargetMode="External" Id="rId40" /><Relationship Type="http://schemas.openxmlformats.org/officeDocument/2006/relationships/hyperlink" Target="https://www.dofe.org/wp-content/uploads/2025/06/DofE_external-benchmarks_report.pdf" TargetMode="External" Id="rId45" /><Relationship Type="http://schemas.openxmlformats.org/officeDocument/2006/relationships/footer" Target="footer1.xml" Id="rId53" /><Relationship Type="http://schemas.openxmlformats.org/officeDocument/2006/relationships/styles" Target="styles.xml" Id="rId5" /><Relationship Type="http://schemas.openxmlformats.org/officeDocument/2006/relationships/hyperlink" Target="https://educationendowmentfoundation.org.uk/education-evidence/using-pupil-premium" TargetMode="External" Id="rId10" /><Relationship Type="http://schemas.openxmlformats.org/officeDocument/2006/relationships/hyperlink" Target="https://www.esu.org/wp-content/uploads/2023/11/Why-Oracy-Matters_FINAL.pdf" TargetMode="External" Id="rId19" /><Relationship Type="http://schemas.openxmlformats.org/officeDocument/2006/relationships/hyperlink" Target="https://repository.uel.ac.uk/download/a1e2ba06ead0bc88b96c4f5c9f67e27776bec0c8f475b43797dc0a94a6e495b5/742241/Educational%20Psychology%20Research%20and%20Practice%202023%209%201%20Carter%20and%20Borrett.pdf" TargetMode="External" Id="rId31" /><Relationship Type="http://schemas.openxmlformats.org/officeDocument/2006/relationships/hyperlink" Target="https://www.nfer.ac.uk/press-releases/the-power-of-attendance-and-stability-at-school-for-disadvantaged-pupils/" TargetMode="External" Id="rId44" /><Relationship Type="http://schemas.openxmlformats.org/officeDocument/2006/relationships/header" Target="header1.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 Type="http://schemas.openxmlformats.org/officeDocument/2006/relationships/hyperlink" Target="https://library.camtree.org/server/api/core/bitstreams/33851ea0-ab06-466a-bbed-80e37226b84b/content" TargetMode="External" Id="rId22" /><Relationship Type="http://schemas.openxmlformats.org/officeDocument/2006/relationships/hyperlink" Target="https://researchschool.org.uk/aspirer/news/from-buzzword-to-bedrock-embedding-oral-language-for-disadvantaged-pupils" TargetMode="External" Id="rId27" /><Relationship Type="http://schemas.openxmlformats.org/officeDocument/2006/relationships/hyperlink" Target="https://www.frontiersin.org/journals/education/articles/10.3389/feduc.2022.914448/full" TargetMode="External" Id="rId30" /><Relationship Type="http://schemas.openxmlformats.org/officeDocument/2006/relationships/hyperlink" Target="https://educationendowmentfoundation.org.uk/education-evidence/evidence-reviews/attendance-interventions-rapid-evidence-assessment" TargetMode="External" Id="rId35" /><Relationship Type="http://schemas.openxmlformats.org/officeDocument/2006/relationships/hyperlink" Target="https://www.n8research.org.uk/media/CotN_Attendance_Report_10.pdf" TargetMode="External" Id="rId43" /><Relationship Type="http://schemas.openxmlformats.org/officeDocument/2006/relationships/hyperlink" Target="https://www.centreforyounglives.org.uk/news-centre/new-research-reveals-positive-link-between-enrichment-and-tackling-the-school-attendance-crisis" TargetMode="External" Id="rId48" /><Relationship Type="http://schemas.openxmlformats.org/officeDocument/2006/relationships/footnotes" Target="footnotes.xml" Id="rId8" /><Relationship Type="http://schemas.openxmlformats.org/officeDocument/2006/relationships/image" Target="media/image2.jpg" Id="rId51" /><Relationship Type="http://schemas.openxmlformats.org/officeDocument/2006/relationships/customXml" Target="../customXml/item3.xml" Id="rId3" /><Relationship Type="http://schemas.openxmlformats.org/officeDocument/2006/relationships/hyperlink" Target="https://educationendowmentfoundation.org.uk/education-evidence/using-pupil-premium" TargetMode="External" Id="rId12" /><Relationship Type="http://schemas.openxmlformats.org/officeDocument/2006/relationships/hyperlink" Target="https://educationendowmentfoundation.org.uk/education-evidence/teaching-learning-toolkit/oral-language-interventions" TargetMode="External" Id="rId17" /><Relationship Type="http://schemas.openxmlformats.org/officeDocument/2006/relationships/hyperlink" Target="https://www.gov.uk/government/publications/improving-attainment-in-the-fe-and-adult-learning-sector/improving-attainment-among-disadvantaged-students-in-the-fe-and-adult-learning-sector-evidence-review-html" TargetMode="External" Id="rId25" /><Relationship Type="http://schemas.openxmlformats.org/officeDocument/2006/relationships/hyperlink" Target="https://www.google.com/url?sa=t&amp;rct=j&amp;q=&amp;esrc=s&amp;source=web&amp;cd=&amp;cad=rja&amp;uact=8&amp;ved=2ahUKEwigqqzNvpKQAxU9dUEAHY5oPRsQFnoECBcQAQ&amp;url=https%3A%2F%2Fthe-difference.com%2F&amp;usg=AOvVaw267mmwB59p3xl5CgeW6zu2&amp;opi=89978449" TargetMode="External" Id="rId33" /><Relationship Type="http://schemas.openxmlformats.org/officeDocument/2006/relationships/hyperlink" Target="https://educationendowmentfoundation.org.uk/news/evidence-brief-on-improving-attendance-and-support-for-disadvantaged-pupils" TargetMode="External" Id="rId38" /><Relationship Type="http://schemas.openxmlformats.org/officeDocument/2006/relationships/hyperlink" Target="https://cfey.org/reports/2024/04/education-and-enrichment/" TargetMode="External" Id="rId46" /><Relationship Type="http://schemas.openxmlformats.org/officeDocument/2006/relationships/hyperlink" Target="https://www.esu.org/wp-content/uploads/2023/11/Why-Oracy-Matters_FINAL.pdf" TargetMode="External" Id="rId20" /><Relationship Type="http://schemas.openxmlformats.org/officeDocument/2006/relationships/hyperlink" Target="https://www.gov.uk/government/publications/rise-support-for-improving-attendance-in-schools/rise-attendance-improvement"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se.org.uk/sites/default/files/Closing%20the%20Disadvantage%20Gap%20%28EEF%20Toolkit%29%20ASE%20IIS.pdf" TargetMode="External" Id="rId15" /><Relationship Type="http://schemas.openxmlformats.org/officeDocument/2006/relationships/hyperlink" Target="https://researchschool.org.uk/aspirer/news/from-buzzword-to-bedrock-embedding-oral-language-for-disadvantaged-pupils" TargetMode="External" Id="rId23" /><Relationship Type="http://schemas.openxmlformats.org/officeDocument/2006/relationships/hyperlink" Target="https://www.ase.org.uk/sites/default/files/Closing%20the%20Disadvantage%20Gap%20%28EEF%20Toolkit%29%20ASE%20IIS.pdf" TargetMode="External" Id="rId28" /><Relationship Type="http://schemas.openxmlformats.org/officeDocument/2006/relationships/hyperlink" Target="https://www.attendanceworks.org/research/evidence-based-solutions/" TargetMode="External" Id="rId36" /><Relationship Type="http://schemas.openxmlformats.org/officeDocument/2006/relationships/hyperlink" Target="https://www.centreforyounglives.org.uk/news-centre/new-research-reveals-positive-link-between-enrichment-and-tackling-the-school-attendance-crisis"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5" ma:contentTypeDescription="Create a new document." ma:contentTypeScope="" ma:versionID="4546da4a0a1792621ebb3c249beb76bb">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26fe0324f04965817b69690f640d7f34"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4055d3-642e-4831-83d9-3019266b2c42}"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279410-099b-436f-9c9c-898b8a2044d0">
      <Terms xmlns="http://schemas.microsoft.com/office/infopath/2007/PartnerControls"/>
    </lcf76f155ced4ddcb4097134ff3c332f>
    <TaxCatchAll xmlns="d2bc54db-303f-4be4-925f-2f0ceeda76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81C75-716E-45CF-801F-931ACFB6568F}"/>
</file>

<file path=customXml/itemProps2.xml><?xml version="1.0" encoding="utf-8"?>
<ds:datastoreItem xmlns:ds="http://schemas.openxmlformats.org/officeDocument/2006/customXml" ds:itemID="{D15A816E-1897-488F-B5E6-47B1A749DF89}">
  <ds:schemaRefs>
    <ds:schemaRef ds:uri="http://schemas.microsoft.com/office/2006/metadata/properties"/>
    <ds:schemaRef ds:uri="http://schemas.microsoft.com/office/infopath/2007/PartnerControls"/>
    <ds:schemaRef ds:uri="e018c346-0aa3-4c9b-b938-f05dc7064eb6"/>
  </ds:schemaRefs>
</ds:datastoreItem>
</file>

<file path=customXml/itemProps3.xml><?xml version="1.0" encoding="utf-8"?>
<ds:datastoreItem xmlns:ds="http://schemas.openxmlformats.org/officeDocument/2006/customXml" ds:itemID="{38D1DFFA-CF43-4E3F-953F-E783E392D1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Melanie Kane</dc:creator>
  <cp:keywords/>
  <dc:description/>
  <cp:lastModifiedBy>Melanie Kane</cp:lastModifiedBy>
  <cp:revision>227</cp:revision>
  <cp:lastPrinted>2014-09-18T05:26:00Z</cp:lastPrinted>
  <dcterms:created xsi:type="dcterms:W3CDTF">2025-10-02T15:32:00Z</dcterms:created>
  <dcterms:modified xsi:type="dcterms:W3CDTF">2025-10-08T07:26:53Z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