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E021" w14:textId="50C7DE8D" w:rsidR="003E1209" w:rsidRPr="009F08A0" w:rsidRDefault="00FE7818" w:rsidP="009F08A0">
      <w:pPr>
        <w:jc w:val="center"/>
        <w:rPr>
          <w:sz w:val="44"/>
          <w:szCs w:val="44"/>
        </w:rPr>
      </w:pPr>
      <w:r w:rsidRPr="3DE08611">
        <w:rPr>
          <w:sz w:val="44"/>
          <w:szCs w:val="44"/>
        </w:rPr>
        <w:t xml:space="preserve">Assessment without levels – </w:t>
      </w:r>
      <w:r w:rsidR="00961092" w:rsidRPr="3DE08611">
        <w:rPr>
          <w:sz w:val="44"/>
          <w:szCs w:val="44"/>
        </w:rPr>
        <w:t>music</w:t>
      </w:r>
      <w:r w:rsidRPr="3DE08611">
        <w:rPr>
          <w:sz w:val="44"/>
          <w:szCs w:val="44"/>
        </w:rPr>
        <w:t xml:space="preserve"> progress descriptor</w:t>
      </w:r>
      <w:r w:rsidR="00394633" w:rsidRPr="3DE08611">
        <w:rPr>
          <w:sz w:val="44"/>
          <w:szCs w:val="44"/>
        </w:rPr>
        <w:t xml:space="preserve"> </w:t>
      </w:r>
    </w:p>
    <w:tbl>
      <w:tblPr>
        <w:tblStyle w:val="TableGrid"/>
        <w:tblW w:w="15388" w:type="dxa"/>
        <w:tblLook w:val="04A0" w:firstRow="1" w:lastRow="0" w:firstColumn="1" w:lastColumn="0" w:noHBand="0" w:noVBand="1"/>
      </w:tblPr>
      <w:tblGrid>
        <w:gridCol w:w="2480"/>
        <w:gridCol w:w="3227"/>
        <w:gridCol w:w="3234"/>
        <w:gridCol w:w="3234"/>
        <w:gridCol w:w="3213"/>
      </w:tblGrid>
      <w:tr w:rsidR="00961092" w:rsidRPr="00071BED" w14:paraId="75AFD0B7" w14:textId="77777777" w:rsidTr="18EEF44A">
        <w:tc>
          <w:tcPr>
            <w:tcW w:w="2480" w:type="dxa"/>
          </w:tcPr>
          <w:p w14:paraId="04DBA716" w14:textId="77777777" w:rsidR="00961092" w:rsidRPr="00CB5C77" w:rsidRDefault="00961092" w:rsidP="00134A31">
            <w:pPr>
              <w:rPr>
                <w:b/>
                <w:bCs/>
                <w:highlight w:val="yellow"/>
              </w:rPr>
            </w:pPr>
          </w:p>
        </w:tc>
        <w:tc>
          <w:tcPr>
            <w:tcW w:w="12908" w:type="dxa"/>
            <w:gridSpan w:val="4"/>
            <w:shd w:val="clear" w:color="auto" w:fill="auto"/>
          </w:tcPr>
          <w:p w14:paraId="01FD83A4" w14:textId="59AFBE09" w:rsidR="00961092" w:rsidRPr="00CB5C77" w:rsidRDefault="00961092" w:rsidP="00E14CB9">
            <w:pPr>
              <w:rPr>
                <w:b/>
                <w:bCs/>
                <w:highlight w:val="yellow"/>
              </w:rPr>
            </w:pPr>
            <w:r w:rsidRPr="00CB5C77">
              <w:rPr>
                <w:b/>
                <w:bCs/>
                <w:highlight w:val="yellow"/>
              </w:rPr>
              <w:t xml:space="preserve">Key concepts: </w:t>
            </w:r>
            <w:r w:rsidR="00E14CB9">
              <w:rPr>
                <w:bCs/>
              </w:rPr>
              <w:t xml:space="preserve">To </w:t>
            </w:r>
            <w:r w:rsidR="00E14CB9">
              <w:t xml:space="preserve">gain an aural knowledge of some of the great musical output of human civilisation. To engage with creative processes through improvisation and composition. To build an understanding of how musical elements work and discuss how these interact with subjective and objective models of musical meaning. To develop knowledge of a wider range of notes and improve fluency in music notation. </w:t>
            </w:r>
          </w:p>
        </w:tc>
      </w:tr>
      <w:tr w:rsidR="00961092" w:rsidRPr="00071BED" w14:paraId="22DBB27A" w14:textId="77777777" w:rsidTr="18EEF44A">
        <w:tc>
          <w:tcPr>
            <w:tcW w:w="2480" w:type="dxa"/>
            <w:shd w:val="clear" w:color="auto" w:fill="FFF2CC" w:themeFill="accent4" w:themeFillTint="33"/>
          </w:tcPr>
          <w:p w14:paraId="6133AA2A" w14:textId="77777777" w:rsidR="00961092" w:rsidRPr="00071BED" w:rsidRDefault="00961092" w:rsidP="00DA66ED">
            <w:pPr>
              <w:jc w:val="center"/>
              <w:rPr>
                <w:b/>
                <w:bCs/>
              </w:rPr>
            </w:pPr>
          </w:p>
        </w:tc>
        <w:tc>
          <w:tcPr>
            <w:tcW w:w="3227" w:type="dxa"/>
            <w:shd w:val="clear" w:color="auto" w:fill="FFF2CC" w:themeFill="accent4" w:themeFillTint="33"/>
          </w:tcPr>
          <w:p w14:paraId="139EB772" w14:textId="342D9D21" w:rsidR="00961092" w:rsidRPr="00071BED" w:rsidRDefault="340CAECC" w:rsidP="18EEF44A">
            <w:pPr>
              <w:jc w:val="center"/>
              <w:rPr>
                <w:b/>
                <w:bCs/>
              </w:rPr>
            </w:pPr>
            <w:r w:rsidRPr="18EEF44A">
              <w:rPr>
                <w:b/>
                <w:bCs/>
              </w:rPr>
              <w:t>Acquiring</w:t>
            </w:r>
          </w:p>
          <w:p w14:paraId="4AF03C19" w14:textId="77777777" w:rsidR="00961092" w:rsidRPr="00071BED" w:rsidRDefault="00961092" w:rsidP="00DA66ED">
            <w:pPr>
              <w:jc w:val="center"/>
              <w:rPr>
                <w:i/>
                <w:iCs/>
              </w:rPr>
            </w:pPr>
            <w:r w:rsidRPr="00071BED">
              <w:rPr>
                <w:i/>
                <w:iCs/>
              </w:rPr>
              <w:t>Working to consolidate…</w:t>
            </w:r>
          </w:p>
        </w:tc>
        <w:tc>
          <w:tcPr>
            <w:tcW w:w="3234" w:type="dxa"/>
            <w:shd w:val="clear" w:color="auto" w:fill="C5E0B3" w:themeFill="accent6" w:themeFillTint="66"/>
          </w:tcPr>
          <w:p w14:paraId="7D3E60F2" w14:textId="77777777" w:rsidR="00961092" w:rsidRPr="00071BED" w:rsidRDefault="00961092" w:rsidP="00DA66ED">
            <w:pPr>
              <w:jc w:val="center"/>
              <w:rPr>
                <w:b/>
                <w:bCs/>
              </w:rPr>
            </w:pPr>
            <w:r w:rsidRPr="00071BED">
              <w:rPr>
                <w:b/>
                <w:bCs/>
              </w:rPr>
              <w:t>Developing</w:t>
            </w:r>
          </w:p>
          <w:p w14:paraId="5D1A2A42" w14:textId="77777777" w:rsidR="00961092" w:rsidRPr="00071BED" w:rsidRDefault="00961092" w:rsidP="00DA66ED">
            <w:pPr>
              <w:jc w:val="center"/>
              <w:rPr>
                <w:i/>
                <w:iCs/>
              </w:rPr>
            </w:pPr>
            <w:r w:rsidRPr="00071BED">
              <w:rPr>
                <w:i/>
                <w:iCs/>
              </w:rPr>
              <w:t>Working towards…</w:t>
            </w:r>
          </w:p>
        </w:tc>
        <w:tc>
          <w:tcPr>
            <w:tcW w:w="3234" w:type="dxa"/>
            <w:shd w:val="clear" w:color="auto" w:fill="85BD5F"/>
          </w:tcPr>
          <w:p w14:paraId="4FD41A0A" w14:textId="77777777" w:rsidR="00961092" w:rsidRPr="00071BED" w:rsidRDefault="00961092" w:rsidP="00DA66ED">
            <w:pPr>
              <w:jc w:val="center"/>
              <w:rPr>
                <w:b/>
                <w:bCs/>
              </w:rPr>
            </w:pPr>
            <w:r w:rsidRPr="00071BED">
              <w:rPr>
                <w:b/>
                <w:bCs/>
              </w:rPr>
              <w:t>Securing</w:t>
            </w:r>
          </w:p>
          <w:p w14:paraId="16F7D956" w14:textId="77777777" w:rsidR="00961092" w:rsidRPr="00071BED" w:rsidRDefault="00961092" w:rsidP="00DA66ED">
            <w:pPr>
              <w:jc w:val="center"/>
              <w:rPr>
                <w:i/>
                <w:iCs/>
              </w:rPr>
            </w:pPr>
            <w:r w:rsidRPr="00071BED">
              <w:rPr>
                <w:i/>
                <w:iCs/>
              </w:rPr>
              <w:t>Working at…</w:t>
            </w:r>
          </w:p>
        </w:tc>
        <w:tc>
          <w:tcPr>
            <w:tcW w:w="3213" w:type="dxa"/>
            <w:shd w:val="clear" w:color="auto" w:fill="5B9BD5" w:themeFill="accent5"/>
          </w:tcPr>
          <w:p w14:paraId="3D597AB4" w14:textId="262D9534" w:rsidR="00961092" w:rsidRPr="00071BED" w:rsidRDefault="00961092" w:rsidP="00DA66ED">
            <w:pPr>
              <w:jc w:val="center"/>
              <w:rPr>
                <w:i/>
                <w:iCs/>
              </w:rPr>
            </w:pPr>
            <w:r>
              <w:rPr>
                <w:b/>
                <w:bCs/>
              </w:rPr>
              <w:t>Extending</w:t>
            </w:r>
          </w:p>
          <w:p w14:paraId="2CC529A7" w14:textId="77777777" w:rsidR="00961092" w:rsidRPr="00071BED" w:rsidRDefault="00961092" w:rsidP="00DA66ED">
            <w:pPr>
              <w:jc w:val="center"/>
              <w:rPr>
                <w:i/>
                <w:iCs/>
              </w:rPr>
            </w:pPr>
            <w:r w:rsidRPr="00071BED">
              <w:rPr>
                <w:i/>
                <w:iCs/>
              </w:rPr>
              <w:t>Working above…</w:t>
            </w:r>
          </w:p>
        </w:tc>
      </w:tr>
      <w:tr w:rsidR="00961092" w:rsidRPr="00071BED" w14:paraId="16431E7E" w14:textId="77777777" w:rsidTr="18EEF44A">
        <w:trPr>
          <w:trHeight w:val="567"/>
        </w:trPr>
        <w:tc>
          <w:tcPr>
            <w:tcW w:w="2480" w:type="dxa"/>
            <w:shd w:val="clear" w:color="auto" w:fill="FFFDF7"/>
          </w:tcPr>
          <w:p w14:paraId="2DFD29F7" w14:textId="2804813D" w:rsidR="00961092" w:rsidRDefault="00961092" w:rsidP="00DA66ED">
            <w:bookmarkStart w:id="0" w:name="_GoBack"/>
            <w:bookmarkEnd w:id="0"/>
            <w:r>
              <w:t>Listening</w:t>
            </w:r>
          </w:p>
        </w:tc>
        <w:tc>
          <w:tcPr>
            <w:tcW w:w="3227" w:type="dxa"/>
            <w:shd w:val="clear" w:color="auto" w:fill="FFFDF7"/>
          </w:tcPr>
          <w:p w14:paraId="715489B7" w14:textId="0A421E91" w:rsidR="00961092" w:rsidRPr="00961092" w:rsidRDefault="00961092" w:rsidP="00961092">
            <w:r>
              <w:t xml:space="preserve">Beginning to use some musical vocabulary to analyse pieces of music </w:t>
            </w:r>
          </w:p>
        </w:tc>
        <w:tc>
          <w:tcPr>
            <w:tcW w:w="3234" w:type="dxa"/>
            <w:shd w:val="clear" w:color="auto" w:fill="E2EFD9" w:themeFill="accent6" w:themeFillTint="33"/>
          </w:tcPr>
          <w:p w14:paraId="533413A3" w14:textId="1EAD9776" w:rsidR="00961092" w:rsidRDefault="00961092" w:rsidP="00961092">
            <w:r>
              <w:t>Applying musical vocabulary including some Italian terms linked to the elements of music to analyse pieces of music</w:t>
            </w:r>
          </w:p>
        </w:tc>
        <w:tc>
          <w:tcPr>
            <w:tcW w:w="3234" w:type="dxa"/>
            <w:shd w:val="clear" w:color="auto" w:fill="A8D08D" w:themeFill="accent6" w:themeFillTint="99"/>
          </w:tcPr>
          <w:p w14:paraId="0FE22C42" w14:textId="3BA7D610" w:rsidR="00961092" w:rsidRDefault="00961092" w:rsidP="00961092">
            <w:r>
              <w:t>Accurately applying musical vocabulary including a range of Italian terms linked to the elements of music to analyse pieces of music</w:t>
            </w:r>
          </w:p>
        </w:tc>
        <w:tc>
          <w:tcPr>
            <w:tcW w:w="3213" w:type="dxa"/>
            <w:shd w:val="clear" w:color="auto" w:fill="BDD6EE" w:themeFill="accent5" w:themeFillTint="66"/>
          </w:tcPr>
          <w:p w14:paraId="72C8A3DC" w14:textId="788D7198" w:rsidR="00961092" w:rsidRDefault="00961092" w:rsidP="00961092">
            <w:r>
              <w:t>Confidently and accurately applying musical vocabulary including a wide range of Italian terms linked to the elements of music to analyse pieces of music</w:t>
            </w:r>
          </w:p>
        </w:tc>
      </w:tr>
      <w:tr w:rsidR="00961092" w:rsidRPr="00071BED" w14:paraId="38D7646D" w14:textId="77777777" w:rsidTr="18EEF44A">
        <w:trPr>
          <w:trHeight w:val="567"/>
        </w:trPr>
        <w:tc>
          <w:tcPr>
            <w:tcW w:w="2480" w:type="dxa"/>
            <w:shd w:val="clear" w:color="auto" w:fill="FFFDF7"/>
          </w:tcPr>
          <w:p w14:paraId="7C32370E" w14:textId="7D183E20" w:rsidR="00961092" w:rsidRDefault="00961092" w:rsidP="00DA66ED">
            <w:r>
              <w:t>Appraising</w:t>
            </w:r>
          </w:p>
        </w:tc>
        <w:tc>
          <w:tcPr>
            <w:tcW w:w="3227" w:type="dxa"/>
            <w:shd w:val="clear" w:color="auto" w:fill="FFFDF7"/>
          </w:tcPr>
          <w:p w14:paraId="0AAECD6F" w14:textId="730C3A2B" w:rsidR="00961092" w:rsidRPr="00071BED" w:rsidRDefault="00961092" w:rsidP="00DA66ED">
            <w:r>
              <w:t xml:space="preserve">Describe what went well and what could be improved using some musical vocabulary </w:t>
            </w:r>
          </w:p>
        </w:tc>
        <w:tc>
          <w:tcPr>
            <w:tcW w:w="3234" w:type="dxa"/>
            <w:shd w:val="clear" w:color="auto" w:fill="E2EFD9" w:themeFill="accent6" w:themeFillTint="33"/>
          </w:tcPr>
          <w:p w14:paraId="6F0BCB80" w14:textId="038A7241" w:rsidR="00961092" w:rsidRPr="00071BED" w:rsidRDefault="00961092" w:rsidP="00961092">
            <w:r>
              <w:t xml:space="preserve">Describe what went well and what could be improved using musical vocabulary and </w:t>
            </w:r>
            <w:r w:rsidR="00FC14E5">
              <w:t xml:space="preserve">some </w:t>
            </w:r>
            <w:r>
              <w:t>Italian terms</w:t>
            </w:r>
          </w:p>
        </w:tc>
        <w:tc>
          <w:tcPr>
            <w:tcW w:w="3234" w:type="dxa"/>
            <w:shd w:val="clear" w:color="auto" w:fill="A8D08D" w:themeFill="accent6" w:themeFillTint="99"/>
          </w:tcPr>
          <w:p w14:paraId="328AE5D6" w14:textId="3001F798" w:rsidR="00961092" w:rsidRPr="00071BED" w:rsidRDefault="00FC14E5" w:rsidP="00FC14E5">
            <w:r>
              <w:t>Analyse the strengths and improvements of a performance accurately using musical vocabulary including a range of Italian terms</w:t>
            </w:r>
          </w:p>
        </w:tc>
        <w:tc>
          <w:tcPr>
            <w:tcW w:w="3213" w:type="dxa"/>
            <w:shd w:val="clear" w:color="auto" w:fill="BDD6EE" w:themeFill="accent5" w:themeFillTint="66"/>
          </w:tcPr>
          <w:p w14:paraId="15A011CB" w14:textId="767767C7" w:rsidR="00FC14E5" w:rsidRPr="00071BED" w:rsidRDefault="00FC14E5" w:rsidP="00DA66ED">
            <w:r>
              <w:t xml:space="preserve">Closely analyse in detail the strengths and improvements of a performance accurately using musical vocabulary including a wide range of Italian terms </w:t>
            </w:r>
          </w:p>
        </w:tc>
      </w:tr>
      <w:tr w:rsidR="00961092" w:rsidRPr="00071BED" w14:paraId="77933BB3" w14:textId="77777777" w:rsidTr="18EEF44A">
        <w:trPr>
          <w:trHeight w:val="567"/>
        </w:trPr>
        <w:tc>
          <w:tcPr>
            <w:tcW w:w="2480" w:type="dxa"/>
            <w:shd w:val="clear" w:color="auto" w:fill="FFFDF7"/>
          </w:tcPr>
          <w:p w14:paraId="49EB084E" w14:textId="16474A95" w:rsidR="00961092" w:rsidRDefault="00961092" w:rsidP="00DA66ED">
            <w:r>
              <w:t xml:space="preserve">Composing </w:t>
            </w:r>
          </w:p>
        </w:tc>
        <w:tc>
          <w:tcPr>
            <w:tcW w:w="3227" w:type="dxa"/>
            <w:shd w:val="clear" w:color="auto" w:fill="FFFDF7"/>
          </w:tcPr>
          <w:p w14:paraId="08841551" w14:textId="60B2D625" w:rsidR="00961092" w:rsidRPr="00071BED" w:rsidRDefault="00961092" w:rsidP="00FC14E5">
            <w:r>
              <w:t xml:space="preserve">Compose </w:t>
            </w:r>
            <w:r w:rsidR="00FC14E5">
              <w:t xml:space="preserve">a simple structured piece </w:t>
            </w:r>
            <w:r>
              <w:t>using basic rhythmic notation</w:t>
            </w:r>
            <w:r w:rsidR="00FC14E5">
              <w:t xml:space="preserve"> </w:t>
            </w:r>
          </w:p>
        </w:tc>
        <w:tc>
          <w:tcPr>
            <w:tcW w:w="3234" w:type="dxa"/>
            <w:shd w:val="clear" w:color="auto" w:fill="E2EFD9" w:themeFill="accent6" w:themeFillTint="33"/>
          </w:tcPr>
          <w:p w14:paraId="4E327235" w14:textId="2B35AEC1" w:rsidR="00961092" w:rsidRPr="00071BED" w:rsidRDefault="00961092" w:rsidP="00FC14E5">
            <w:r>
              <w:t xml:space="preserve">Compose </w:t>
            </w:r>
            <w:r w:rsidR="00FC14E5">
              <w:t xml:space="preserve">a structured piece accurately </w:t>
            </w:r>
            <w:r>
              <w:t xml:space="preserve">using rhythmic notation </w:t>
            </w:r>
            <w:r w:rsidR="00FC14E5">
              <w:t xml:space="preserve">and beginning to include different pitches </w:t>
            </w:r>
          </w:p>
        </w:tc>
        <w:tc>
          <w:tcPr>
            <w:tcW w:w="3234" w:type="dxa"/>
            <w:shd w:val="clear" w:color="auto" w:fill="A8D08D" w:themeFill="accent6" w:themeFillTint="99"/>
          </w:tcPr>
          <w:p w14:paraId="0054346C" w14:textId="158FA683" w:rsidR="00961092" w:rsidRPr="00071BED" w:rsidRDefault="00961092" w:rsidP="00CA198E">
            <w:r>
              <w:t xml:space="preserve">Compose </w:t>
            </w:r>
            <w:r w:rsidR="00FC14E5">
              <w:t xml:space="preserve">a well-structured piece </w:t>
            </w:r>
            <w:r>
              <w:t>accurately using pitch and rhythmic notation</w:t>
            </w:r>
            <w:r w:rsidR="00FC14E5">
              <w:t xml:space="preserve"> with some dynamics and tempo markings </w:t>
            </w:r>
          </w:p>
        </w:tc>
        <w:tc>
          <w:tcPr>
            <w:tcW w:w="3213" w:type="dxa"/>
            <w:shd w:val="clear" w:color="auto" w:fill="BDD6EE" w:themeFill="accent5" w:themeFillTint="66"/>
          </w:tcPr>
          <w:p w14:paraId="396BCC8E" w14:textId="0BD41E9E" w:rsidR="00961092" w:rsidRPr="00071BED" w:rsidRDefault="00961092" w:rsidP="00961092">
            <w:r>
              <w:t>Compose</w:t>
            </w:r>
            <w:r w:rsidR="00FC14E5">
              <w:t xml:space="preserve"> a well-structured piece</w:t>
            </w:r>
            <w:r>
              <w:t xml:space="preserve"> accurately using pitch, rhythmic notation, dynamics and tempo </w:t>
            </w:r>
          </w:p>
        </w:tc>
      </w:tr>
      <w:tr w:rsidR="00961092" w:rsidRPr="00071BED" w14:paraId="61C02D86" w14:textId="77777777" w:rsidTr="18EEF44A">
        <w:trPr>
          <w:trHeight w:val="567"/>
        </w:trPr>
        <w:tc>
          <w:tcPr>
            <w:tcW w:w="2480" w:type="dxa"/>
            <w:shd w:val="clear" w:color="auto" w:fill="FFFDF7"/>
          </w:tcPr>
          <w:p w14:paraId="1ED3CF8C" w14:textId="4EFA8F71" w:rsidR="00961092" w:rsidRDefault="00961092" w:rsidP="00E16F38">
            <w:r>
              <w:t>Performing</w:t>
            </w:r>
          </w:p>
        </w:tc>
        <w:tc>
          <w:tcPr>
            <w:tcW w:w="3227" w:type="dxa"/>
            <w:shd w:val="clear" w:color="auto" w:fill="FFFDF7"/>
          </w:tcPr>
          <w:p w14:paraId="7BF0A436" w14:textId="4938074F" w:rsidR="00961092" w:rsidRPr="00071BED" w:rsidRDefault="00961092" w:rsidP="00961092">
            <w:r>
              <w:t>Perform with hesitation and limited accuracy in terms of pitch, rhythm, intonation and fluency</w:t>
            </w:r>
          </w:p>
        </w:tc>
        <w:tc>
          <w:tcPr>
            <w:tcW w:w="3234" w:type="dxa"/>
            <w:shd w:val="clear" w:color="auto" w:fill="E2EFD9" w:themeFill="accent6" w:themeFillTint="33"/>
          </w:tcPr>
          <w:p w14:paraId="59D8ACF1" w14:textId="477AB329" w:rsidR="00961092" w:rsidRPr="00071BED" w:rsidRDefault="00961092" w:rsidP="00961092">
            <w:r>
              <w:t>Perform with confidence but limited accuracy in terms of pitch, rhythm, intonation and fluency</w:t>
            </w:r>
          </w:p>
        </w:tc>
        <w:tc>
          <w:tcPr>
            <w:tcW w:w="3234" w:type="dxa"/>
            <w:shd w:val="clear" w:color="auto" w:fill="A8D08D" w:themeFill="accent6" w:themeFillTint="99"/>
          </w:tcPr>
          <w:p w14:paraId="686F872B" w14:textId="09D510DB" w:rsidR="00961092" w:rsidRPr="00071BED" w:rsidRDefault="00961092" w:rsidP="00961092">
            <w:r>
              <w:t>Perform generally accurately in terms of pitch, rhythm, intonation and fluency</w:t>
            </w:r>
          </w:p>
        </w:tc>
        <w:tc>
          <w:tcPr>
            <w:tcW w:w="3213" w:type="dxa"/>
            <w:shd w:val="clear" w:color="auto" w:fill="BDD6EE" w:themeFill="accent5" w:themeFillTint="66"/>
          </w:tcPr>
          <w:p w14:paraId="19A172DC" w14:textId="035666AF" w:rsidR="00961092" w:rsidRPr="00071BED" w:rsidRDefault="00961092" w:rsidP="00961092">
            <w:r>
              <w:t xml:space="preserve">Perform with high levels of accuracy, pitch, rhythm, intonation and fluency </w:t>
            </w:r>
          </w:p>
        </w:tc>
      </w:tr>
    </w:tbl>
    <w:p w14:paraId="3CC7536F" w14:textId="3DC1B7DE" w:rsidR="00E163DF" w:rsidRDefault="00E163DF" w:rsidP="00FE7818">
      <w:pPr>
        <w:rPr>
          <w:sz w:val="24"/>
          <w:szCs w:val="24"/>
        </w:rPr>
      </w:pPr>
    </w:p>
    <w:p w14:paraId="4BB7A088" w14:textId="5E9655EC" w:rsidR="00632199" w:rsidRDefault="00632199" w:rsidP="00FE7818">
      <w:pPr>
        <w:rPr>
          <w:sz w:val="24"/>
          <w:szCs w:val="24"/>
        </w:rPr>
      </w:pPr>
    </w:p>
    <w:p w14:paraId="486B3ABE" w14:textId="54B9561A" w:rsidR="00632199" w:rsidRDefault="00632199" w:rsidP="00FE7818">
      <w:pPr>
        <w:rPr>
          <w:sz w:val="24"/>
          <w:szCs w:val="24"/>
        </w:rPr>
      </w:pPr>
    </w:p>
    <w:p w14:paraId="6528FD6F" w14:textId="77777777" w:rsidR="00632199" w:rsidRDefault="00632199" w:rsidP="00FE7818">
      <w:pPr>
        <w:rPr>
          <w:sz w:val="24"/>
          <w:szCs w:val="24"/>
        </w:rPr>
      </w:pPr>
    </w:p>
    <w:sectPr w:rsidR="00632199" w:rsidSect="00FE78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818"/>
    <w:rsid w:val="00010050"/>
    <w:rsid w:val="0001047A"/>
    <w:rsid w:val="0001349E"/>
    <w:rsid w:val="00033BB7"/>
    <w:rsid w:val="0004494F"/>
    <w:rsid w:val="0005266B"/>
    <w:rsid w:val="0006368E"/>
    <w:rsid w:val="00071BED"/>
    <w:rsid w:val="00087302"/>
    <w:rsid w:val="00093149"/>
    <w:rsid w:val="000A2701"/>
    <w:rsid w:val="000B5BB7"/>
    <w:rsid w:val="000C1DE1"/>
    <w:rsid w:val="000C706D"/>
    <w:rsid w:val="000D1C92"/>
    <w:rsid w:val="000D4E40"/>
    <w:rsid w:val="000E5090"/>
    <w:rsid w:val="00103481"/>
    <w:rsid w:val="0012509B"/>
    <w:rsid w:val="00134A31"/>
    <w:rsid w:val="00143FAC"/>
    <w:rsid w:val="00154BFE"/>
    <w:rsid w:val="0017656F"/>
    <w:rsid w:val="001A05C2"/>
    <w:rsid w:val="001C4B80"/>
    <w:rsid w:val="001D36DE"/>
    <w:rsid w:val="001E5AF3"/>
    <w:rsid w:val="001E6415"/>
    <w:rsid w:val="001E7D9E"/>
    <w:rsid w:val="001F559D"/>
    <w:rsid w:val="00204B30"/>
    <w:rsid w:val="002149C5"/>
    <w:rsid w:val="00216276"/>
    <w:rsid w:val="002221C8"/>
    <w:rsid w:val="00263649"/>
    <w:rsid w:val="0027452E"/>
    <w:rsid w:val="002A2B3F"/>
    <w:rsid w:val="002B7DCD"/>
    <w:rsid w:val="002D11E8"/>
    <w:rsid w:val="002D76B4"/>
    <w:rsid w:val="00301DAC"/>
    <w:rsid w:val="00303783"/>
    <w:rsid w:val="00305D55"/>
    <w:rsid w:val="00323621"/>
    <w:rsid w:val="00336106"/>
    <w:rsid w:val="003503C9"/>
    <w:rsid w:val="00360606"/>
    <w:rsid w:val="00365789"/>
    <w:rsid w:val="00386CDF"/>
    <w:rsid w:val="003879CF"/>
    <w:rsid w:val="00394633"/>
    <w:rsid w:val="003A34A8"/>
    <w:rsid w:val="003A466A"/>
    <w:rsid w:val="003A46A9"/>
    <w:rsid w:val="003B25EE"/>
    <w:rsid w:val="003B3BB8"/>
    <w:rsid w:val="003C5694"/>
    <w:rsid w:val="003E1209"/>
    <w:rsid w:val="003F177F"/>
    <w:rsid w:val="004100C3"/>
    <w:rsid w:val="004345D4"/>
    <w:rsid w:val="00457643"/>
    <w:rsid w:val="00475CDF"/>
    <w:rsid w:val="00486F44"/>
    <w:rsid w:val="00493DE1"/>
    <w:rsid w:val="004A00D7"/>
    <w:rsid w:val="004A7002"/>
    <w:rsid w:val="004C044B"/>
    <w:rsid w:val="004D1967"/>
    <w:rsid w:val="004E7587"/>
    <w:rsid w:val="005071B4"/>
    <w:rsid w:val="00526D2F"/>
    <w:rsid w:val="00540844"/>
    <w:rsid w:val="00554890"/>
    <w:rsid w:val="00561B0B"/>
    <w:rsid w:val="005832DF"/>
    <w:rsid w:val="00590A83"/>
    <w:rsid w:val="005A2E9B"/>
    <w:rsid w:val="005B64D1"/>
    <w:rsid w:val="005D2BF3"/>
    <w:rsid w:val="005E779A"/>
    <w:rsid w:val="00612852"/>
    <w:rsid w:val="00630483"/>
    <w:rsid w:val="00632199"/>
    <w:rsid w:val="00637344"/>
    <w:rsid w:val="006432F8"/>
    <w:rsid w:val="00644312"/>
    <w:rsid w:val="006520EE"/>
    <w:rsid w:val="006636B8"/>
    <w:rsid w:val="00671F3A"/>
    <w:rsid w:val="00672CD2"/>
    <w:rsid w:val="006760D4"/>
    <w:rsid w:val="006A7E72"/>
    <w:rsid w:val="006B2D64"/>
    <w:rsid w:val="006B4149"/>
    <w:rsid w:val="006E184C"/>
    <w:rsid w:val="00700BC5"/>
    <w:rsid w:val="00705541"/>
    <w:rsid w:val="00720B71"/>
    <w:rsid w:val="00721019"/>
    <w:rsid w:val="00756BA2"/>
    <w:rsid w:val="00764886"/>
    <w:rsid w:val="0076522D"/>
    <w:rsid w:val="007943AB"/>
    <w:rsid w:val="007A6688"/>
    <w:rsid w:val="007A7189"/>
    <w:rsid w:val="007C23A3"/>
    <w:rsid w:val="007D5382"/>
    <w:rsid w:val="007D58EA"/>
    <w:rsid w:val="007F1894"/>
    <w:rsid w:val="007F2712"/>
    <w:rsid w:val="00801A14"/>
    <w:rsid w:val="00801A86"/>
    <w:rsid w:val="008031C3"/>
    <w:rsid w:val="008266FC"/>
    <w:rsid w:val="0083683A"/>
    <w:rsid w:val="008411AE"/>
    <w:rsid w:val="008431C2"/>
    <w:rsid w:val="0084448F"/>
    <w:rsid w:val="00856779"/>
    <w:rsid w:val="00857816"/>
    <w:rsid w:val="008702F8"/>
    <w:rsid w:val="00886382"/>
    <w:rsid w:val="00897095"/>
    <w:rsid w:val="00897A4D"/>
    <w:rsid w:val="008A7956"/>
    <w:rsid w:val="008B497A"/>
    <w:rsid w:val="008B5B10"/>
    <w:rsid w:val="008B74D9"/>
    <w:rsid w:val="008E23E0"/>
    <w:rsid w:val="008E3891"/>
    <w:rsid w:val="008F293A"/>
    <w:rsid w:val="00911385"/>
    <w:rsid w:val="009147AA"/>
    <w:rsid w:val="009174EE"/>
    <w:rsid w:val="00922D79"/>
    <w:rsid w:val="009245A7"/>
    <w:rsid w:val="009440A9"/>
    <w:rsid w:val="0095702B"/>
    <w:rsid w:val="00961092"/>
    <w:rsid w:val="009859D2"/>
    <w:rsid w:val="009A5B6D"/>
    <w:rsid w:val="009B1CD2"/>
    <w:rsid w:val="009B77E3"/>
    <w:rsid w:val="009C19DB"/>
    <w:rsid w:val="009C21ED"/>
    <w:rsid w:val="009C298B"/>
    <w:rsid w:val="009C6D7B"/>
    <w:rsid w:val="009D39B0"/>
    <w:rsid w:val="009D4A2A"/>
    <w:rsid w:val="009E0AD6"/>
    <w:rsid w:val="009F08A0"/>
    <w:rsid w:val="009F3BA6"/>
    <w:rsid w:val="00A12853"/>
    <w:rsid w:val="00A17EDC"/>
    <w:rsid w:val="00A205F0"/>
    <w:rsid w:val="00A25B56"/>
    <w:rsid w:val="00A4026E"/>
    <w:rsid w:val="00A55D41"/>
    <w:rsid w:val="00A63E6E"/>
    <w:rsid w:val="00A64120"/>
    <w:rsid w:val="00A809F0"/>
    <w:rsid w:val="00A84F37"/>
    <w:rsid w:val="00A93157"/>
    <w:rsid w:val="00A938B5"/>
    <w:rsid w:val="00A95B26"/>
    <w:rsid w:val="00A97F37"/>
    <w:rsid w:val="00AC3E04"/>
    <w:rsid w:val="00AC6998"/>
    <w:rsid w:val="00AC70FF"/>
    <w:rsid w:val="00AD1AB4"/>
    <w:rsid w:val="00AE459B"/>
    <w:rsid w:val="00AF18F2"/>
    <w:rsid w:val="00B20B61"/>
    <w:rsid w:val="00B2496A"/>
    <w:rsid w:val="00B3673C"/>
    <w:rsid w:val="00B53BDA"/>
    <w:rsid w:val="00B56B3C"/>
    <w:rsid w:val="00B65FC3"/>
    <w:rsid w:val="00B73595"/>
    <w:rsid w:val="00B74C2E"/>
    <w:rsid w:val="00B74CED"/>
    <w:rsid w:val="00B8227B"/>
    <w:rsid w:val="00B82C05"/>
    <w:rsid w:val="00B94CC1"/>
    <w:rsid w:val="00B968E6"/>
    <w:rsid w:val="00B96F70"/>
    <w:rsid w:val="00BB46D6"/>
    <w:rsid w:val="00BC253E"/>
    <w:rsid w:val="00BC3C8B"/>
    <w:rsid w:val="00BD370B"/>
    <w:rsid w:val="00BE64E5"/>
    <w:rsid w:val="00BF39F0"/>
    <w:rsid w:val="00C009AE"/>
    <w:rsid w:val="00C079FB"/>
    <w:rsid w:val="00C1466B"/>
    <w:rsid w:val="00C44F03"/>
    <w:rsid w:val="00C4671E"/>
    <w:rsid w:val="00C62BA4"/>
    <w:rsid w:val="00C706DB"/>
    <w:rsid w:val="00C74F51"/>
    <w:rsid w:val="00C87E6D"/>
    <w:rsid w:val="00CA198E"/>
    <w:rsid w:val="00CA1A0A"/>
    <w:rsid w:val="00CB5C77"/>
    <w:rsid w:val="00CC73BC"/>
    <w:rsid w:val="00CD49A0"/>
    <w:rsid w:val="00CE3C92"/>
    <w:rsid w:val="00CE528F"/>
    <w:rsid w:val="00CF38D9"/>
    <w:rsid w:val="00D0677F"/>
    <w:rsid w:val="00D355EA"/>
    <w:rsid w:val="00D42892"/>
    <w:rsid w:val="00D42D37"/>
    <w:rsid w:val="00D4319E"/>
    <w:rsid w:val="00D543EA"/>
    <w:rsid w:val="00D6672C"/>
    <w:rsid w:val="00D7268C"/>
    <w:rsid w:val="00D7277E"/>
    <w:rsid w:val="00D76F62"/>
    <w:rsid w:val="00D901B7"/>
    <w:rsid w:val="00DA2466"/>
    <w:rsid w:val="00DA2974"/>
    <w:rsid w:val="00DA2D65"/>
    <w:rsid w:val="00DD4966"/>
    <w:rsid w:val="00DD5D28"/>
    <w:rsid w:val="00DE3AB7"/>
    <w:rsid w:val="00DF0A1A"/>
    <w:rsid w:val="00DF18B3"/>
    <w:rsid w:val="00E05E35"/>
    <w:rsid w:val="00E05E9F"/>
    <w:rsid w:val="00E14CB9"/>
    <w:rsid w:val="00E163DF"/>
    <w:rsid w:val="00E16F38"/>
    <w:rsid w:val="00E23BDD"/>
    <w:rsid w:val="00E30FD9"/>
    <w:rsid w:val="00E315C6"/>
    <w:rsid w:val="00E31C11"/>
    <w:rsid w:val="00E355AE"/>
    <w:rsid w:val="00E464FE"/>
    <w:rsid w:val="00E52BA1"/>
    <w:rsid w:val="00E62050"/>
    <w:rsid w:val="00E629B9"/>
    <w:rsid w:val="00E80B65"/>
    <w:rsid w:val="00EB5029"/>
    <w:rsid w:val="00EB6EB1"/>
    <w:rsid w:val="00ED17A3"/>
    <w:rsid w:val="00EF11FA"/>
    <w:rsid w:val="00EF62D6"/>
    <w:rsid w:val="00F067EA"/>
    <w:rsid w:val="00F53ADD"/>
    <w:rsid w:val="00F54199"/>
    <w:rsid w:val="00F606FB"/>
    <w:rsid w:val="00F63210"/>
    <w:rsid w:val="00F66C8B"/>
    <w:rsid w:val="00F70170"/>
    <w:rsid w:val="00F84A8F"/>
    <w:rsid w:val="00F85BA2"/>
    <w:rsid w:val="00F8735C"/>
    <w:rsid w:val="00FB27DD"/>
    <w:rsid w:val="00FB3E62"/>
    <w:rsid w:val="00FB6E23"/>
    <w:rsid w:val="00FC14E5"/>
    <w:rsid w:val="00FC4E4B"/>
    <w:rsid w:val="00FE7818"/>
    <w:rsid w:val="00FF5786"/>
    <w:rsid w:val="0A324876"/>
    <w:rsid w:val="18EEF44A"/>
    <w:rsid w:val="340CAECC"/>
    <w:rsid w:val="3DE08611"/>
    <w:rsid w:val="6956E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3E98"/>
  <w15:chartTrackingRefBased/>
  <w15:docId w15:val="{20B80C18-4B70-4DBB-B1B5-B2E42CF1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3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576F09DCDEC4C8AF00D1639DA8DE9" ma:contentTypeVersion="5" ma:contentTypeDescription="Create a new document." ma:contentTypeScope="" ma:versionID="d08caa9a3385593d8798c2172a7be0b7">
  <xsd:schema xmlns:xsd="http://www.w3.org/2001/XMLSchema" xmlns:xs="http://www.w3.org/2001/XMLSchema" xmlns:p="http://schemas.microsoft.com/office/2006/metadata/properties" xmlns:ns2="5c40275b-f7c6-4c65-9c15-1588eff76a17" xmlns:ns3="9f94dff6-b27b-4899-9c4f-0088dd077103" targetNamespace="http://schemas.microsoft.com/office/2006/metadata/properties" ma:root="true" ma:fieldsID="d2ad3ab20cf6d858dbfa841bd005eafd" ns2:_="" ns3:_="">
    <xsd:import namespace="5c40275b-f7c6-4c65-9c15-1588eff76a17"/>
    <xsd:import namespace="9f94dff6-b27b-4899-9c4f-0088dd077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275b-f7c6-4c65-9c15-1588eff7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4dff6-b27b-4899-9c4f-0088dd077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AA413-5F90-4F58-8654-3CC7C8D41E3A}">
  <ds:schemaRefs>
    <ds:schemaRef ds:uri="http://purl.org/dc/dcmitype/"/>
    <ds:schemaRef ds:uri="http://schemas.openxmlformats.org/package/2006/metadata/core-properties"/>
    <ds:schemaRef ds:uri="http://purl.org/dc/elements/1.1/"/>
    <ds:schemaRef ds:uri="http://www.w3.org/XML/1998/namespace"/>
    <ds:schemaRef ds:uri="5c40275b-f7c6-4c65-9c15-1588eff76a17"/>
    <ds:schemaRef ds:uri="9f94dff6-b27b-4899-9c4f-0088dd077103"/>
    <ds:schemaRef ds:uri="http://purl.org/dc/term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5BFB2895-CAFA-4060-90DF-076917A33063}">
  <ds:schemaRefs>
    <ds:schemaRef ds:uri="http://schemas.microsoft.com/sharepoint/v3/contenttype/forms"/>
  </ds:schemaRefs>
</ds:datastoreItem>
</file>

<file path=customXml/itemProps3.xml><?xml version="1.0" encoding="utf-8"?>
<ds:datastoreItem xmlns:ds="http://schemas.openxmlformats.org/officeDocument/2006/customXml" ds:itemID="{AD0468F9-32F7-4322-86EC-040A271D6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275b-f7c6-4c65-9c15-1588eff76a17"/>
    <ds:schemaRef ds:uri="9f94dff6-b27b-4899-9c4f-0088dd077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Denley</dc:creator>
  <cp:keywords/>
  <dc:description/>
  <cp:lastModifiedBy>Sarah Denley</cp:lastModifiedBy>
  <cp:revision>2</cp:revision>
  <cp:lastPrinted>2021-04-12T13:06:00Z</cp:lastPrinted>
  <dcterms:created xsi:type="dcterms:W3CDTF">2024-02-19T13:58:00Z</dcterms:created>
  <dcterms:modified xsi:type="dcterms:W3CDTF">2024-02-19T13:58:00Z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0x010100CE7576F09DCDEC4C8AF00D1639DA8DE9</vt:lpwstr>
  </property>
</Properties>
</file>