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1E" w:rsidRPr="005C761E" w:rsidRDefault="005C761E" w:rsidP="005C761E">
      <w:pPr>
        <w:autoSpaceDN w:val="0"/>
        <w:spacing w:after="0" w:line="240" w:lineRule="auto"/>
        <w:rPr>
          <w:rFonts w:ascii="Calibri" w:eastAsia="Times New Roman" w:hAnsi="Calibri" w:cs="Calibri"/>
          <w:color w:val="0D0D0D"/>
          <w:lang w:eastAsia="en-GB"/>
        </w:rPr>
      </w:pPr>
      <w:bookmarkStart w:id="0" w:name="_GoBack"/>
      <w:bookmarkEnd w:id="0"/>
      <w:r w:rsidRPr="005C761E">
        <w:rPr>
          <w:rFonts w:ascii="Calibri" w:eastAsia="Times New Roman" w:hAnsi="Calibri" w:cs="Calibri"/>
          <w:color w:val="0D0D0D"/>
          <w:lang w:eastAsia="en-GB"/>
        </w:rPr>
        <w:t>Activity in this academic year</w:t>
      </w:r>
    </w:p>
    <w:p w:rsidR="005C761E" w:rsidRPr="005C761E" w:rsidRDefault="005C761E" w:rsidP="005C761E">
      <w:pPr>
        <w:keepNext/>
        <w:suppressAutoHyphens/>
        <w:autoSpaceDN w:val="0"/>
        <w:spacing w:before="360" w:after="240" w:line="240" w:lineRule="auto"/>
        <w:outlineLvl w:val="2"/>
        <w:rPr>
          <w:rFonts w:ascii="Calibri" w:eastAsia="Times New Roman" w:hAnsi="Calibri" w:cs="Calibri"/>
          <w:b/>
          <w:bCs/>
          <w:color w:val="104F75"/>
          <w:lang w:eastAsia="en-GB"/>
        </w:rPr>
      </w:pPr>
      <w:r w:rsidRPr="005C761E">
        <w:rPr>
          <w:rFonts w:ascii="Calibri" w:eastAsia="Times New Roman" w:hAnsi="Calibri" w:cs="Calibri"/>
          <w:b/>
          <w:bCs/>
          <w:color w:val="104F75"/>
          <w:lang w:eastAsia="en-GB"/>
        </w:rPr>
        <w:t>Teaching (for example, CPD, recruitment and retention) Budgeted cost: £18 660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930"/>
        <w:gridCol w:w="3627"/>
        <w:gridCol w:w="2195"/>
        <w:gridCol w:w="2536"/>
      </w:tblGrid>
      <w:tr w:rsidR="005C761E" w:rsidRPr="005C761E" w:rsidTr="005C761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Intended outcome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Activity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Cost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Evidence that supports this approach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Challenge number(s) addressed</w:t>
            </w:r>
          </w:p>
        </w:tc>
      </w:tr>
      <w:tr w:rsidR="005C761E" w:rsidRPr="005C761E" w:rsidTr="006C3066">
        <w:trPr>
          <w:trHeight w:val="7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Quality first teaching is prioritized, so that children are able to make accelerated progress from below average starting points on entry.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Additional TA in YR to support QFT in writing’ and support emotional development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£11,295 + 20% on costs = £13 660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guide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All</w:t>
            </w:r>
          </w:p>
        </w:tc>
      </w:tr>
      <w:tr w:rsidR="005C761E" w:rsidRPr="005C761E" w:rsidTr="003D16BF">
        <w:trPr>
          <w:trHeight w:val="46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CA2009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 Term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spent</w:t>
            </w: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: £13 660</w:t>
            </w:r>
          </w:p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6C2D88">
        <w:trPr>
          <w:trHeight w:val="7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Redesign English units to encourage more speaking and listening and develop a love for writing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Supply costs to release Key Stages to plan curriculum redesign = £2000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6C2D88">
        <w:trPr>
          <w:trHeight w:val="429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CA2009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Spring Term spent: £2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>000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2B276C">
        <w:trPr>
          <w:trHeight w:val="645"/>
        </w:trPr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CPD for writing across school including EFYS writing and Quality mark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£3000 professional development courses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2B276C">
        <w:trPr>
          <w:trHeight w:val="26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CA2009" w:rsidP="00CA2009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>Term</w:t>
            </w:r>
            <w:proofErr w:type="spellEnd"/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spent: £3000 – complete in March 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</w:tbl>
    <w:p w:rsidR="005C761E" w:rsidRPr="005C761E" w:rsidRDefault="005C761E" w:rsidP="005C761E">
      <w:pPr>
        <w:keepNext/>
        <w:suppressAutoHyphens/>
        <w:autoSpaceDN w:val="0"/>
        <w:spacing w:after="60" w:line="288" w:lineRule="auto"/>
        <w:outlineLvl w:val="1"/>
        <w:rPr>
          <w:rFonts w:ascii="Calibri" w:eastAsia="Times New Roman" w:hAnsi="Calibri" w:cs="Calibri"/>
          <w:color w:val="0D0D0D"/>
          <w:lang w:eastAsia="en-GB"/>
        </w:rPr>
      </w:pPr>
    </w:p>
    <w:p w:rsidR="005C761E" w:rsidRPr="005C761E" w:rsidRDefault="005C761E" w:rsidP="005C761E">
      <w:pPr>
        <w:suppressAutoHyphens/>
        <w:autoSpaceDN w:val="0"/>
        <w:spacing w:after="240" w:line="288" w:lineRule="auto"/>
        <w:rPr>
          <w:rFonts w:ascii="Calibri" w:eastAsia="Times New Roman" w:hAnsi="Calibri" w:cs="Calibri"/>
          <w:b/>
          <w:bCs/>
          <w:color w:val="104F75"/>
          <w:lang w:eastAsia="en-GB"/>
        </w:rPr>
      </w:pPr>
      <w:r w:rsidRPr="005C761E">
        <w:rPr>
          <w:rFonts w:ascii="Calibri" w:eastAsia="Times New Roman" w:hAnsi="Calibri" w:cs="Calibri"/>
          <w:b/>
          <w:bCs/>
          <w:color w:val="104F75"/>
          <w:lang w:eastAsia="en-GB"/>
        </w:rPr>
        <w:t xml:space="preserve">Targeted academic support (for example, tutoring, one-to-one support structured </w:t>
      </w:r>
      <w:proofErr w:type="gramStart"/>
      <w:r w:rsidRPr="005C761E">
        <w:rPr>
          <w:rFonts w:ascii="Calibri" w:eastAsia="Times New Roman" w:hAnsi="Calibri" w:cs="Calibri"/>
          <w:b/>
          <w:bCs/>
          <w:color w:val="104F75"/>
          <w:lang w:eastAsia="en-GB"/>
        </w:rPr>
        <w:t xml:space="preserve">interventions)  </w:t>
      </w:r>
      <w:r w:rsidRPr="005C761E">
        <w:rPr>
          <w:rFonts w:ascii="Calibri" w:eastAsia="Times New Roman" w:hAnsi="Calibri" w:cs="Calibri"/>
          <w:color w:val="0D0D0D"/>
          <w:lang w:eastAsia="en-GB"/>
        </w:rPr>
        <w:t>Budgeted</w:t>
      </w:r>
      <w:proofErr w:type="gramEnd"/>
      <w:r w:rsidRPr="005C761E">
        <w:rPr>
          <w:rFonts w:ascii="Calibri" w:eastAsia="Times New Roman" w:hAnsi="Calibri" w:cs="Calibri"/>
          <w:color w:val="0D0D0D"/>
          <w:lang w:eastAsia="en-GB"/>
        </w:rPr>
        <w:t xml:space="preserve"> cost: £52 528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2932"/>
        <w:gridCol w:w="3622"/>
        <w:gridCol w:w="2196"/>
        <w:gridCol w:w="2537"/>
      </w:tblGrid>
      <w:tr w:rsidR="005C761E" w:rsidRPr="005C761E" w:rsidTr="005C761E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Intended outcome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Activity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Cost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Evidence that supports this approach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Challenge number(s) addressed</w:t>
            </w:r>
          </w:p>
        </w:tc>
      </w:tr>
      <w:tr w:rsidR="005C761E" w:rsidRPr="005C761E" w:rsidTr="005C761E">
        <w:tc>
          <w:tcPr>
            <w:tcW w:w="26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Attainment data at end of KS2 show that PPG children are in line with </w:t>
            </w: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>national for writing and enter secondary school with their national attainment gap having been narrowed towards national average thus setting up for future success.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 xml:space="preserve">HLTA and TA2 to work with small group and 1-1 with PPG </w:t>
            </w: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 xml:space="preserve">children as part of school led interventions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>£17 000</w:t>
            </w:r>
          </w:p>
          <w:p w:rsidR="005C761E" w:rsidRPr="005C761E" w:rsidRDefault="00CA2009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 Term spent: £17 0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guidance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1</w:t>
            </w:r>
          </w:p>
        </w:tc>
      </w:tr>
      <w:tr w:rsidR="005C761E" w:rsidRPr="005C761E" w:rsidTr="007B3B58">
        <w:trPr>
          <w:trHeight w:val="108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i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i/>
                <w:color w:val="0D0D0D"/>
                <w:lang w:eastAsia="en-GB"/>
              </w:rPr>
              <w:lastRenderedPageBreak/>
              <w:t>Attainment data at the end of KS1 shows that PPG children are in line with national for writing and have a  love writing for writing ready for KS2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TA2 to work with small groups on talk for writing.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£15 000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guidance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1</w:t>
            </w:r>
          </w:p>
        </w:tc>
      </w:tr>
      <w:tr w:rsidR="005C761E" w:rsidRPr="005C761E" w:rsidTr="007B3B58">
        <w:trPr>
          <w:trHeight w:val="645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i/>
                <w:color w:val="0D0D0D"/>
                <w:lang w:eastAsia="en-GB"/>
              </w:rPr>
            </w:pPr>
          </w:p>
        </w:tc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CA2009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SummerTerm</w:t>
            </w:r>
            <w:proofErr w:type="spellEnd"/>
            <w:r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spent: £10 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>000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CB64CE">
        <w:trPr>
          <w:trHeight w:val="238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i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Pupils with SEN are provided with specific, appropriate provision to meet their needs, based on a thorough and accurate assessment of strengths and delivery of proven intervention strategies, by teachers who are trained and informed in these specified needs 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Provision of a specific nurture class.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All SLA educational psychologist £5,060 </w:t>
            </w:r>
          </w:p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i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SENCO time to lead and manage SEN </w:t>
            </w:r>
            <w:proofErr w:type="gramStart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provision ,</w:t>
            </w:r>
            <w:proofErr w:type="gramEnd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ensuring high quality teaching for identified pupils £12,890 + 20% on costs = £15468</w:t>
            </w:r>
          </w:p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CB64CE">
        <w:trPr>
          <w:trHeight w:val="960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 term – all spent</w:t>
            </w:r>
          </w:p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</w:tbl>
    <w:p w:rsidR="005C761E" w:rsidRPr="005C761E" w:rsidRDefault="005C761E" w:rsidP="005C761E">
      <w:pPr>
        <w:suppressAutoHyphens/>
        <w:autoSpaceDN w:val="0"/>
        <w:spacing w:after="240" w:line="288" w:lineRule="auto"/>
        <w:rPr>
          <w:rFonts w:ascii="Calibri" w:eastAsia="Times New Roman" w:hAnsi="Calibri" w:cs="Calibri"/>
          <w:b/>
          <w:color w:val="104F75"/>
          <w:lang w:eastAsia="en-GB"/>
        </w:rPr>
      </w:pPr>
    </w:p>
    <w:p w:rsidR="005C761E" w:rsidRPr="005C761E" w:rsidRDefault="005C761E" w:rsidP="005C761E">
      <w:pPr>
        <w:suppressAutoHyphens/>
        <w:autoSpaceDN w:val="0"/>
        <w:spacing w:after="240" w:line="288" w:lineRule="auto"/>
        <w:rPr>
          <w:rFonts w:ascii="Calibri" w:eastAsia="Times New Roman" w:hAnsi="Calibri" w:cs="Calibri"/>
          <w:b/>
          <w:color w:val="104F75"/>
          <w:lang w:eastAsia="en-GB"/>
        </w:rPr>
      </w:pPr>
      <w:r w:rsidRPr="005C761E">
        <w:rPr>
          <w:rFonts w:ascii="Calibri" w:eastAsia="Times New Roman" w:hAnsi="Calibri" w:cs="Calibri"/>
          <w:b/>
          <w:color w:val="104F75"/>
          <w:lang w:eastAsia="en-GB"/>
        </w:rPr>
        <w:t>Wider strategies (for example, related to attendance, behaviour, wellbeing)</w:t>
      </w:r>
    </w:p>
    <w:p w:rsidR="005C761E" w:rsidRPr="005C761E" w:rsidRDefault="005C761E" w:rsidP="005C761E">
      <w:pPr>
        <w:suppressAutoHyphens/>
        <w:autoSpaceDN w:val="0"/>
        <w:spacing w:before="240" w:after="120" w:line="288" w:lineRule="auto"/>
        <w:rPr>
          <w:rFonts w:ascii="Calibri" w:eastAsia="Times New Roman" w:hAnsi="Calibri" w:cs="Calibri"/>
          <w:color w:val="0D0D0D"/>
          <w:lang w:eastAsia="en-GB"/>
        </w:rPr>
      </w:pPr>
      <w:r w:rsidRPr="005C761E">
        <w:rPr>
          <w:rFonts w:ascii="Calibri" w:eastAsia="Times New Roman" w:hAnsi="Calibri" w:cs="Calibri"/>
          <w:color w:val="0D0D0D"/>
          <w:lang w:eastAsia="en-GB"/>
        </w:rPr>
        <w:t xml:space="preserve">Budgeted cost: £ </w:t>
      </w:r>
      <w:r w:rsidRPr="005C761E">
        <w:rPr>
          <w:rFonts w:ascii="Calibri" w:eastAsia="Times New Roman" w:hAnsi="Calibri" w:cs="Calibri"/>
          <w:i/>
          <w:iCs/>
          <w:color w:val="0D0D0D"/>
          <w:lang w:eastAsia="en-GB"/>
        </w:rPr>
        <w:t>45 133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3"/>
        <w:gridCol w:w="3106"/>
        <w:gridCol w:w="2719"/>
        <w:gridCol w:w="2195"/>
        <w:gridCol w:w="2535"/>
      </w:tblGrid>
      <w:tr w:rsidR="005C761E" w:rsidRPr="005C761E" w:rsidTr="00AD7D3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lastRenderedPageBreak/>
              <w:t>Intended outcome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Activity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Cost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Evidence that supports this approach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b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b/>
                <w:color w:val="0D0D0D"/>
                <w:lang w:eastAsia="en-GB"/>
              </w:rPr>
              <w:t>Challenge number(s) addressed</w:t>
            </w:r>
          </w:p>
        </w:tc>
      </w:tr>
      <w:tr w:rsidR="005C761E" w:rsidRPr="005C761E" w:rsidTr="00AD7D32">
        <w:trPr>
          <w:trHeight w:val="17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Children with social and emotional or mental health barriers to learning are identified and provided with </w:t>
            </w:r>
            <w:proofErr w:type="spellStart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targetted</w:t>
            </w:r>
            <w:proofErr w:type="spellEnd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support (including support for parents e.g. triple P) to increase their capacity to engage with learning, leading to increased progress.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Provision of a learning mentor to undertake Boxall profiling and deliver appropriate intervention according to Boxall profile and responsive pastoral support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£11,513 +20% on costs £13,815</w:t>
            </w:r>
          </w:p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  <w:p w:rsidR="005C761E" w:rsidRP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 Term spent:£13, 815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guide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4</w:t>
            </w:r>
          </w:p>
        </w:tc>
      </w:tr>
      <w:tr w:rsidR="005C761E" w:rsidRPr="005C761E" w:rsidTr="00AD7D32">
        <w:trPr>
          <w:trHeight w:val="1680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Play therapist employed for one day a week to work with the most </w:t>
            </w:r>
            <w:proofErr w:type="spellStart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vunerable</w:t>
            </w:r>
            <w:proofErr w:type="spellEnd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children.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£6000 +20% on costs £6120</w:t>
            </w:r>
          </w:p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  <w:p w:rsidR="005C761E" w:rsidRP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 term - £6344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AD7D32">
        <w:trPr>
          <w:trHeight w:val="94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Children are provided with food to enable them to focus and engage in lessons – impacting on raised attainment.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Subscription to Magic breakfast club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£2000</w:t>
            </w:r>
          </w:p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  <w:p w:rsidR="005C761E" w:rsidRP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Term spent: £2000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guide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4</w:t>
            </w:r>
          </w:p>
        </w:tc>
      </w:tr>
      <w:tr w:rsidR="005C761E" w:rsidRPr="005C761E" w:rsidTr="00AD7D32">
        <w:trPr>
          <w:trHeight w:val="82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Breakfast club places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£2000</w:t>
            </w:r>
          </w:p>
          <w:p w:rsidR="005C761E" w:rsidRP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 Term spent: £20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>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</w:p>
        </w:tc>
      </w:tr>
      <w:tr w:rsidR="005C761E" w:rsidRPr="005C761E" w:rsidTr="00AD7D3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Raise attendance levels for all pupils, in particular disadvantaged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Pastoral team, office staff and head teacher to monitor attendance daily using a  wide range of strategies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£11 500</w:t>
            </w:r>
          </w:p>
          <w:p w:rsid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Term spent:</w:t>
            </w:r>
          </w:p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£</w:t>
            </w:r>
            <w:r w:rsidR="007D5091">
              <w:rPr>
                <w:rFonts w:ascii="Calibri" w:eastAsia="Times New Roman" w:hAnsi="Calibri" w:cs="Calibri"/>
                <w:color w:val="0D0D0D"/>
                <w:lang w:eastAsia="en-GB"/>
              </w:rPr>
              <w:t>11 0</w:t>
            </w: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2</w:t>
            </w:r>
          </w:p>
        </w:tc>
      </w:tr>
      <w:tr w:rsidR="005C761E" w:rsidRPr="005C761E" w:rsidTr="00AD7D3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Raise levels of pupil aspiration; develop a growth </w:t>
            </w:r>
            <w:proofErr w:type="spellStart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mindset</w:t>
            </w:r>
            <w:proofErr w:type="spellEnd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, engage with arts based enrichment </w:t>
            </w: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>activities – thus impacting on raised achievement through increased knowledge and cultural capital.</w:t>
            </w:r>
          </w:p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i/>
                <w:color w:val="0D0D0D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 xml:space="preserve">Enrichment activity and subsidy on school trips, </w:t>
            </w:r>
            <w:proofErr w:type="spellStart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inc</w:t>
            </w:r>
            <w:proofErr w:type="spellEnd"/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Y6 residential, whole school theatre </w:t>
            </w: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 xml:space="preserve">visit, ice skating, uniforms for all children and half price visits for all PP children.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>£12 000</w:t>
            </w:r>
          </w:p>
          <w:p w:rsidR="005C761E" w:rsidRP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Spring Term spent: £11 5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>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4,2</w:t>
            </w:r>
          </w:p>
        </w:tc>
      </w:tr>
      <w:tr w:rsidR="005C761E" w:rsidRPr="005C761E" w:rsidTr="00AD7D3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lastRenderedPageBreak/>
              <w:t>Increase parental engagement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Parental workshops, PTA fundraisers back up and running including cultural food night and  Reception stay and play.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£744</w:t>
            </w:r>
          </w:p>
          <w:p w:rsidR="005C761E" w:rsidRPr="005C761E" w:rsidRDefault="007D5091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>
              <w:rPr>
                <w:rFonts w:ascii="Calibri" w:eastAsia="Times New Roman" w:hAnsi="Calibri" w:cs="Calibri"/>
                <w:color w:val="0D0D0D"/>
                <w:lang w:eastAsia="en-GB"/>
              </w:rPr>
              <w:t>Summer</w:t>
            </w:r>
            <w:r w:rsidR="005C761E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Term spent:</w:t>
            </w:r>
            <w:r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£400 ( underspend spent on play therapy)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EEF pupil premium guidance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1E" w:rsidRPr="005C761E" w:rsidRDefault="005C761E" w:rsidP="005C761E">
            <w:pPr>
              <w:suppressAutoHyphens/>
              <w:autoSpaceDN w:val="0"/>
              <w:spacing w:before="60" w:after="60" w:line="240" w:lineRule="auto"/>
              <w:ind w:left="57" w:right="57"/>
              <w:rPr>
                <w:rFonts w:ascii="Calibri" w:eastAsia="Times New Roman" w:hAnsi="Calibri" w:cs="Calibri"/>
                <w:color w:val="0D0D0D"/>
                <w:lang w:eastAsia="en-GB"/>
              </w:rPr>
            </w:pPr>
            <w:r w:rsidRPr="005C761E">
              <w:rPr>
                <w:rFonts w:ascii="Calibri" w:eastAsia="Times New Roman" w:hAnsi="Calibri" w:cs="Calibri"/>
                <w:color w:val="0D0D0D"/>
                <w:lang w:eastAsia="en-GB"/>
              </w:rPr>
              <w:t>3</w:t>
            </w:r>
          </w:p>
        </w:tc>
      </w:tr>
    </w:tbl>
    <w:p w:rsidR="005C761E" w:rsidRPr="005C761E" w:rsidRDefault="005C761E" w:rsidP="005C761E">
      <w:pPr>
        <w:suppressAutoHyphens/>
        <w:autoSpaceDN w:val="0"/>
        <w:spacing w:after="240" w:line="288" w:lineRule="auto"/>
        <w:rPr>
          <w:rFonts w:ascii="Calibri" w:eastAsia="Times New Roman" w:hAnsi="Calibri" w:cs="Calibri"/>
          <w:color w:val="0D0D0D"/>
          <w:lang w:eastAsia="en-GB"/>
        </w:rPr>
      </w:pPr>
    </w:p>
    <w:p w:rsidR="00674B78" w:rsidRPr="005C761E" w:rsidRDefault="00674B78"/>
    <w:sectPr w:rsidR="00674B78" w:rsidRPr="005C761E" w:rsidSect="005C76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D0A"/>
    <w:multiLevelType w:val="hybridMultilevel"/>
    <w:tmpl w:val="89BC7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1E"/>
    <w:rsid w:val="00491181"/>
    <w:rsid w:val="005C761E"/>
    <w:rsid w:val="005F7C31"/>
    <w:rsid w:val="00674B78"/>
    <w:rsid w:val="007D5091"/>
    <w:rsid w:val="00C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E7D34-33DF-4E31-BE2C-8EF4AD8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365B-56CC-41AF-80BA-252945C0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Catholic Primary School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1010, head</dc:creator>
  <cp:keywords/>
  <dc:description/>
  <cp:lastModifiedBy>1010, head</cp:lastModifiedBy>
  <cp:revision>2</cp:revision>
  <dcterms:created xsi:type="dcterms:W3CDTF">2023-07-11T12:30:00Z</dcterms:created>
  <dcterms:modified xsi:type="dcterms:W3CDTF">2023-07-11T12:30:00Z</dcterms:modified>
</cp:coreProperties>
</file>