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94ECC" w14:textId="77777777" w:rsidR="007165D3" w:rsidRDefault="00BD1934">
      <w:pPr>
        <w:spacing w:before="240" w:after="240"/>
        <w:rPr>
          <w:rFonts w:ascii="Century Gothic" w:eastAsia="Century Gothic" w:hAnsi="Century Gothic" w:cs="Century Gothic"/>
          <w:b/>
          <w:bCs/>
          <w:sz w:val="38"/>
          <w:szCs w:val="38"/>
        </w:rPr>
      </w:pPr>
      <w:r>
        <w:rPr>
          <w:noProof/>
        </w:rPr>
        <w:drawing>
          <wp:inline distT="114300" distB="114300" distL="114300" distR="114300" wp14:anchorId="075D619C" wp14:editId="07777777">
            <wp:extent cx="1323975" cy="1123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23975" cy="1123950"/>
                    </a:xfrm>
                    <a:prstGeom prst="rect">
                      <a:avLst/>
                    </a:prstGeom>
                    <a:ln/>
                  </pic:spPr>
                </pic:pic>
              </a:graphicData>
            </a:graphic>
          </wp:inline>
        </w:drawing>
      </w:r>
      <w:r>
        <w:rPr>
          <w:rFonts w:ascii="Century Gothic" w:eastAsia="Century Gothic" w:hAnsi="Century Gothic" w:cs="Century Gothic"/>
          <w:b/>
          <w:bCs/>
          <w:sz w:val="38"/>
          <w:szCs w:val="38"/>
        </w:rPr>
        <w:t>Clarendon Federation Pupil Premium Strategy</w:t>
      </w:r>
    </w:p>
    <w:p w14:paraId="672A6659" w14:textId="77777777" w:rsidR="007165D3" w:rsidRDefault="007165D3">
      <w:pPr>
        <w:spacing w:before="240" w:after="240"/>
        <w:rPr>
          <w:rFonts w:ascii="Century Gothic" w:eastAsia="Century Gothic" w:hAnsi="Century Gothic" w:cs="Century Gothic"/>
          <w:b/>
          <w:bCs/>
          <w:sz w:val="40"/>
          <w:szCs w:val="40"/>
        </w:rPr>
      </w:pPr>
    </w:p>
    <w:tbl>
      <w:tblPr>
        <w:tblStyle w:val="a"/>
        <w:tblW w:w="130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565"/>
        <w:gridCol w:w="4470"/>
      </w:tblGrid>
      <w:tr w:rsidR="007165D3" w14:paraId="1A7D03FA" w14:textId="77777777" w:rsidTr="5F157053">
        <w:trPr>
          <w:trHeight w:val="405"/>
        </w:trPr>
        <w:tc>
          <w:tcPr>
            <w:tcW w:w="856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FDCE3"/>
            <w:tcMar>
              <w:top w:w="0" w:type="dxa"/>
              <w:left w:w="100" w:type="dxa"/>
              <w:bottom w:w="0" w:type="dxa"/>
              <w:right w:w="100" w:type="dxa"/>
            </w:tcMar>
          </w:tcPr>
          <w:p w14:paraId="3C39D6EF"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Detail</w:t>
            </w:r>
          </w:p>
        </w:tc>
        <w:tc>
          <w:tcPr>
            <w:tcW w:w="4470" w:type="dxa"/>
            <w:tcBorders>
              <w:top w:val="single" w:sz="5" w:space="0" w:color="000000" w:themeColor="text1"/>
              <w:left w:val="nil"/>
              <w:bottom w:val="single" w:sz="5" w:space="0" w:color="000000" w:themeColor="text1"/>
              <w:right w:val="single" w:sz="5" w:space="0" w:color="000000" w:themeColor="text1"/>
            </w:tcBorders>
            <w:shd w:val="clear" w:color="auto" w:fill="CFDCE3"/>
            <w:tcMar>
              <w:top w:w="0" w:type="dxa"/>
              <w:left w:w="100" w:type="dxa"/>
              <w:bottom w:w="0" w:type="dxa"/>
              <w:right w:w="100" w:type="dxa"/>
            </w:tcMar>
          </w:tcPr>
          <w:p w14:paraId="51A59785"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Data</w:t>
            </w:r>
          </w:p>
        </w:tc>
      </w:tr>
      <w:tr w:rsidR="007165D3" w14:paraId="700ACF0D"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7AAA792F"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Number of pupils in school</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1086215F"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495</w:t>
            </w:r>
          </w:p>
        </w:tc>
      </w:tr>
      <w:tr w:rsidR="007165D3" w14:paraId="16E5AA21"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67362F32"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Proportion (%) of pupil premium eligible pupils</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7999F45F"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16% FSM 75% Service premium</w:t>
            </w:r>
          </w:p>
        </w:tc>
      </w:tr>
      <w:tr w:rsidR="007165D3" w14:paraId="3A8D1670" w14:textId="77777777" w:rsidTr="5F157053">
        <w:trPr>
          <w:trHeight w:val="1230"/>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21ABCBE6"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Academic year/years that our current pupil premium strategy plan covers (3-year plans are recommended – you must still publish an updated statement each academic year)</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450F71F9"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2025 - 2028</w:t>
            </w:r>
          </w:p>
        </w:tc>
      </w:tr>
      <w:tr w:rsidR="007165D3" w14:paraId="13955457"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3EDBFFB4"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Date this statement was published</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2216723C"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November 2025</w:t>
            </w:r>
          </w:p>
        </w:tc>
      </w:tr>
      <w:tr w:rsidR="007165D3" w14:paraId="11FB3FA1"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06725AC7"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Date on which it will be reviewed</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133EA642"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November 2026</w:t>
            </w:r>
          </w:p>
          <w:p w14:paraId="0A37501D" w14:textId="77777777" w:rsidR="007165D3" w:rsidRDefault="007165D3">
            <w:pPr>
              <w:spacing w:before="60" w:after="60"/>
              <w:rPr>
                <w:rFonts w:ascii="Century Gothic" w:eastAsia="Century Gothic" w:hAnsi="Century Gothic" w:cs="Century Gothic"/>
                <w:b/>
                <w:bCs/>
                <w:sz w:val="32"/>
                <w:szCs w:val="32"/>
              </w:rPr>
            </w:pPr>
          </w:p>
        </w:tc>
      </w:tr>
      <w:tr w:rsidR="007165D3" w14:paraId="139A4445"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78976D6A" w14:textId="77777777" w:rsidR="007165D3" w:rsidRDefault="00BD1934" w:rsidP="5F157053">
            <w:pPr>
              <w:spacing w:before="60" w:after="60"/>
              <w:rPr>
                <w:rFonts w:ascii="Century Gothic" w:eastAsia="Century Gothic" w:hAnsi="Century Gothic" w:cs="Century Gothic"/>
                <w:b/>
                <w:bCs/>
                <w:sz w:val="32"/>
                <w:szCs w:val="32"/>
                <w:lang w:val="en-US"/>
              </w:rPr>
            </w:pPr>
            <w:r w:rsidRPr="5F157053">
              <w:rPr>
                <w:rFonts w:ascii="Century Gothic" w:eastAsia="Century Gothic" w:hAnsi="Century Gothic" w:cs="Century Gothic"/>
                <w:b/>
                <w:bCs/>
                <w:sz w:val="32"/>
                <w:szCs w:val="32"/>
                <w:lang w:val="en-US"/>
              </w:rPr>
              <w:lastRenderedPageBreak/>
              <w:t xml:space="preserve">Statement </w:t>
            </w:r>
            <w:proofErr w:type="spellStart"/>
            <w:r w:rsidRPr="5F157053">
              <w:rPr>
                <w:rFonts w:ascii="Century Gothic" w:eastAsia="Century Gothic" w:hAnsi="Century Gothic" w:cs="Century Gothic"/>
                <w:b/>
                <w:bCs/>
                <w:sz w:val="32"/>
                <w:szCs w:val="32"/>
                <w:lang w:val="en-US"/>
              </w:rPr>
              <w:t>authorised</w:t>
            </w:r>
            <w:proofErr w:type="spellEnd"/>
            <w:r w:rsidRPr="5F157053">
              <w:rPr>
                <w:rFonts w:ascii="Century Gothic" w:eastAsia="Century Gothic" w:hAnsi="Century Gothic" w:cs="Century Gothic"/>
                <w:b/>
                <w:bCs/>
                <w:sz w:val="32"/>
                <w:szCs w:val="32"/>
                <w:lang w:val="en-US"/>
              </w:rPr>
              <w:t xml:space="preserve"> by</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3CE221E5"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Pam Evans - EHT</w:t>
            </w:r>
          </w:p>
        </w:tc>
      </w:tr>
      <w:tr w:rsidR="007165D3" w14:paraId="0A2F726E"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03643489"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Pupil premium lead</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52FF4FB5"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Lisa Ashford - Smith</w:t>
            </w:r>
          </w:p>
        </w:tc>
      </w:tr>
      <w:tr w:rsidR="007165D3" w14:paraId="4104A5B4" w14:textId="77777777" w:rsidTr="5F157053">
        <w:trPr>
          <w:trHeight w:val="405"/>
        </w:trPr>
        <w:tc>
          <w:tcPr>
            <w:tcW w:w="8565"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11DD8681"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Governor / Trustee lead</w:t>
            </w:r>
          </w:p>
        </w:tc>
        <w:tc>
          <w:tcPr>
            <w:tcW w:w="4470"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160A347A"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 Chantele Adam</w:t>
            </w:r>
          </w:p>
        </w:tc>
      </w:tr>
    </w:tbl>
    <w:p w14:paraId="7E66F639" w14:textId="77777777" w:rsidR="007165D3" w:rsidRDefault="00BD1934">
      <w:pPr>
        <w:pStyle w:val="Heading2"/>
        <w:keepNext w:val="0"/>
        <w:keepLines w:val="0"/>
        <w:spacing w:after="80"/>
        <w:rPr>
          <w:rFonts w:ascii="Century Gothic" w:eastAsia="Century Gothic" w:hAnsi="Century Gothic" w:cs="Century Gothic"/>
          <w:b/>
          <w:bCs/>
          <w:sz w:val="34"/>
          <w:szCs w:val="34"/>
        </w:rPr>
      </w:pPr>
      <w:bookmarkStart w:id="0" w:name="_iydevfwxxgag" w:colFirst="0" w:colLast="0"/>
      <w:bookmarkEnd w:id="0"/>
      <w:r>
        <w:rPr>
          <w:rFonts w:ascii="Century Gothic" w:eastAsia="Century Gothic" w:hAnsi="Century Gothic" w:cs="Century Gothic"/>
          <w:b/>
          <w:bCs/>
          <w:sz w:val="34"/>
          <w:szCs w:val="34"/>
        </w:rPr>
        <w:t>Funding overview</w:t>
      </w:r>
    </w:p>
    <w:tbl>
      <w:tblPr>
        <w:tblStyle w:val="a0"/>
        <w:tblW w:w="130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640"/>
        <w:gridCol w:w="4425"/>
      </w:tblGrid>
      <w:tr w:rsidR="007165D3" w14:paraId="5D1650B5" w14:textId="77777777" w:rsidTr="5F157053">
        <w:trPr>
          <w:trHeight w:val="405"/>
        </w:trPr>
        <w:tc>
          <w:tcPr>
            <w:tcW w:w="864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FDCE3"/>
            <w:tcMar>
              <w:top w:w="0" w:type="dxa"/>
              <w:left w:w="100" w:type="dxa"/>
              <w:bottom w:w="0" w:type="dxa"/>
              <w:right w:w="100" w:type="dxa"/>
            </w:tcMar>
          </w:tcPr>
          <w:p w14:paraId="2DA3B5D7"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Detail</w:t>
            </w:r>
          </w:p>
        </w:tc>
        <w:tc>
          <w:tcPr>
            <w:tcW w:w="4425" w:type="dxa"/>
            <w:tcBorders>
              <w:top w:val="single" w:sz="5" w:space="0" w:color="000000" w:themeColor="text1"/>
              <w:left w:val="nil"/>
              <w:bottom w:val="single" w:sz="5" w:space="0" w:color="000000" w:themeColor="text1"/>
              <w:right w:val="single" w:sz="5" w:space="0" w:color="000000" w:themeColor="text1"/>
            </w:tcBorders>
            <w:shd w:val="clear" w:color="auto" w:fill="CFDCE3"/>
            <w:tcMar>
              <w:top w:w="0" w:type="dxa"/>
              <w:left w:w="100" w:type="dxa"/>
              <w:bottom w:w="0" w:type="dxa"/>
              <w:right w:w="100" w:type="dxa"/>
            </w:tcMar>
          </w:tcPr>
          <w:p w14:paraId="06C24BAA"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Amount</w:t>
            </w:r>
          </w:p>
        </w:tc>
      </w:tr>
      <w:tr w:rsidR="007165D3" w14:paraId="0CBD270F" w14:textId="77777777" w:rsidTr="5F157053">
        <w:trPr>
          <w:trHeight w:val="405"/>
        </w:trPr>
        <w:tc>
          <w:tcPr>
            <w:tcW w:w="8640"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7D41D618"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Pupil premium funding allocation this academic year</w:t>
            </w:r>
          </w:p>
        </w:tc>
        <w:tc>
          <w:tcPr>
            <w:tcW w:w="4425"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79200C5D"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Infants £89,105</w:t>
            </w:r>
          </w:p>
          <w:p w14:paraId="7822F3BF"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Juniors £134,595</w:t>
            </w:r>
          </w:p>
        </w:tc>
      </w:tr>
      <w:tr w:rsidR="007165D3" w14:paraId="54AF8704" w14:textId="77777777" w:rsidTr="5F157053">
        <w:trPr>
          <w:trHeight w:val="750"/>
        </w:trPr>
        <w:tc>
          <w:tcPr>
            <w:tcW w:w="8640"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32BC5027" w14:textId="77777777" w:rsidR="007165D3" w:rsidRDefault="00BD1934">
            <w:pPr>
              <w:spacing w:before="60" w:after="120"/>
              <w:rPr>
                <w:rFonts w:ascii="Century Gothic" w:eastAsia="Century Gothic" w:hAnsi="Century Gothic" w:cs="Century Gothic"/>
                <w:b/>
                <w:bCs/>
                <w:i/>
                <w:iCs/>
                <w:sz w:val="32"/>
                <w:szCs w:val="32"/>
              </w:rPr>
            </w:pPr>
            <w:r>
              <w:rPr>
                <w:rFonts w:ascii="Century Gothic" w:eastAsia="Century Gothic" w:hAnsi="Century Gothic" w:cs="Century Gothic"/>
                <w:b/>
                <w:bCs/>
                <w:sz w:val="32"/>
                <w:szCs w:val="32"/>
              </w:rPr>
              <w:t xml:space="preserve">Pupil premium funding carried forward from previous years </w:t>
            </w:r>
            <w:r>
              <w:rPr>
                <w:rFonts w:ascii="Century Gothic" w:eastAsia="Century Gothic" w:hAnsi="Century Gothic" w:cs="Century Gothic"/>
                <w:b/>
                <w:bCs/>
                <w:i/>
                <w:iCs/>
                <w:sz w:val="32"/>
                <w:szCs w:val="32"/>
              </w:rPr>
              <w:t>(enter £0 if not applicable)</w:t>
            </w:r>
          </w:p>
        </w:tc>
        <w:tc>
          <w:tcPr>
            <w:tcW w:w="4425"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3ED1CCCA"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£0</w:t>
            </w:r>
          </w:p>
        </w:tc>
      </w:tr>
      <w:tr w:rsidR="007165D3" w14:paraId="4C1718F6" w14:textId="77777777" w:rsidTr="5F157053">
        <w:trPr>
          <w:trHeight w:val="1080"/>
        </w:trPr>
        <w:tc>
          <w:tcPr>
            <w:tcW w:w="8640" w:type="dxa"/>
            <w:tcBorders>
              <w:top w:val="nil"/>
              <w:left w:val="single" w:sz="5" w:space="0" w:color="000000" w:themeColor="text1"/>
              <w:bottom w:val="single" w:sz="5" w:space="0" w:color="000000" w:themeColor="text1"/>
              <w:right w:val="single" w:sz="5" w:space="0" w:color="000000" w:themeColor="text1"/>
            </w:tcBorders>
            <w:tcMar>
              <w:top w:w="0" w:type="dxa"/>
              <w:left w:w="100" w:type="dxa"/>
              <w:bottom w:w="0" w:type="dxa"/>
              <w:right w:w="100" w:type="dxa"/>
            </w:tcMar>
          </w:tcPr>
          <w:p w14:paraId="22394205" w14:textId="77777777" w:rsidR="007165D3" w:rsidRDefault="00BD1934">
            <w:pPr>
              <w:spacing w:before="60" w:after="12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Total budget for this academic year</w:t>
            </w:r>
          </w:p>
          <w:p w14:paraId="22E27CDD" w14:textId="77777777" w:rsidR="007165D3" w:rsidRDefault="00BD1934" w:rsidP="5F157053">
            <w:pPr>
              <w:spacing w:before="60" w:after="60"/>
              <w:rPr>
                <w:rFonts w:ascii="Century Gothic" w:eastAsia="Century Gothic" w:hAnsi="Century Gothic" w:cs="Century Gothic"/>
                <w:b/>
                <w:bCs/>
                <w:i/>
                <w:iCs/>
                <w:sz w:val="32"/>
                <w:szCs w:val="32"/>
                <w:lang w:val="en-US"/>
              </w:rPr>
            </w:pPr>
            <w:r w:rsidRPr="5F157053">
              <w:rPr>
                <w:rFonts w:ascii="Century Gothic" w:eastAsia="Century Gothic" w:hAnsi="Century Gothic" w:cs="Century Gothic"/>
                <w:b/>
                <w:bCs/>
                <w:i/>
                <w:iCs/>
                <w:sz w:val="32"/>
                <w:szCs w:val="32"/>
                <w:lang w:val="en-US"/>
              </w:rPr>
              <w:t>If your school is an academy in a trust that pools this funding, state the amount available to your school this academic year</w:t>
            </w:r>
          </w:p>
        </w:tc>
        <w:tc>
          <w:tcPr>
            <w:tcW w:w="4425" w:type="dxa"/>
            <w:tcBorders>
              <w:top w:val="nil"/>
              <w:left w:val="nil"/>
              <w:bottom w:val="single" w:sz="5" w:space="0" w:color="000000" w:themeColor="text1"/>
              <w:right w:val="single" w:sz="5" w:space="0" w:color="000000" w:themeColor="text1"/>
            </w:tcBorders>
            <w:tcMar>
              <w:top w:w="0" w:type="dxa"/>
              <w:left w:w="100" w:type="dxa"/>
              <w:bottom w:w="0" w:type="dxa"/>
              <w:right w:w="100" w:type="dxa"/>
            </w:tcMar>
          </w:tcPr>
          <w:p w14:paraId="6F6E6C7E"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Infants £89,105</w:t>
            </w:r>
          </w:p>
          <w:p w14:paraId="72ED72E5" w14:textId="77777777" w:rsidR="007165D3" w:rsidRDefault="00BD1934">
            <w:pPr>
              <w:spacing w:before="60" w:after="60"/>
              <w:rPr>
                <w:rFonts w:ascii="Century Gothic" w:eastAsia="Century Gothic" w:hAnsi="Century Gothic" w:cs="Century Gothic"/>
                <w:b/>
                <w:bCs/>
                <w:sz w:val="32"/>
                <w:szCs w:val="32"/>
              </w:rPr>
            </w:pPr>
            <w:r>
              <w:rPr>
                <w:rFonts w:ascii="Century Gothic" w:eastAsia="Century Gothic" w:hAnsi="Century Gothic" w:cs="Century Gothic"/>
                <w:b/>
                <w:bCs/>
                <w:sz w:val="32"/>
                <w:szCs w:val="32"/>
              </w:rPr>
              <w:t>Juniors £134,595</w:t>
            </w:r>
          </w:p>
        </w:tc>
      </w:tr>
    </w:tbl>
    <w:p w14:paraId="5DAB6C7B" w14:textId="77777777" w:rsidR="007165D3" w:rsidRDefault="007165D3">
      <w:pPr>
        <w:spacing w:before="240" w:after="240"/>
        <w:rPr>
          <w:rFonts w:ascii="Century Gothic" w:eastAsia="Century Gothic" w:hAnsi="Century Gothic" w:cs="Century Gothic"/>
          <w:b/>
          <w:bCs/>
          <w:sz w:val="32"/>
          <w:szCs w:val="32"/>
        </w:rPr>
      </w:pPr>
    </w:p>
    <w:p w14:paraId="02EB378F" w14:textId="77777777" w:rsidR="007165D3" w:rsidRDefault="007165D3">
      <w:pPr>
        <w:spacing w:before="240" w:after="240"/>
        <w:rPr>
          <w:rFonts w:ascii="Century Gothic" w:eastAsia="Century Gothic" w:hAnsi="Century Gothic" w:cs="Century Gothic"/>
          <w:b/>
          <w:bCs/>
          <w:sz w:val="32"/>
          <w:szCs w:val="32"/>
        </w:rPr>
      </w:pPr>
    </w:p>
    <w:p w14:paraId="6A05A809" w14:textId="77777777" w:rsidR="007165D3" w:rsidRDefault="007165D3">
      <w:pPr>
        <w:spacing w:before="240" w:after="240"/>
        <w:rPr>
          <w:rFonts w:ascii="Century Gothic" w:eastAsia="Century Gothic" w:hAnsi="Century Gothic" w:cs="Century Gothic"/>
          <w:b/>
          <w:bCs/>
          <w:sz w:val="32"/>
          <w:szCs w:val="32"/>
        </w:rPr>
      </w:pPr>
    </w:p>
    <w:p w14:paraId="5A39BBE3" w14:textId="77777777" w:rsidR="007165D3" w:rsidRDefault="007165D3">
      <w:pPr>
        <w:spacing w:before="240" w:after="240"/>
        <w:rPr>
          <w:rFonts w:ascii="Century Gothic" w:eastAsia="Century Gothic" w:hAnsi="Century Gothic" w:cs="Century Gothic"/>
          <w:b/>
          <w:bCs/>
          <w:sz w:val="32"/>
          <w:szCs w:val="32"/>
        </w:rPr>
      </w:pPr>
    </w:p>
    <w:p w14:paraId="2A526CC5" w14:textId="77777777" w:rsidR="007165D3" w:rsidRDefault="00BD1934">
      <w:pPr>
        <w:numPr>
          <w:ilvl w:val="0"/>
          <w:numId w:val="3"/>
        </w:numPr>
        <w:spacing w:after="240"/>
        <w:rPr>
          <w:rFonts w:ascii="Century Gothic" w:eastAsia="Century Gothic" w:hAnsi="Century Gothic" w:cs="Century Gothic"/>
          <w:b/>
          <w:bCs/>
        </w:rPr>
      </w:pPr>
      <w:r>
        <w:rPr>
          <w:rFonts w:ascii="Century Gothic" w:eastAsia="Century Gothic" w:hAnsi="Century Gothic" w:cs="Century Gothic"/>
          <w:b/>
          <w:bCs/>
          <w:sz w:val="24"/>
          <w:szCs w:val="24"/>
        </w:rPr>
        <w:t>Title and Statement of Intent</w:t>
      </w:r>
    </w:p>
    <w:p w14:paraId="170854AC" w14:textId="77777777" w:rsidR="007165D3" w:rsidRDefault="00BD1934">
      <w:pPr>
        <w:spacing w:before="240" w:after="24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Statement of Intent</w:t>
      </w:r>
    </w:p>
    <w:p w14:paraId="295347B9"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Ultimate objectives for disadvantaged pupils</w:t>
      </w:r>
    </w:p>
    <w:p w14:paraId="350CB02B" w14:textId="77777777" w:rsidR="007165D3" w:rsidRDefault="00BD1934" w:rsidP="5F157053">
      <w:pPr>
        <w:numPr>
          <w:ilvl w:val="1"/>
          <w:numId w:val="4"/>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Raise attainment so disadvantaged pupils (including service and EAL pupils) make at least expected progress from their individual starting points and close the gap with their peers across key measures (EYFS GLD, phonics, KS1/KS2 Reading, Writing and Maths).</w:t>
      </w:r>
    </w:p>
    <w:p w14:paraId="50957196" w14:textId="77777777" w:rsidR="007165D3" w:rsidRDefault="00BD1934" w:rsidP="5F157053">
      <w:pPr>
        <w:numPr>
          <w:ilvl w:val="1"/>
          <w:numId w:val="4"/>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Ensure disadvantaged pupils are confident, resilient and prepared for transition at every stage (school readiness in EYFS; smooth transitions across infant and junior sites).</w:t>
      </w:r>
    </w:p>
    <w:p w14:paraId="539ECEE0" w14:textId="77777777" w:rsidR="007165D3" w:rsidRDefault="00BD1934">
      <w:pPr>
        <w:numPr>
          <w:ilvl w:val="1"/>
          <w:numId w:val="4"/>
        </w:numPr>
        <w:rPr>
          <w:rFonts w:ascii="Century Gothic" w:eastAsia="Century Gothic" w:hAnsi="Century Gothic" w:cs="Century Gothic"/>
        </w:rPr>
      </w:pPr>
      <w:r>
        <w:rPr>
          <w:rFonts w:ascii="Century Gothic" w:eastAsia="Century Gothic" w:hAnsi="Century Gothic" w:cs="Century Gothic"/>
          <w:sz w:val="24"/>
          <w:szCs w:val="24"/>
        </w:rPr>
        <w:t>Remove non-academic barriers to learning (language/vocabulary gaps, mobility-related gaps, SEMH needs, attendance, access to enrichment) so that pupils can fully access the curriculum and wider life chances.</w:t>
      </w:r>
    </w:p>
    <w:p w14:paraId="54CF52A5" w14:textId="77777777" w:rsidR="007165D3" w:rsidRDefault="00BD1934" w:rsidP="5F157053">
      <w:pPr>
        <w:numPr>
          <w:ilvl w:val="1"/>
          <w:numId w:val="4"/>
        </w:numPr>
        <w:spacing w:after="240"/>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 xml:space="preserve">Improve early identification and timely provision for SEND among disadvantaged pupils so that additional needs are </w:t>
      </w:r>
      <w:proofErr w:type="spellStart"/>
      <w:r w:rsidRPr="5F157053">
        <w:rPr>
          <w:rFonts w:ascii="Century Gothic" w:eastAsia="Century Gothic" w:hAnsi="Century Gothic" w:cs="Century Gothic"/>
          <w:sz w:val="24"/>
          <w:szCs w:val="24"/>
          <w:lang w:val="en-US"/>
        </w:rPr>
        <w:t>recognised</w:t>
      </w:r>
      <w:proofErr w:type="spellEnd"/>
      <w:r w:rsidRPr="5F157053">
        <w:rPr>
          <w:rFonts w:ascii="Century Gothic" w:eastAsia="Century Gothic" w:hAnsi="Century Gothic" w:cs="Century Gothic"/>
          <w:sz w:val="24"/>
          <w:szCs w:val="24"/>
          <w:lang w:val="en-US"/>
        </w:rPr>
        <w:t xml:space="preserve"> and acted upon quickly.</w:t>
      </w:r>
    </w:p>
    <w:p w14:paraId="71154E31" w14:textId="77777777" w:rsidR="007165D3" w:rsidRDefault="00BD1934">
      <w:pPr>
        <w:spacing w:before="240" w:after="24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How the strategy works towards those objectives</w:t>
      </w:r>
    </w:p>
    <w:p w14:paraId="5450EBF9" w14:textId="77777777" w:rsidR="007165D3" w:rsidRDefault="00BD1934" w:rsidP="5F157053">
      <w:pPr>
        <w:numPr>
          <w:ilvl w:val="1"/>
          <w:numId w:val="10"/>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 xml:space="preserve">This strategy follows the DfE Menu of Approaches by </w:t>
      </w:r>
      <w:proofErr w:type="spellStart"/>
      <w:r w:rsidRPr="5F157053">
        <w:rPr>
          <w:rFonts w:ascii="Century Gothic" w:eastAsia="Century Gothic" w:hAnsi="Century Gothic" w:cs="Century Gothic"/>
          <w:sz w:val="24"/>
          <w:szCs w:val="24"/>
          <w:lang w:val="en-US"/>
        </w:rPr>
        <w:t>prioritising</w:t>
      </w:r>
      <w:proofErr w:type="spellEnd"/>
      <w:r w:rsidRPr="5F157053">
        <w:rPr>
          <w:rFonts w:ascii="Century Gothic" w:eastAsia="Century Gothic" w:hAnsi="Century Gothic" w:cs="Century Gothic"/>
          <w:sz w:val="24"/>
          <w:szCs w:val="24"/>
          <w:lang w:val="en-US"/>
        </w:rPr>
        <w:t xml:space="preserve"> three tiers: (1) High-quality teaching (universal approaches to raise the baseline), (2) Targeted academic support (tutoring, structured interventions, TA deployment) and (3) Wider strategies (SEMH, attendance, enrichment, family / service-family support).</w:t>
      </w:r>
    </w:p>
    <w:p w14:paraId="3FB7FB07" w14:textId="77777777" w:rsidR="007165D3" w:rsidRDefault="00BD1934">
      <w:pPr>
        <w:numPr>
          <w:ilvl w:val="1"/>
          <w:numId w:val="10"/>
        </w:numPr>
        <w:rPr>
          <w:rFonts w:ascii="Century Gothic" w:eastAsia="Century Gothic" w:hAnsi="Century Gothic" w:cs="Century Gothic"/>
        </w:rPr>
      </w:pPr>
      <w:r>
        <w:rPr>
          <w:rFonts w:ascii="Century Gothic" w:eastAsia="Century Gothic" w:hAnsi="Century Gothic" w:cs="Century Gothic"/>
          <w:sz w:val="24"/>
          <w:szCs w:val="24"/>
        </w:rPr>
        <w:t xml:space="preserve">Activities are evidence-led (drawn primarily from Education Endowment Foundation guidance and reviews) and targeted to the school’s context: high service-child mobility (75% service children), </w:t>
      </w:r>
      <w:r>
        <w:rPr>
          <w:rFonts w:ascii="Century Gothic" w:eastAsia="Century Gothic" w:hAnsi="Century Gothic" w:cs="Century Gothic"/>
          <w:sz w:val="24"/>
          <w:szCs w:val="24"/>
        </w:rPr>
        <w:lastRenderedPageBreak/>
        <w:t>high SEND prevalence (27.4%) including EHCPs (9.5%), significant EAL (17.1%) with many DLs in early stages of English, and current attainment/assessment data (e.g. EYFS disadvantaged 40% GLD; school phonics broadly in line; KS2 subject outcomes).</w:t>
      </w:r>
    </w:p>
    <w:p w14:paraId="52B92F4C" w14:textId="77777777" w:rsidR="007165D3" w:rsidRDefault="00BD1934" w:rsidP="5F157053">
      <w:pPr>
        <w:numPr>
          <w:ilvl w:val="1"/>
          <w:numId w:val="10"/>
        </w:numPr>
        <w:spacing w:after="240"/>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The strategy uses diagnostic assessment to identify pupils for targeted support, sequences interventions to align tightly with classroom teaching, invests in sustained professional development and coaching to secure consistently high-quality instruction, and delivers responsive wider support (attendance work, family liaison, pastoral provision) to address barriers to learning.</w:t>
      </w:r>
    </w:p>
    <w:p w14:paraId="58974DBA" w14:textId="77777777" w:rsidR="007165D3" w:rsidRDefault="00BD1934">
      <w:pPr>
        <w:spacing w:before="240" w:after="240"/>
        <w:rPr>
          <w:rFonts w:ascii="Century Gothic" w:eastAsia="Century Gothic" w:hAnsi="Century Gothic" w:cs="Century Gothic"/>
          <w:b/>
          <w:bCs/>
          <w:sz w:val="24"/>
          <w:szCs w:val="24"/>
        </w:rPr>
      </w:pPr>
      <w:r>
        <w:rPr>
          <w:rFonts w:ascii="Century Gothic" w:eastAsia="Century Gothic" w:hAnsi="Century Gothic" w:cs="Century Gothic"/>
          <w:b/>
          <w:bCs/>
          <w:sz w:val="24"/>
          <w:szCs w:val="24"/>
        </w:rPr>
        <w:t>Key principles of the strategy</w:t>
      </w:r>
    </w:p>
    <w:p w14:paraId="49BBECE8" w14:textId="77777777" w:rsidR="007165D3" w:rsidRDefault="00BD1934">
      <w:pPr>
        <w:numPr>
          <w:ilvl w:val="1"/>
          <w:numId w:val="2"/>
        </w:numPr>
        <w:rPr>
          <w:rFonts w:ascii="Century Gothic" w:eastAsia="Century Gothic" w:hAnsi="Century Gothic" w:cs="Century Gothic"/>
        </w:rPr>
      </w:pPr>
      <w:r>
        <w:rPr>
          <w:rFonts w:ascii="Century Gothic" w:eastAsia="Century Gothic" w:hAnsi="Century Gothic" w:cs="Century Gothic"/>
          <w:sz w:val="24"/>
          <w:szCs w:val="24"/>
        </w:rPr>
        <w:t>Evidence-led: activities selected are supported by the best available evidence (EEF guidance and toolkits).</w:t>
      </w:r>
    </w:p>
    <w:p w14:paraId="242DAFB9" w14:textId="77777777" w:rsidR="007165D3" w:rsidRDefault="00BD1934" w:rsidP="5F157053">
      <w:pPr>
        <w:numPr>
          <w:ilvl w:val="1"/>
          <w:numId w:val="2"/>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Proportionate &amp; targeted: universal improvements to teaching are the first line of action; additional funding is focused on pupils with the greatest need and on interventions with measurable impact.</w:t>
      </w:r>
    </w:p>
    <w:p w14:paraId="0C8CC1B2" w14:textId="77777777" w:rsidR="007165D3" w:rsidRDefault="00BD1934">
      <w:pPr>
        <w:numPr>
          <w:ilvl w:val="1"/>
          <w:numId w:val="2"/>
        </w:numPr>
        <w:rPr>
          <w:rFonts w:ascii="Century Gothic" w:eastAsia="Century Gothic" w:hAnsi="Century Gothic" w:cs="Century Gothic"/>
        </w:rPr>
      </w:pPr>
      <w:r>
        <w:rPr>
          <w:rFonts w:ascii="Century Gothic" w:eastAsia="Century Gothic" w:hAnsi="Century Gothic" w:cs="Century Gothic"/>
          <w:sz w:val="24"/>
          <w:szCs w:val="24"/>
        </w:rPr>
        <w:t>Alignment: targeted interventions are explicitly linked to classroom learning and assessment; TA interventions will mirror classroom approaches and curricula.</w:t>
      </w:r>
    </w:p>
    <w:p w14:paraId="33F523E8" w14:textId="77777777" w:rsidR="007165D3" w:rsidRDefault="00BD1934" w:rsidP="5F157053">
      <w:pPr>
        <w:numPr>
          <w:ilvl w:val="1"/>
          <w:numId w:val="2"/>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Early identification &amp; timely action: strengthen SEND identification and early language assessment in EYFS and across key stages for rapid targeted support.</w:t>
      </w:r>
    </w:p>
    <w:p w14:paraId="6F0FACAD" w14:textId="77777777" w:rsidR="007165D3" w:rsidRDefault="00BD1934" w:rsidP="5F157053">
      <w:pPr>
        <w:numPr>
          <w:ilvl w:val="1"/>
          <w:numId w:val="2"/>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Whole-school &amp; family partnership: embed SEL across the school, use pastoral staff (Service Premium Champion and Family Support Adviser) to work with service families, and ensure parental communication is proactive and culturally responsive for service families.</w:t>
      </w:r>
    </w:p>
    <w:p w14:paraId="759A1FCF" w14:textId="77777777" w:rsidR="007165D3" w:rsidRDefault="00BD1934" w:rsidP="5F157053">
      <w:pPr>
        <w:numPr>
          <w:ilvl w:val="1"/>
          <w:numId w:val="2"/>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Monitor, evaluate, adapt: clear success criteria and termly review of impact data with governors and leadership to adapt provision.</w:t>
      </w:r>
    </w:p>
    <w:p w14:paraId="7C6780D5" w14:textId="77777777" w:rsidR="007165D3" w:rsidRDefault="00BD1934">
      <w:pPr>
        <w:numPr>
          <w:ilvl w:val="0"/>
          <w:numId w:val="6"/>
        </w:numPr>
        <w:spacing w:after="240"/>
        <w:rPr>
          <w:rFonts w:ascii="Century Gothic" w:eastAsia="Century Gothic" w:hAnsi="Century Gothic" w:cs="Century Gothic"/>
        </w:rPr>
      </w:pPr>
      <w:r>
        <w:rPr>
          <w:rFonts w:ascii="Century Gothic" w:eastAsia="Century Gothic" w:hAnsi="Century Gothic" w:cs="Century Gothic"/>
          <w:sz w:val="24"/>
          <w:szCs w:val="24"/>
        </w:rPr>
        <w:t>Challenges Section</w:t>
      </w:r>
    </w:p>
    <w:tbl>
      <w:tblPr>
        <w:tblStyle w:val="a1"/>
        <w:tblW w:w="12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710"/>
        <w:gridCol w:w="11250"/>
      </w:tblGrid>
      <w:tr w:rsidR="007165D3" w14:paraId="2E58A6DF" w14:textId="77777777" w:rsidTr="5F157053">
        <w:trPr>
          <w:trHeight w:val="525"/>
        </w:trPr>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07DBAA6F"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Challenge Number</w:t>
            </w:r>
          </w:p>
        </w:tc>
        <w:tc>
          <w:tcPr>
            <w:tcW w:w="11250" w:type="dxa"/>
            <w:tcBorders>
              <w:top w:val="single" w:sz="5" w:space="0" w:color="000000" w:themeColor="text1"/>
              <w:left w:val="nil"/>
              <w:bottom w:val="single" w:sz="5" w:space="0" w:color="000000" w:themeColor="text1"/>
              <w:right w:val="single" w:sz="5" w:space="0" w:color="000000" w:themeColor="text1"/>
            </w:tcBorders>
            <w:tcMar>
              <w:top w:w="120" w:type="dxa"/>
              <w:left w:w="120" w:type="dxa"/>
              <w:bottom w:w="120" w:type="dxa"/>
              <w:right w:w="120" w:type="dxa"/>
            </w:tcMar>
          </w:tcPr>
          <w:p w14:paraId="6116E084"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Detail of challenge</w:t>
            </w:r>
          </w:p>
        </w:tc>
      </w:tr>
      <w:tr w:rsidR="007165D3" w14:paraId="575A310D"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649841BE"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1</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7EC1CDB6"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Disadvantaged pupils with multiple vulnerability factors: high proportion of disadvantaged learners are EAL and in early stages of English which limits access to classroom talk, vocabulary development and curriculum participation. (User data: EAL 17.1%; many DLs are EAL.)</w:t>
            </w:r>
          </w:p>
        </w:tc>
      </w:tr>
      <w:tr w:rsidR="007165D3" w14:paraId="69CC348E"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18F999B5"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2</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4285E45F"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Mobility and mixed prior curricula: high mobility (service families) means pupils join at varying points with different prior curricula → significant gaps in reading, writing and mathematics and breadth of prior learning. (School context: 75% service children. Data shows gaps in skills and knowledge in reading, writing, </w:t>
            </w:r>
            <w:proofErr w:type="spellStart"/>
            <w:r w:rsidRPr="5F157053">
              <w:rPr>
                <w:rFonts w:ascii="Century Gothic" w:eastAsia="Century Gothic" w:hAnsi="Century Gothic" w:cs="Century Gothic"/>
                <w:sz w:val="24"/>
                <w:szCs w:val="24"/>
                <w:lang w:val="en-US"/>
              </w:rPr>
              <w:t>maths</w:t>
            </w:r>
            <w:proofErr w:type="spellEnd"/>
            <w:r w:rsidRPr="5F157053">
              <w:rPr>
                <w:rFonts w:ascii="Century Gothic" w:eastAsia="Century Gothic" w:hAnsi="Century Gothic" w:cs="Century Gothic"/>
                <w:sz w:val="24"/>
                <w:szCs w:val="24"/>
                <w:lang w:val="en-US"/>
              </w:rPr>
              <w:t xml:space="preserve"> and early reading.)</w:t>
            </w:r>
          </w:p>
        </w:tc>
      </w:tr>
      <w:tr w:rsidR="007165D3" w14:paraId="6B11E970"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5FCD5EC4"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3</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6DF48FE6" w14:textId="77777777" w:rsidR="007165D3" w:rsidRDefault="00BD1934" w:rsidP="5F157053">
            <w:pPr>
              <w:spacing w:before="240" w:after="240"/>
              <w:rPr>
                <w:rFonts w:ascii="Century Gothic" w:eastAsia="Century Gothic" w:hAnsi="Century Gothic" w:cs="Century Gothic"/>
                <w:sz w:val="24"/>
                <w:szCs w:val="24"/>
                <w:highlight w:val="yellow"/>
                <w:lang w:val="en-US"/>
              </w:rPr>
            </w:pPr>
            <w:r w:rsidRPr="5F157053">
              <w:rPr>
                <w:rFonts w:ascii="Century Gothic" w:eastAsia="Century Gothic" w:hAnsi="Century Gothic" w:cs="Century Gothic"/>
                <w:sz w:val="24"/>
                <w:szCs w:val="24"/>
                <w:lang w:val="en-US"/>
              </w:rPr>
              <w:t xml:space="preserve">Language, literacy and vocabulary gaps: many disadvantaged pupils lack the oral language and vocabulary needed to access reading comprehension and writing tasks. </w:t>
            </w:r>
          </w:p>
        </w:tc>
      </w:tr>
      <w:tr w:rsidR="007165D3" w14:paraId="143DFF06"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598DEE6"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4</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0E515291"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Lower expectations and unconscious bias: teaching staff may hold unconscious lower expectations for disadvantaged pupils, limiting challenge and resulting in underachievement.</w:t>
            </w:r>
          </w:p>
        </w:tc>
      </w:tr>
      <w:tr w:rsidR="007165D3" w14:paraId="323518A9"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78941E47"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5</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3747D909"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Social, emotional and mental health (SEMH) barriers and social skills delays: some disadvantaged pupils present with higher anxiety, low self-esteem, delayed social skills and emotional regulation needs affecting learning and attendance. </w:t>
            </w:r>
          </w:p>
        </w:tc>
      </w:tr>
      <w:tr w:rsidR="007165D3" w14:paraId="3FDC94D0"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9B4EA11"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6</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1B9415EC"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Undiagnosed or delayed SEND identification for mobile/disadvantaged pupils: mobility can delay the timely identification of SEND and access to tailored support. (SEND: 27.4% overall; EHCPs 9.5%.)</w:t>
            </w:r>
          </w:p>
        </w:tc>
      </w:tr>
      <w:tr w:rsidR="007165D3" w14:paraId="73E90DC8"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75697EEC"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7</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5E040002" w14:textId="77777777" w:rsidR="007165D3" w:rsidRDefault="00BD1934">
            <w:pPr>
              <w:spacing w:before="240" w:after="240"/>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School readiness in EYFS for disadvantaged pupils: lower starting points in early years</w:t>
            </w:r>
            <w:r>
              <w:rPr>
                <w:rFonts w:ascii="Century Gothic" w:eastAsia="Century Gothic" w:hAnsi="Century Gothic" w:cs="Century Gothic"/>
                <w:sz w:val="24"/>
                <w:szCs w:val="24"/>
                <w:highlight w:val="white"/>
              </w:rPr>
              <w:t xml:space="preserve"> (EYFS disadvantaged GLD 40%), affecting longer-term progress.</w:t>
            </w:r>
          </w:p>
        </w:tc>
      </w:tr>
      <w:tr w:rsidR="007165D3" w14:paraId="213A4D0F"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4B0A208"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8</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75F3BFE4"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Attendance and access to enrichment: persistent absence  and limited access to enrichment activities for some disadvantaged pupils reduces curriculum exposure and progress.</w:t>
            </w:r>
          </w:p>
        </w:tc>
      </w:tr>
      <w:tr w:rsidR="007165D3" w14:paraId="372A2854" w14:textId="77777777" w:rsidTr="5F157053">
        <w:trPr>
          <w:trHeight w:val="525"/>
        </w:trPr>
        <w:tc>
          <w:tcPr>
            <w:tcW w:w="1710"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B2B7304"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9</w:t>
            </w:r>
          </w:p>
        </w:tc>
        <w:tc>
          <w:tcPr>
            <w:tcW w:w="11250"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0D79B3B4" w14:textId="77777777" w:rsidR="007165D3" w:rsidRDefault="00BD1934" w:rsidP="5F157053">
            <w:pPr>
              <w:spacing w:before="240" w:after="240"/>
              <w:rPr>
                <w:rFonts w:ascii="Century Gothic" w:eastAsia="Century Gothic" w:hAnsi="Century Gothic" w:cs="Century Gothic"/>
                <w:sz w:val="24"/>
                <w:szCs w:val="24"/>
                <w:highlight w:val="white"/>
                <w:lang w:val="en-US"/>
              </w:rPr>
            </w:pPr>
            <w:r w:rsidRPr="5F157053">
              <w:rPr>
                <w:rFonts w:ascii="Century Gothic" w:eastAsia="Century Gothic" w:hAnsi="Century Gothic" w:cs="Century Gothic"/>
                <w:sz w:val="24"/>
                <w:szCs w:val="24"/>
                <w:lang w:val="en-US"/>
              </w:rPr>
              <w:t xml:space="preserve">Writing outcomes: federation priority to improve writing — many disadvantaged pupils underperform in writing relative to peers and miss opportunities to write for purpose and pleasure </w:t>
            </w:r>
            <w:r w:rsidRPr="5F157053">
              <w:rPr>
                <w:rFonts w:ascii="Century Gothic" w:eastAsia="Century Gothic" w:hAnsi="Century Gothic" w:cs="Century Gothic"/>
                <w:sz w:val="24"/>
                <w:szCs w:val="24"/>
                <w:highlight w:val="white"/>
                <w:lang w:val="en-US"/>
              </w:rPr>
              <w:t>(School data: KS2 Writing Pupil Premium 61% did not achieve EXS in writing (Juniors) and 39% (Infants).</w:t>
            </w:r>
          </w:p>
        </w:tc>
      </w:tr>
    </w:tbl>
    <w:p w14:paraId="350B48AC" w14:textId="77777777" w:rsidR="007165D3" w:rsidRDefault="00BD1934">
      <w:pPr>
        <w:numPr>
          <w:ilvl w:val="0"/>
          <w:numId w:val="12"/>
        </w:numPr>
        <w:spacing w:after="240"/>
        <w:rPr>
          <w:rFonts w:ascii="Century Gothic" w:eastAsia="Century Gothic" w:hAnsi="Century Gothic" w:cs="Century Gothic"/>
        </w:rPr>
      </w:pPr>
      <w:r>
        <w:rPr>
          <w:rFonts w:ascii="Century Gothic" w:eastAsia="Century Gothic" w:hAnsi="Century Gothic" w:cs="Century Gothic"/>
          <w:sz w:val="24"/>
          <w:szCs w:val="24"/>
        </w:rPr>
        <w:t>Intended Outcomes</w:t>
      </w:r>
    </w:p>
    <w:tbl>
      <w:tblPr>
        <w:tblStyle w:val="a2"/>
        <w:tblW w:w="12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717"/>
        <w:gridCol w:w="10243"/>
      </w:tblGrid>
      <w:tr w:rsidR="007165D3" w14:paraId="0C4BD0E2" w14:textId="77777777" w:rsidTr="5F157053">
        <w:trPr>
          <w:trHeight w:val="525"/>
        </w:trPr>
        <w:tc>
          <w:tcPr>
            <w:tcW w:w="2717"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71CF7E0D"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Intended Outcome</w:t>
            </w:r>
          </w:p>
        </w:tc>
        <w:tc>
          <w:tcPr>
            <w:tcW w:w="10242" w:type="dxa"/>
            <w:tcBorders>
              <w:top w:val="single" w:sz="5" w:space="0" w:color="000000" w:themeColor="text1"/>
              <w:left w:val="nil"/>
              <w:bottom w:val="single" w:sz="5" w:space="0" w:color="000000" w:themeColor="text1"/>
              <w:right w:val="single" w:sz="5" w:space="0" w:color="000000" w:themeColor="text1"/>
            </w:tcBorders>
            <w:tcMar>
              <w:top w:w="120" w:type="dxa"/>
              <w:left w:w="120" w:type="dxa"/>
              <w:bottom w:w="120" w:type="dxa"/>
              <w:right w:w="120" w:type="dxa"/>
            </w:tcMar>
          </w:tcPr>
          <w:p w14:paraId="5AD3DEEF"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Success Criteria</w:t>
            </w:r>
          </w:p>
        </w:tc>
      </w:tr>
      <w:tr w:rsidR="007165D3" w14:paraId="38D54019"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1926FFA4"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Improve oral language and vocabulary for disadvantaged pupils (particularly EYFS / early KS1 and EAL pupils)</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11566CF0"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Measurable increase in </w:t>
            </w:r>
            <w:proofErr w:type="spellStart"/>
            <w:r w:rsidRPr="5F157053">
              <w:rPr>
                <w:rFonts w:ascii="Century Gothic" w:eastAsia="Century Gothic" w:hAnsi="Century Gothic" w:cs="Century Gothic"/>
                <w:sz w:val="24"/>
                <w:szCs w:val="24"/>
                <w:lang w:val="en-US"/>
              </w:rPr>
              <w:t>standardised</w:t>
            </w:r>
            <w:proofErr w:type="spellEnd"/>
            <w:r w:rsidRPr="5F157053">
              <w:rPr>
                <w:rFonts w:ascii="Century Gothic" w:eastAsia="Century Gothic" w:hAnsi="Century Gothic" w:cs="Century Gothic"/>
                <w:sz w:val="24"/>
                <w:szCs w:val="24"/>
                <w:lang w:val="en-US"/>
              </w:rPr>
              <w:t xml:space="preserve"> oral language / vocabulary checks and classroom observational measures: target +6 months progress equivalent across targeted group within the year. Phonics and early reading outcomes sustained or improved (phonics pass for disadvantaged at least maintained / improved from baseline). Implementation monitored termly. (Intervention impact reviewed through assessments and work scrutiny.)</w:t>
            </w:r>
          </w:p>
        </w:tc>
      </w:tr>
      <w:tr w:rsidR="007165D3" w14:paraId="0AA807A8"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3B9EEA22"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Narrow reading and </w:t>
            </w:r>
            <w:proofErr w:type="spellStart"/>
            <w:r w:rsidRPr="5F157053">
              <w:rPr>
                <w:rFonts w:ascii="Century Gothic" w:eastAsia="Century Gothic" w:hAnsi="Century Gothic" w:cs="Century Gothic"/>
                <w:sz w:val="24"/>
                <w:szCs w:val="24"/>
                <w:lang w:val="en-US"/>
              </w:rPr>
              <w:t>maths</w:t>
            </w:r>
            <w:proofErr w:type="spellEnd"/>
            <w:r w:rsidRPr="5F157053">
              <w:rPr>
                <w:rFonts w:ascii="Century Gothic" w:eastAsia="Century Gothic" w:hAnsi="Century Gothic" w:cs="Century Gothic"/>
                <w:sz w:val="24"/>
                <w:szCs w:val="24"/>
                <w:lang w:val="en-US"/>
              </w:rPr>
              <w:t xml:space="preserve"> attainment gaps caused by mobility and gaps in prior learning</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6DBDFACB"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Targeted small-group tuition and diagnostic teaching reduces % WTS  in Reading, Writing and Maths for disadvantaged pupils from current baseline (school to set cohort-specific numeric targets during forecast meetings). Evidence of catch-up in Reading </w:t>
            </w:r>
            <w:proofErr w:type="spellStart"/>
            <w:r w:rsidRPr="5F157053">
              <w:rPr>
                <w:rFonts w:ascii="Century Gothic" w:eastAsia="Century Gothic" w:hAnsi="Century Gothic" w:cs="Century Gothic"/>
                <w:sz w:val="24"/>
                <w:szCs w:val="24"/>
                <w:lang w:val="en-US"/>
              </w:rPr>
              <w:t>FLuency</w:t>
            </w:r>
            <w:proofErr w:type="spellEnd"/>
            <w:r w:rsidRPr="5F157053">
              <w:rPr>
                <w:rFonts w:ascii="Century Gothic" w:eastAsia="Century Gothic" w:hAnsi="Century Gothic" w:cs="Century Gothic"/>
                <w:sz w:val="24"/>
                <w:szCs w:val="24"/>
                <w:lang w:val="en-US"/>
              </w:rPr>
              <w:t xml:space="preserve"> Tests and number fluency in termly assessments; increased MTC outcomes for disadvantaged cohorts.</w:t>
            </w:r>
          </w:p>
        </w:tc>
      </w:tr>
      <w:tr w:rsidR="007165D3" w14:paraId="526368E9"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F7CBC15"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Raise EYFS school readiness for disadvantaged pupils</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1E4DDA59"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Increase in disadvantaged pupils achieving GLD </w:t>
            </w:r>
            <w:r w:rsidRPr="5F157053">
              <w:rPr>
                <w:rFonts w:ascii="Century Gothic" w:eastAsia="Century Gothic" w:hAnsi="Century Gothic" w:cs="Century Gothic"/>
                <w:sz w:val="24"/>
                <w:szCs w:val="24"/>
                <w:highlight w:val="white"/>
                <w:lang w:val="en-US"/>
              </w:rPr>
              <w:t>from  40% towards federation target of 78%) through targeted early-years language a</w:t>
            </w:r>
            <w:r w:rsidRPr="5F157053">
              <w:rPr>
                <w:rFonts w:ascii="Century Gothic" w:eastAsia="Century Gothic" w:hAnsi="Century Gothic" w:cs="Century Gothic"/>
                <w:sz w:val="24"/>
                <w:szCs w:val="24"/>
                <w:lang w:val="en-US"/>
              </w:rPr>
              <w:t>nd ready-to-learn provision; measured by EYFS assessment outcomes and baseline-to-term progress checks.</w:t>
            </w:r>
          </w:p>
        </w:tc>
      </w:tr>
      <w:tr w:rsidR="007165D3" w14:paraId="373A60CD"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34A8DBE5"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Improve writing outcomes for disadvantaged pupils</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473E4B5F"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Increase proportion of disadvantaged pupils working at expected standard in writing by end of year; improvement in sentence-level accuracy, vocabulary use and extended composition in moderated samples and in-term writing assessments. (Writing Project)</w:t>
            </w:r>
          </w:p>
        </w:tc>
      </w:tr>
      <w:tr w:rsidR="007165D3" w14:paraId="10A95A0C"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3051FADB"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Reduce SEMH-related barriers and improve social skills</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53A51542"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Reduced in-school incidents related to regulation and </w:t>
            </w:r>
            <w:proofErr w:type="spellStart"/>
            <w:r w:rsidRPr="5F157053">
              <w:rPr>
                <w:rFonts w:ascii="Century Gothic" w:eastAsia="Century Gothic" w:hAnsi="Century Gothic" w:cs="Century Gothic"/>
                <w:sz w:val="24"/>
                <w:szCs w:val="24"/>
                <w:lang w:val="en-US"/>
              </w:rPr>
              <w:t>behaviour</w:t>
            </w:r>
            <w:proofErr w:type="spellEnd"/>
            <w:r w:rsidRPr="5F157053">
              <w:rPr>
                <w:rFonts w:ascii="Century Gothic" w:eastAsia="Century Gothic" w:hAnsi="Century Gothic" w:cs="Century Gothic"/>
                <w:sz w:val="24"/>
                <w:szCs w:val="24"/>
                <w:lang w:val="en-US"/>
              </w:rPr>
              <w:t xml:space="preserve"> for targeted pupils; improved SEL survey responses; evidence of improved attendance/engagement for those pupils receiving targeted SEL support. (Pastoral Team’s work)</w:t>
            </w:r>
          </w:p>
        </w:tc>
      </w:tr>
      <w:tr w:rsidR="007165D3" w14:paraId="1C367151"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3AE6A004"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Improve early identification and support for SEND among mobile/disadvantaged pupils</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683ED7EB"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Shorter referral-to-intervention times: baseline audit of SEND identification to be reduced; increased proportion of needs identified within term of joining school; timely access to SEN support and, where necessary, EHCP processes.</w:t>
            </w:r>
          </w:p>
        </w:tc>
      </w:tr>
      <w:tr w:rsidR="007165D3" w14:paraId="7C2EFEB8"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EA6795A"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Increase attendance and punctuality </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14A76EF8"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Reduce persistent absence and lateness for disadvantaged pupils from </w:t>
            </w:r>
            <w:r w:rsidRPr="5F157053">
              <w:rPr>
                <w:rFonts w:ascii="Century Gothic" w:eastAsia="Century Gothic" w:hAnsi="Century Gothic" w:cs="Century Gothic"/>
                <w:sz w:val="24"/>
                <w:szCs w:val="24"/>
                <w:highlight w:val="white"/>
                <w:lang w:val="en-US"/>
              </w:rPr>
              <w:t xml:space="preserve">93% to 96% and increase participation rates in after-school/enrichment </w:t>
            </w:r>
            <w:proofErr w:type="spellStart"/>
            <w:r w:rsidRPr="5F157053">
              <w:rPr>
                <w:rFonts w:ascii="Century Gothic" w:eastAsia="Century Gothic" w:hAnsi="Century Gothic" w:cs="Century Gothic"/>
                <w:sz w:val="24"/>
                <w:szCs w:val="24"/>
                <w:highlight w:val="white"/>
                <w:lang w:val="en-US"/>
              </w:rPr>
              <w:t>programmes</w:t>
            </w:r>
            <w:proofErr w:type="spellEnd"/>
            <w:r w:rsidRPr="5F157053">
              <w:rPr>
                <w:rFonts w:ascii="Century Gothic" w:eastAsia="Century Gothic" w:hAnsi="Century Gothic" w:cs="Century Gothic"/>
                <w:sz w:val="24"/>
                <w:szCs w:val="24"/>
                <w:highlight w:val="white"/>
                <w:lang w:val="en-US"/>
              </w:rPr>
              <w:t xml:space="preserve"> </w:t>
            </w:r>
            <w:r w:rsidRPr="5F157053">
              <w:rPr>
                <w:rFonts w:ascii="Century Gothic" w:eastAsia="Century Gothic" w:hAnsi="Century Gothic" w:cs="Century Gothic"/>
                <w:sz w:val="24"/>
                <w:szCs w:val="24"/>
                <w:lang w:val="en-US"/>
              </w:rPr>
              <w:t>for disadvantaged pupils; monitor via registers and uptake data.</w:t>
            </w:r>
          </w:p>
        </w:tc>
      </w:tr>
      <w:tr w:rsidR="007165D3" w14:paraId="2789E7E3" w14:textId="77777777" w:rsidTr="5F157053">
        <w:trPr>
          <w:trHeight w:val="525"/>
        </w:trPr>
        <w:tc>
          <w:tcPr>
            <w:tcW w:w="2717"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0F4C81C"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Raise teacher expectations and consistency of high-quality teaching for DL pupils</w:t>
            </w:r>
          </w:p>
        </w:tc>
        <w:tc>
          <w:tcPr>
            <w:tcW w:w="10242"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0FDA93C0"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Evidence from lesson observations, work scrutiny and pupil outcomes shows consistent use of high-impact pedagogy, improved differentiation and higher expectations demonstrated in planning and practice across infant and junior sites. (Step lab evidence)</w:t>
            </w:r>
          </w:p>
        </w:tc>
      </w:tr>
    </w:tbl>
    <w:p w14:paraId="41C8F396" w14:textId="77777777" w:rsidR="007165D3" w:rsidRDefault="007165D3">
      <w:pPr>
        <w:spacing w:after="240"/>
        <w:ind w:left="720"/>
        <w:rPr>
          <w:rFonts w:ascii="Century Gothic" w:eastAsia="Century Gothic" w:hAnsi="Century Gothic" w:cs="Century Gothic"/>
          <w:sz w:val="24"/>
          <w:szCs w:val="24"/>
        </w:rPr>
      </w:pPr>
    </w:p>
    <w:p w14:paraId="72A3D3EC" w14:textId="77777777" w:rsidR="007165D3" w:rsidRDefault="007165D3">
      <w:pPr>
        <w:spacing w:after="240"/>
        <w:ind w:left="720"/>
        <w:rPr>
          <w:rFonts w:ascii="Century Gothic" w:eastAsia="Century Gothic" w:hAnsi="Century Gothic" w:cs="Century Gothic"/>
          <w:sz w:val="24"/>
          <w:szCs w:val="24"/>
        </w:rPr>
      </w:pPr>
    </w:p>
    <w:p w14:paraId="0D0B940D" w14:textId="77777777" w:rsidR="007165D3" w:rsidRDefault="007165D3">
      <w:pPr>
        <w:spacing w:after="240"/>
        <w:ind w:left="720"/>
        <w:rPr>
          <w:rFonts w:ascii="Century Gothic" w:eastAsia="Century Gothic" w:hAnsi="Century Gothic" w:cs="Century Gothic"/>
          <w:sz w:val="24"/>
          <w:szCs w:val="24"/>
        </w:rPr>
      </w:pPr>
    </w:p>
    <w:p w14:paraId="0E27B00A" w14:textId="77777777" w:rsidR="007165D3" w:rsidRDefault="007165D3">
      <w:pPr>
        <w:spacing w:after="240"/>
        <w:ind w:left="720"/>
        <w:rPr>
          <w:rFonts w:ascii="Century Gothic" w:eastAsia="Century Gothic" w:hAnsi="Century Gothic" w:cs="Century Gothic"/>
          <w:sz w:val="24"/>
          <w:szCs w:val="24"/>
        </w:rPr>
      </w:pPr>
    </w:p>
    <w:p w14:paraId="60061E4C" w14:textId="77777777" w:rsidR="007165D3" w:rsidRDefault="007165D3">
      <w:pPr>
        <w:spacing w:after="240"/>
        <w:ind w:left="720"/>
        <w:rPr>
          <w:rFonts w:ascii="Century Gothic" w:eastAsia="Century Gothic" w:hAnsi="Century Gothic" w:cs="Century Gothic"/>
          <w:sz w:val="24"/>
          <w:szCs w:val="24"/>
        </w:rPr>
      </w:pPr>
    </w:p>
    <w:p w14:paraId="44EAFD9C" w14:textId="77777777" w:rsidR="007165D3" w:rsidRDefault="007165D3">
      <w:pPr>
        <w:spacing w:after="240"/>
        <w:ind w:left="720"/>
        <w:rPr>
          <w:rFonts w:ascii="Century Gothic" w:eastAsia="Century Gothic" w:hAnsi="Century Gothic" w:cs="Century Gothic"/>
          <w:sz w:val="24"/>
          <w:szCs w:val="24"/>
        </w:rPr>
      </w:pPr>
    </w:p>
    <w:p w14:paraId="4A4C05D8" w14:textId="77777777" w:rsidR="007165D3" w:rsidRDefault="00BD1934">
      <w:pPr>
        <w:spacing w:after="240"/>
        <w:rPr>
          <w:rFonts w:ascii="Century Gothic" w:eastAsia="Century Gothic" w:hAnsi="Century Gothic" w:cs="Century Gothic"/>
          <w:sz w:val="24"/>
          <w:szCs w:val="24"/>
        </w:rPr>
      </w:pPr>
      <w:r>
        <w:rPr>
          <w:rFonts w:ascii="Century Gothic" w:eastAsia="Century Gothic" w:hAnsi="Century Gothic" w:cs="Century Gothic"/>
          <w:sz w:val="24"/>
          <w:szCs w:val="24"/>
        </w:rPr>
        <w:t>4. Activity in This Academic Year</w:t>
      </w:r>
    </w:p>
    <w:p w14:paraId="00E753C1"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Note on evidence: All evidence cited below is taken from Education Endowment Foundation guidance and reviews. Links to each EEF resource are included in the Evidence column.</w:t>
      </w:r>
    </w:p>
    <w:p w14:paraId="23D718FD"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A. Teaching (Tier 1: High-quality teaching, CPD, recruitment and retention)</w:t>
      </w:r>
    </w:p>
    <w:tbl>
      <w:tblPr>
        <w:tblStyle w:val="a3"/>
        <w:tblW w:w="12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703"/>
        <w:gridCol w:w="5257"/>
      </w:tblGrid>
      <w:tr w:rsidR="007165D3" w14:paraId="593BABB8" w14:textId="77777777" w:rsidTr="5F157053">
        <w:trPr>
          <w:trHeight w:val="525"/>
        </w:trPr>
        <w:tc>
          <w:tcPr>
            <w:tcW w:w="770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18283460"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Activity</w:t>
            </w:r>
          </w:p>
        </w:tc>
        <w:tc>
          <w:tcPr>
            <w:tcW w:w="5257" w:type="dxa"/>
            <w:tcBorders>
              <w:top w:val="single" w:sz="5" w:space="0" w:color="000000" w:themeColor="text1"/>
              <w:left w:val="nil"/>
              <w:bottom w:val="single" w:sz="5" w:space="0" w:color="000000" w:themeColor="text1"/>
              <w:right w:val="single" w:sz="5" w:space="0" w:color="000000" w:themeColor="text1"/>
            </w:tcBorders>
            <w:tcMar>
              <w:top w:w="120" w:type="dxa"/>
              <w:left w:w="120" w:type="dxa"/>
              <w:bottom w:w="120" w:type="dxa"/>
              <w:right w:w="120" w:type="dxa"/>
            </w:tcMar>
          </w:tcPr>
          <w:p w14:paraId="7392A3BF"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Evidence that supports this approach</w:t>
            </w:r>
          </w:p>
        </w:tc>
      </w:tr>
      <w:tr w:rsidR="007165D3" w14:paraId="01CB1406" w14:textId="77777777" w:rsidTr="5F157053">
        <w:trPr>
          <w:trHeight w:val="525"/>
        </w:trPr>
        <w:tc>
          <w:tcPr>
            <w:tcW w:w="7702"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04BF30B"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lastRenderedPageBreak/>
              <w:t xml:space="preserve">1. School-wide professional development </w:t>
            </w:r>
            <w:proofErr w:type="spellStart"/>
            <w:r w:rsidRPr="5F157053">
              <w:rPr>
                <w:rFonts w:ascii="Century Gothic" w:eastAsia="Century Gothic" w:hAnsi="Century Gothic" w:cs="Century Gothic"/>
                <w:sz w:val="24"/>
                <w:szCs w:val="24"/>
                <w:lang w:val="en-US"/>
              </w:rPr>
              <w:t>programme</w:t>
            </w:r>
            <w:proofErr w:type="spellEnd"/>
            <w:r w:rsidRPr="5F157053">
              <w:rPr>
                <w:rFonts w:ascii="Century Gothic" w:eastAsia="Century Gothic" w:hAnsi="Century Gothic" w:cs="Century Gothic"/>
                <w:sz w:val="24"/>
                <w:szCs w:val="24"/>
                <w:lang w:val="en-US"/>
              </w:rPr>
              <w:t xml:space="preserve"> on high-quality teaching (explicit instruction, scaffolding, modelling, talk strategies, vocabulary instruction via Step lab) with sustained coaching cycles and in-class coaching for teachers (termly cycles). Coaching/mentoring for early career teachers; release for lesson modelling and feedback.</w:t>
            </w:r>
          </w:p>
        </w:tc>
        <w:tc>
          <w:tcPr>
            <w:tcW w:w="5257"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58673DCA"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EEF guidance: Effective Professional Development — recommends sustained, content-focused PD, coaching and classroom modelling to change teacher practice and improve outcomes (</w:t>
            </w:r>
            <w:hyperlink r:id="rId9">
              <w:r>
                <w:rPr>
                  <w:rFonts w:ascii="Century Gothic" w:eastAsia="Century Gothic" w:hAnsi="Century Gothic" w:cs="Century Gothic"/>
                  <w:color w:val="0000CC"/>
                  <w:sz w:val="24"/>
                  <w:szCs w:val="24"/>
                  <w:u w:val="single"/>
                </w:rPr>
                <w:t>Effective Professional Development</w:t>
              </w:r>
            </w:hyperlink>
            <w:r>
              <w:rPr>
                <w:rFonts w:ascii="Century Gothic" w:eastAsia="Century Gothic" w:hAnsi="Century Gothic" w:cs="Century Gothic"/>
                <w:sz w:val="24"/>
                <w:szCs w:val="24"/>
              </w:rPr>
              <w:t>).</w:t>
            </w:r>
          </w:p>
        </w:tc>
      </w:tr>
      <w:tr w:rsidR="007165D3" w14:paraId="5D146950" w14:textId="77777777" w:rsidTr="5F157053">
        <w:trPr>
          <w:trHeight w:val="525"/>
        </w:trPr>
        <w:tc>
          <w:tcPr>
            <w:tcW w:w="7702"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6A757DF5"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2. Implement the EEF ‘Five-a-day’ teaching approaches for pupils with SEND across classrooms (explicit instruction, scaffolding, cognitive/metacognitive strategies, assessment for learning, </w:t>
            </w:r>
            <w:proofErr w:type="spellStart"/>
            <w:r w:rsidRPr="5F157053">
              <w:rPr>
                <w:rFonts w:ascii="Century Gothic" w:eastAsia="Century Gothic" w:hAnsi="Century Gothic" w:cs="Century Gothic"/>
                <w:sz w:val="24"/>
                <w:szCs w:val="24"/>
                <w:lang w:val="en-US"/>
              </w:rPr>
              <w:t>behaviour</w:t>
            </w:r>
            <w:proofErr w:type="spellEnd"/>
            <w:r w:rsidRPr="5F157053">
              <w:rPr>
                <w:rFonts w:ascii="Century Gothic" w:eastAsia="Century Gothic" w:hAnsi="Century Gothic" w:cs="Century Gothic"/>
                <w:sz w:val="24"/>
                <w:szCs w:val="24"/>
                <w:lang w:val="en-US"/>
              </w:rPr>
              <w:t xml:space="preserve"> routines) to raise universal provision for SEND and DL pupils.</w:t>
            </w:r>
          </w:p>
        </w:tc>
        <w:tc>
          <w:tcPr>
            <w:tcW w:w="5257"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33BC9703"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EEF guidance: Supporting high-quality teaching for pupils with SEND — 'Five-a-day' approaches are practical, evidence-aligned strategies to support inclusive teaching (</w:t>
            </w:r>
            <w:hyperlink r:id="rId10">
              <w:r>
                <w:rPr>
                  <w:rFonts w:ascii="Century Gothic" w:eastAsia="Century Gothic" w:hAnsi="Century Gothic" w:cs="Century Gothic"/>
                  <w:color w:val="0000CC"/>
                  <w:sz w:val="24"/>
                  <w:szCs w:val="24"/>
                  <w:u w:val="single"/>
                </w:rPr>
                <w:t>Supporting high-quality teaching for pupils with SEND</w:t>
              </w:r>
            </w:hyperlink>
            <w:r>
              <w:rPr>
                <w:rFonts w:ascii="Century Gothic" w:eastAsia="Century Gothic" w:hAnsi="Century Gothic" w:cs="Century Gothic"/>
                <w:sz w:val="24"/>
                <w:szCs w:val="24"/>
              </w:rPr>
              <w:t>).</w:t>
            </w:r>
          </w:p>
        </w:tc>
      </w:tr>
      <w:tr w:rsidR="007165D3" w14:paraId="43886217" w14:textId="77777777" w:rsidTr="5F157053">
        <w:trPr>
          <w:trHeight w:val="525"/>
        </w:trPr>
        <w:tc>
          <w:tcPr>
            <w:tcW w:w="7702"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74CB93C"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3. Oracy and vocabulary-focused CPD for all staff + development of explicit vocabulary progression (EYFS → KS2) embedded into units; planned teacher questioning and dialogic talk strategies.</w:t>
            </w:r>
          </w:p>
        </w:tc>
        <w:tc>
          <w:tcPr>
            <w:tcW w:w="5257"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3AD44D59"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EEF Toolkit: Oral Language Interventions — high impact on vocabulary and reading when embedded and linked to curriculum (</w:t>
            </w:r>
            <w:hyperlink r:id="rId11">
              <w:r>
                <w:rPr>
                  <w:rFonts w:ascii="Century Gothic" w:eastAsia="Century Gothic" w:hAnsi="Century Gothic" w:cs="Century Gothic"/>
                  <w:color w:val="0000CC"/>
                  <w:sz w:val="24"/>
                  <w:szCs w:val="24"/>
                  <w:u w:val="single"/>
                </w:rPr>
                <w:t>Oral Language Interventions</w:t>
              </w:r>
            </w:hyperlink>
            <w:r>
              <w:rPr>
                <w:rFonts w:ascii="Century Gothic" w:eastAsia="Century Gothic" w:hAnsi="Century Gothic" w:cs="Century Gothic"/>
                <w:sz w:val="24"/>
                <w:szCs w:val="24"/>
              </w:rPr>
              <w:t>). ELKAN assessments and strategies</w:t>
            </w:r>
          </w:p>
        </w:tc>
      </w:tr>
      <w:tr w:rsidR="007165D3" w14:paraId="14D50856" w14:textId="77777777" w:rsidTr="5F157053">
        <w:trPr>
          <w:trHeight w:val="525"/>
        </w:trPr>
        <w:tc>
          <w:tcPr>
            <w:tcW w:w="7702"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70DE5AF2"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4. Dedicated leadership time and recruitment/retention actions (e.g., structured induction, workload management, targeted TA </w:t>
            </w:r>
            <w:r w:rsidRPr="5F157053">
              <w:rPr>
                <w:rFonts w:ascii="Century Gothic" w:eastAsia="Century Gothic" w:hAnsi="Century Gothic" w:cs="Century Gothic"/>
                <w:sz w:val="24"/>
                <w:szCs w:val="24"/>
                <w:lang w:val="en-US"/>
              </w:rPr>
              <w:lastRenderedPageBreak/>
              <w:t xml:space="preserve">training) to </w:t>
            </w:r>
            <w:proofErr w:type="spellStart"/>
            <w:r w:rsidRPr="5F157053">
              <w:rPr>
                <w:rFonts w:ascii="Century Gothic" w:eastAsia="Century Gothic" w:hAnsi="Century Gothic" w:cs="Century Gothic"/>
                <w:sz w:val="24"/>
                <w:szCs w:val="24"/>
                <w:lang w:val="en-US"/>
              </w:rPr>
              <w:t>stabilise</w:t>
            </w:r>
            <w:proofErr w:type="spellEnd"/>
            <w:r w:rsidRPr="5F157053">
              <w:rPr>
                <w:rFonts w:ascii="Century Gothic" w:eastAsia="Century Gothic" w:hAnsi="Century Gothic" w:cs="Century Gothic"/>
                <w:sz w:val="24"/>
                <w:szCs w:val="24"/>
                <w:lang w:val="en-US"/>
              </w:rPr>
              <w:t xml:space="preserve"> staffing at both Infant and Junior sites and provide consistent approaches.</w:t>
            </w:r>
          </w:p>
        </w:tc>
        <w:tc>
          <w:tcPr>
            <w:tcW w:w="5257"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6B1A4237"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EEF Effective PD and EEF guidance on deployment of staff — investing leader </w:t>
            </w:r>
            <w:r>
              <w:rPr>
                <w:rFonts w:ascii="Century Gothic" w:eastAsia="Century Gothic" w:hAnsi="Century Gothic" w:cs="Century Gothic"/>
                <w:sz w:val="24"/>
                <w:szCs w:val="24"/>
              </w:rPr>
              <w:lastRenderedPageBreak/>
              <w:t>time and targeted training supports retention and improved teaching quality (</w:t>
            </w:r>
            <w:hyperlink r:id="rId12">
              <w:r>
                <w:rPr>
                  <w:rFonts w:ascii="Century Gothic" w:eastAsia="Century Gothic" w:hAnsi="Century Gothic" w:cs="Century Gothic"/>
                  <w:color w:val="0000CC"/>
                  <w:sz w:val="24"/>
                  <w:szCs w:val="24"/>
                  <w:u w:val="single"/>
                </w:rPr>
                <w:t>Effective Professional Development</w:t>
              </w:r>
            </w:hyperlink>
            <w:r>
              <w:rPr>
                <w:rFonts w:ascii="Century Gothic" w:eastAsia="Century Gothic" w:hAnsi="Century Gothic" w:cs="Century Gothic"/>
                <w:sz w:val="24"/>
                <w:szCs w:val="24"/>
              </w:rPr>
              <w:t>).</w:t>
            </w:r>
          </w:p>
        </w:tc>
      </w:tr>
      <w:tr w:rsidR="007165D3" w14:paraId="450B3FD1" w14:textId="77777777" w:rsidTr="5F157053">
        <w:trPr>
          <w:trHeight w:val="525"/>
        </w:trPr>
        <w:tc>
          <w:tcPr>
            <w:tcW w:w="7702"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996C87D"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lastRenderedPageBreak/>
              <w:t xml:space="preserve">5. Strengthen early reading and phonics progression (school-wide fidelity to chosen phonics </w:t>
            </w:r>
            <w:proofErr w:type="spellStart"/>
            <w:r w:rsidRPr="5F157053">
              <w:rPr>
                <w:rFonts w:ascii="Century Gothic" w:eastAsia="Century Gothic" w:hAnsi="Century Gothic" w:cs="Century Gothic"/>
                <w:sz w:val="24"/>
                <w:szCs w:val="24"/>
                <w:lang w:val="en-US"/>
              </w:rPr>
              <w:t>programme</w:t>
            </w:r>
            <w:proofErr w:type="spellEnd"/>
            <w:r w:rsidRPr="5F157053">
              <w:rPr>
                <w:rFonts w:ascii="Century Gothic" w:eastAsia="Century Gothic" w:hAnsi="Century Gothic" w:cs="Century Gothic"/>
                <w:sz w:val="24"/>
                <w:szCs w:val="24"/>
                <w:lang w:val="en-US"/>
              </w:rPr>
              <w:t xml:space="preserve"> Unlocking Letters and Sounds; CPD and coaching for phonics delivery).</w:t>
            </w:r>
          </w:p>
        </w:tc>
        <w:tc>
          <w:tcPr>
            <w:tcW w:w="5257"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416FA4B6"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EEF guidance on early literacy and phonics (see Oral Language and Early Years resources; EEF recommends high-quality phonics instruction as a central component for reading success) (</w:t>
            </w:r>
            <w:hyperlink r:id="rId13">
              <w:r w:rsidRPr="5F157053">
                <w:rPr>
                  <w:rFonts w:ascii="Century Gothic" w:eastAsia="Century Gothic" w:hAnsi="Century Gothic" w:cs="Century Gothic"/>
                  <w:color w:val="0000CC"/>
                  <w:sz w:val="24"/>
                  <w:szCs w:val="24"/>
                  <w:u w:val="single"/>
                  <w:lang w:val="en-US"/>
                </w:rPr>
                <w:t>Oral Language Interventions</w:t>
              </w:r>
            </w:hyperlink>
            <w:r w:rsidRPr="5F157053">
              <w:rPr>
                <w:rFonts w:ascii="Century Gothic" w:eastAsia="Century Gothic" w:hAnsi="Century Gothic" w:cs="Century Gothic"/>
                <w:sz w:val="24"/>
                <w:szCs w:val="24"/>
                <w:lang w:val="en-US"/>
              </w:rPr>
              <w:t>).</w:t>
            </w:r>
          </w:p>
        </w:tc>
      </w:tr>
    </w:tbl>
    <w:p w14:paraId="1D54F164"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B. Targeted Academic Support (Tier 2: one-to-one/small group support, structured interventions)</w:t>
      </w:r>
    </w:p>
    <w:tbl>
      <w:tblPr>
        <w:tblStyle w:val="a4"/>
        <w:tblW w:w="12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665"/>
        <w:gridCol w:w="5295"/>
      </w:tblGrid>
      <w:tr w:rsidR="007165D3" w14:paraId="275487D8" w14:textId="77777777" w:rsidTr="5F157053">
        <w:trPr>
          <w:trHeight w:val="525"/>
        </w:trPr>
        <w:tc>
          <w:tcPr>
            <w:tcW w:w="7665"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529AEE40"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Activity</w:t>
            </w:r>
          </w:p>
        </w:tc>
        <w:tc>
          <w:tcPr>
            <w:tcW w:w="5295" w:type="dxa"/>
            <w:tcBorders>
              <w:top w:val="single" w:sz="5" w:space="0" w:color="000000" w:themeColor="text1"/>
              <w:left w:val="nil"/>
              <w:bottom w:val="single" w:sz="5" w:space="0" w:color="000000" w:themeColor="text1"/>
              <w:right w:val="single" w:sz="5" w:space="0" w:color="000000" w:themeColor="text1"/>
            </w:tcBorders>
            <w:tcMar>
              <w:top w:w="120" w:type="dxa"/>
              <w:left w:w="120" w:type="dxa"/>
              <w:bottom w:w="120" w:type="dxa"/>
              <w:right w:w="120" w:type="dxa"/>
            </w:tcMar>
          </w:tcPr>
          <w:p w14:paraId="21C380EA"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Evidence that supports this approach</w:t>
            </w:r>
          </w:p>
        </w:tc>
      </w:tr>
      <w:tr w:rsidR="007165D3" w14:paraId="4BCBECE4" w14:textId="77777777" w:rsidTr="5F157053">
        <w:trPr>
          <w:trHeight w:val="525"/>
        </w:trPr>
        <w:tc>
          <w:tcPr>
            <w:tcW w:w="766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C3A47FF"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6. Small-group support in Reading and Writing for disadvantaged pupils identified by diagnostic assessment (groups of 2–4; sessions 3x weekly over sustained blocks). TAs trained and linked to in-class teaching.</w:t>
            </w:r>
          </w:p>
        </w:tc>
        <w:tc>
          <w:tcPr>
            <w:tcW w:w="529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438B34A8"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EEF Teaching &amp; Learning Toolkit: Small group tuition — average +4 months progress; greatest impact when closely linked to classroom teaching and staff are trained (</w:t>
            </w:r>
            <w:hyperlink r:id="rId14">
              <w:r w:rsidRPr="5F157053">
                <w:rPr>
                  <w:rFonts w:ascii="Century Gothic" w:eastAsia="Century Gothic" w:hAnsi="Century Gothic" w:cs="Century Gothic"/>
                  <w:color w:val="0000CC"/>
                  <w:sz w:val="24"/>
                  <w:szCs w:val="24"/>
                  <w:u w:val="single"/>
                  <w:lang w:val="en-US"/>
                </w:rPr>
                <w:t>Small Group Tuition</w:t>
              </w:r>
            </w:hyperlink>
            <w:r w:rsidRPr="5F157053">
              <w:rPr>
                <w:rFonts w:ascii="Century Gothic" w:eastAsia="Century Gothic" w:hAnsi="Century Gothic" w:cs="Century Gothic"/>
                <w:sz w:val="24"/>
                <w:szCs w:val="24"/>
                <w:lang w:val="en-US"/>
              </w:rPr>
              <w:t>).</w:t>
            </w:r>
          </w:p>
        </w:tc>
      </w:tr>
      <w:tr w:rsidR="007165D3" w14:paraId="54E3F3C3" w14:textId="77777777" w:rsidTr="5F157053">
        <w:trPr>
          <w:trHeight w:val="525"/>
        </w:trPr>
        <w:tc>
          <w:tcPr>
            <w:tcW w:w="766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07F1DAD"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lastRenderedPageBreak/>
              <w:t xml:space="preserve">7. EYFS targeted oral language interventions (daily/sustained sessions, small groups and 1:1 where needed) to raise GLD for disadvantaged pupils; link with home language </w:t>
            </w:r>
            <w:proofErr w:type="spellStart"/>
            <w:r w:rsidRPr="5F157053">
              <w:rPr>
                <w:rFonts w:ascii="Century Gothic" w:eastAsia="Century Gothic" w:hAnsi="Century Gothic" w:cs="Century Gothic"/>
                <w:sz w:val="24"/>
                <w:szCs w:val="24"/>
                <w:lang w:val="en-US"/>
              </w:rPr>
              <w:t>practises</w:t>
            </w:r>
            <w:proofErr w:type="spellEnd"/>
            <w:r w:rsidRPr="5F157053">
              <w:rPr>
                <w:rFonts w:ascii="Century Gothic" w:eastAsia="Century Gothic" w:hAnsi="Century Gothic" w:cs="Century Gothic"/>
                <w:sz w:val="24"/>
                <w:szCs w:val="24"/>
                <w:lang w:val="en-US"/>
              </w:rPr>
              <w:t xml:space="preserve"> and parental engagement.</w:t>
            </w:r>
          </w:p>
        </w:tc>
        <w:tc>
          <w:tcPr>
            <w:tcW w:w="529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7925DFDC"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EEF: Oral Language Interventions — very high impact for very low cost, particularly effective in early years and primary (</w:t>
            </w:r>
            <w:hyperlink r:id="rId15">
              <w:r w:rsidRPr="5F157053">
                <w:rPr>
                  <w:rFonts w:ascii="Century Gothic" w:eastAsia="Century Gothic" w:hAnsi="Century Gothic" w:cs="Century Gothic"/>
                  <w:color w:val="0000CC"/>
                  <w:sz w:val="24"/>
                  <w:szCs w:val="24"/>
                  <w:u w:val="single"/>
                  <w:lang w:val="en-US"/>
                </w:rPr>
                <w:t>Oral Language Interventions</w:t>
              </w:r>
            </w:hyperlink>
            <w:r w:rsidRPr="5F157053">
              <w:rPr>
                <w:rFonts w:ascii="Century Gothic" w:eastAsia="Century Gothic" w:hAnsi="Century Gothic" w:cs="Century Gothic"/>
                <w:sz w:val="24"/>
                <w:szCs w:val="24"/>
                <w:lang w:val="en-US"/>
              </w:rPr>
              <w:t>).</w:t>
            </w:r>
          </w:p>
        </w:tc>
      </w:tr>
      <w:tr w:rsidR="007165D3" w14:paraId="63D627D5" w14:textId="77777777" w:rsidTr="5F157053">
        <w:trPr>
          <w:trHeight w:val="525"/>
        </w:trPr>
        <w:tc>
          <w:tcPr>
            <w:tcW w:w="766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8F33588"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8. Structured writing interventions for pupils below expected in writing (explicit modelling, sentence-level work, scaffolding for composition, vocabulary banks) with 1:3 small-group delivery and in-class follow-up.</w:t>
            </w:r>
          </w:p>
        </w:tc>
        <w:tc>
          <w:tcPr>
            <w:tcW w:w="529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7D9EEF97"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EEF guidance on improving writing outcomes through explicit instruction, scaffolding and targeted small-group work (links via Effective Professional Development and Small Group Tuition) (</w:t>
            </w:r>
            <w:hyperlink r:id="rId16">
              <w:r>
                <w:rPr>
                  <w:rFonts w:ascii="Century Gothic" w:eastAsia="Century Gothic" w:hAnsi="Century Gothic" w:cs="Century Gothic"/>
                  <w:color w:val="0000CC"/>
                  <w:sz w:val="24"/>
                  <w:szCs w:val="24"/>
                  <w:u w:val="single"/>
                </w:rPr>
                <w:t>Effective Professional Development</w:t>
              </w:r>
            </w:hyperlink>
            <w:r>
              <w:rPr>
                <w:rFonts w:ascii="Century Gothic" w:eastAsia="Century Gothic" w:hAnsi="Century Gothic" w:cs="Century Gothic"/>
                <w:sz w:val="24"/>
                <w:szCs w:val="24"/>
              </w:rPr>
              <w:t>;</w:t>
            </w:r>
            <w:hyperlink r:id="rId17">
              <w:r>
                <w:rPr>
                  <w:rFonts w:ascii="Century Gothic" w:eastAsia="Century Gothic" w:hAnsi="Century Gothic" w:cs="Century Gothic"/>
                  <w:sz w:val="24"/>
                  <w:szCs w:val="24"/>
                </w:rPr>
                <w:t xml:space="preserve"> </w:t>
              </w:r>
            </w:hyperlink>
            <w:hyperlink r:id="rId18">
              <w:r>
                <w:rPr>
                  <w:rFonts w:ascii="Century Gothic" w:eastAsia="Century Gothic" w:hAnsi="Century Gothic" w:cs="Century Gothic"/>
                  <w:color w:val="0000CC"/>
                  <w:sz w:val="24"/>
                  <w:szCs w:val="24"/>
                  <w:u w:val="single"/>
                </w:rPr>
                <w:t>Small Group Tuition</w:t>
              </w:r>
            </w:hyperlink>
            <w:r>
              <w:rPr>
                <w:rFonts w:ascii="Century Gothic" w:eastAsia="Century Gothic" w:hAnsi="Century Gothic" w:cs="Century Gothic"/>
                <w:sz w:val="24"/>
                <w:szCs w:val="24"/>
              </w:rPr>
              <w:t>).</w:t>
            </w:r>
          </w:p>
        </w:tc>
      </w:tr>
      <w:tr w:rsidR="007165D3" w14:paraId="4A1B8CCA" w14:textId="77777777" w:rsidTr="5F157053">
        <w:trPr>
          <w:trHeight w:val="525"/>
        </w:trPr>
        <w:tc>
          <w:tcPr>
            <w:tcW w:w="766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2CB959F4"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9. Strategic deployment of trained TAs for targeted interventions (oral language, reading fluency, </w:t>
            </w:r>
            <w:proofErr w:type="spellStart"/>
            <w:r w:rsidRPr="5F157053">
              <w:rPr>
                <w:rFonts w:ascii="Century Gothic" w:eastAsia="Century Gothic" w:hAnsi="Century Gothic" w:cs="Century Gothic"/>
                <w:sz w:val="24"/>
                <w:szCs w:val="24"/>
                <w:lang w:val="en-US"/>
              </w:rPr>
              <w:t>maths</w:t>
            </w:r>
            <w:proofErr w:type="spellEnd"/>
            <w:r w:rsidRPr="5F157053">
              <w:rPr>
                <w:rFonts w:ascii="Century Gothic" w:eastAsia="Century Gothic" w:hAnsi="Century Gothic" w:cs="Century Gothic"/>
                <w:sz w:val="24"/>
                <w:szCs w:val="24"/>
                <w:lang w:val="en-US"/>
              </w:rPr>
              <w:t xml:space="preserve"> practice) with planned pre-brief/post-brief with class teachers; termly impact review.</w:t>
            </w:r>
          </w:p>
        </w:tc>
        <w:tc>
          <w:tcPr>
            <w:tcW w:w="529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6C5E60CA"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EEF guidance: Targeted academic support; evidence shows TA-led interventions can be effective when TAs are trained, prepared and integrated into planning and assessment (</w:t>
            </w:r>
            <w:hyperlink r:id="rId19">
              <w:r w:rsidRPr="5F157053">
                <w:rPr>
                  <w:rFonts w:ascii="Century Gothic" w:eastAsia="Century Gothic" w:hAnsi="Century Gothic" w:cs="Century Gothic"/>
                  <w:color w:val="0000CC"/>
                  <w:sz w:val="24"/>
                  <w:szCs w:val="24"/>
                  <w:u w:val="single"/>
                  <w:lang w:val="en-US"/>
                </w:rPr>
                <w:t>Targeted Academic Support</w:t>
              </w:r>
            </w:hyperlink>
            <w:r w:rsidRPr="5F157053">
              <w:rPr>
                <w:rFonts w:ascii="Century Gothic" w:eastAsia="Century Gothic" w:hAnsi="Century Gothic" w:cs="Century Gothic"/>
                <w:sz w:val="24"/>
                <w:szCs w:val="24"/>
                <w:lang w:val="en-US"/>
              </w:rPr>
              <w:t>).</w:t>
            </w:r>
          </w:p>
        </w:tc>
      </w:tr>
      <w:tr w:rsidR="007165D3" w14:paraId="76B183A2" w14:textId="77777777" w:rsidTr="5F157053">
        <w:trPr>
          <w:trHeight w:val="525"/>
        </w:trPr>
        <w:tc>
          <w:tcPr>
            <w:tcW w:w="766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1C3A442F"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10. Rapid diagnostic assessment on admission for mobile/service pupils and an accelerated catch-up plan </w:t>
            </w:r>
            <w:r w:rsidRPr="5F157053">
              <w:rPr>
                <w:rFonts w:ascii="Century Gothic" w:eastAsia="Century Gothic" w:hAnsi="Century Gothic" w:cs="Century Gothic"/>
                <w:sz w:val="24"/>
                <w:szCs w:val="24"/>
                <w:lang w:val="en-US"/>
              </w:rPr>
              <w:lastRenderedPageBreak/>
              <w:t>tailored to gaps (</w:t>
            </w:r>
            <w:proofErr w:type="spellStart"/>
            <w:r w:rsidRPr="5F157053">
              <w:rPr>
                <w:rFonts w:ascii="Century Gothic" w:eastAsia="Century Gothic" w:hAnsi="Century Gothic" w:cs="Century Gothic"/>
                <w:sz w:val="24"/>
                <w:szCs w:val="24"/>
                <w:lang w:val="en-US"/>
              </w:rPr>
              <w:t>maths</w:t>
            </w:r>
            <w:proofErr w:type="spellEnd"/>
            <w:r w:rsidRPr="5F157053">
              <w:rPr>
                <w:rFonts w:ascii="Century Gothic" w:eastAsia="Century Gothic" w:hAnsi="Century Gothic" w:cs="Century Gothic"/>
                <w:sz w:val="24"/>
                <w:szCs w:val="24"/>
                <w:lang w:val="en-US"/>
              </w:rPr>
              <w:t>/writing/reading) so pupils receive immediate targeted support.</w:t>
            </w:r>
          </w:p>
        </w:tc>
        <w:tc>
          <w:tcPr>
            <w:tcW w:w="529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3337C9EA"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lastRenderedPageBreak/>
              <w:t xml:space="preserve">EEF recommendations on targeted academic support and diagnostic </w:t>
            </w:r>
            <w:r w:rsidRPr="5F157053">
              <w:rPr>
                <w:rFonts w:ascii="Century Gothic" w:eastAsia="Century Gothic" w:hAnsi="Century Gothic" w:cs="Century Gothic"/>
                <w:sz w:val="24"/>
                <w:szCs w:val="24"/>
                <w:lang w:val="en-US"/>
              </w:rPr>
              <w:lastRenderedPageBreak/>
              <w:t xml:space="preserve">assessment to identify and </w:t>
            </w:r>
            <w:proofErr w:type="spellStart"/>
            <w:r w:rsidRPr="5F157053">
              <w:rPr>
                <w:rFonts w:ascii="Century Gothic" w:eastAsia="Century Gothic" w:hAnsi="Century Gothic" w:cs="Century Gothic"/>
                <w:sz w:val="24"/>
                <w:szCs w:val="24"/>
                <w:lang w:val="en-US"/>
              </w:rPr>
              <w:t>prioritise</w:t>
            </w:r>
            <w:proofErr w:type="spellEnd"/>
            <w:r w:rsidRPr="5F157053">
              <w:rPr>
                <w:rFonts w:ascii="Century Gothic" w:eastAsia="Century Gothic" w:hAnsi="Century Gothic" w:cs="Century Gothic"/>
                <w:sz w:val="24"/>
                <w:szCs w:val="24"/>
                <w:lang w:val="en-US"/>
              </w:rPr>
              <w:t xml:space="preserve"> pupils for tuition/intervention (</w:t>
            </w:r>
            <w:hyperlink r:id="rId20">
              <w:r w:rsidRPr="5F157053">
                <w:rPr>
                  <w:rFonts w:ascii="Century Gothic" w:eastAsia="Century Gothic" w:hAnsi="Century Gothic" w:cs="Century Gothic"/>
                  <w:color w:val="0000CC"/>
                  <w:sz w:val="24"/>
                  <w:szCs w:val="24"/>
                  <w:u w:val="single"/>
                  <w:lang w:val="en-US"/>
                </w:rPr>
                <w:t>Targeted Academic Support</w:t>
              </w:r>
            </w:hyperlink>
            <w:r w:rsidRPr="5F157053">
              <w:rPr>
                <w:rFonts w:ascii="Century Gothic" w:eastAsia="Century Gothic" w:hAnsi="Century Gothic" w:cs="Century Gothic"/>
                <w:sz w:val="24"/>
                <w:szCs w:val="24"/>
                <w:lang w:val="en-US"/>
              </w:rPr>
              <w:t>).</w:t>
            </w:r>
          </w:p>
        </w:tc>
      </w:tr>
    </w:tbl>
    <w:p w14:paraId="0F5667EF"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C. Wider Strategies (Tier 3: SEMH, attendance, enrichment)</w:t>
      </w:r>
    </w:p>
    <w:tbl>
      <w:tblPr>
        <w:tblStyle w:val="a5"/>
        <w:tblW w:w="12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695"/>
        <w:gridCol w:w="5265"/>
      </w:tblGrid>
      <w:tr w:rsidR="007165D3" w14:paraId="44B506E4" w14:textId="77777777" w:rsidTr="5F157053">
        <w:trPr>
          <w:trHeight w:val="525"/>
        </w:trPr>
        <w:tc>
          <w:tcPr>
            <w:tcW w:w="7695"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6734CC68"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Activity</w:t>
            </w:r>
          </w:p>
        </w:tc>
        <w:tc>
          <w:tcPr>
            <w:tcW w:w="5265" w:type="dxa"/>
            <w:tcBorders>
              <w:top w:val="single" w:sz="5" w:space="0" w:color="000000" w:themeColor="text1"/>
              <w:left w:val="nil"/>
              <w:bottom w:val="single" w:sz="5" w:space="0" w:color="000000" w:themeColor="text1"/>
              <w:right w:val="single" w:sz="5" w:space="0" w:color="000000" w:themeColor="text1"/>
            </w:tcBorders>
            <w:tcMar>
              <w:top w:w="120" w:type="dxa"/>
              <w:left w:w="120" w:type="dxa"/>
              <w:bottom w:w="120" w:type="dxa"/>
              <w:right w:w="120" w:type="dxa"/>
            </w:tcMar>
          </w:tcPr>
          <w:p w14:paraId="60074545" w14:textId="77777777" w:rsidR="007165D3" w:rsidRDefault="00BD1934">
            <w:pPr>
              <w:spacing w:before="240" w:after="2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Evidence that supports this approach</w:t>
            </w:r>
          </w:p>
        </w:tc>
      </w:tr>
      <w:tr w:rsidR="007165D3" w14:paraId="6ECF5C5D" w14:textId="77777777" w:rsidTr="5F157053">
        <w:trPr>
          <w:trHeight w:val="525"/>
        </w:trPr>
        <w:tc>
          <w:tcPr>
            <w:tcW w:w="769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39A67B39" w14:textId="77777777" w:rsidR="007165D3" w:rsidRDefault="00BD1934" w:rsidP="5F157053">
            <w:pPr>
              <w:spacing w:before="240" w:after="240"/>
              <w:rPr>
                <w:rFonts w:ascii="Century Gothic" w:eastAsia="Century Gothic" w:hAnsi="Century Gothic" w:cs="Century Gothic"/>
                <w:sz w:val="24"/>
                <w:szCs w:val="24"/>
                <w:highlight w:val="white"/>
                <w:lang w:val="en-US"/>
              </w:rPr>
            </w:pPr>
            <w:r w:rsidRPr="5F157053">
              <w:rPr>
                <w:rFonts w:ascii="Century Gothic" w:eastAsia="Century Gothic" w:hAnsi="Century Gothic" w:cs="Century Gothic"/>
                <w:sz w:val="24"/>
                <w:szCs w:val="24"/>
                <w:highlight w:val="white"/>
                <w:lang w:val="en-US"/>
              </w:rPr>
              <w:t xml:space="preserve">11. Implement a whole-school Social &amp; Emotional Learning (SEL) </w:t>
            </w:r>
            <w:proofErr w:type="spellStart"/>
            <w:r w:rsidRPr="5F157053">
              <w:rPr>
                <w:rFonts w:ascii="Century Gothic" w:eastAsia="Century Gothic" w:hAnsi="Century Gothic" w:cs="Century Gothic"/>
                <w:sz w:val="24"/>
                <w:szCs w:val="24"/>
                <w:highlight w:val="white"/>
                <w:lang w:val="en-US"/>
              </w:rPr>
              <w:t>programme</w:t>
            </w:r>
            <w:proofErr w:type="spellEnd"/>
            <w:r w:rsidRPr="5F157053">
              <w:rPr>
                <w:rFonts w:ascii="Century Gothic" w:eastAsia="Century Gothic" w:hAnsi="Century Gothic" w:cs="Century Gothic"/>
                <w:sz w:val="24"/>
                <w:szCs w:val="24"/>
                <w:highlight w:val="white"/>
                <w:lang w:val="en-US"/>
              </w:rPr>
              <w:t xml:space="preserve"> (SAFE principles, explicit SEL lessons plus integration across curriculum) with training for staff and monitoring of fidelity and impact; targeted small-group SEL for pupils with higher need supported by Family Support Adviser and Service Premium Champion.</w:t>
            </w:r>
          </w:p>
        </w:tc>
        <w:tc>
          <w:tcPr>
            <w:tcW w:w="526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7D239AF7" w14:textId="77777777" w:rsidR="007165D3" w:rsidRDefault="00BD1934" w:rsidP="5F157053">
            <w:pPr>
              <w:spacing w:before="240" w:after="240"/>
              <w:rPr>
                <w:rFonts w:ascii="Century Gothic" w:eastAsia="Century Gothic" w:hAnsi="Century Gothic" w:cs="Century Gothic"/>
                <w:sz w:val="24"/>
                <w:szCs w:val="24"/>
                <w:highlight w:val="white"/>
                <w:lang w:val="en-US"/>
              </w:rPr>
            </w:pPr>
            <w:r w:rsidRPr="5F157053">
              <w:rPr>
                <w:rFonts w:ascii="Century Gothic" w:eastAsia="Century Gothic" w:hAnsi="Century Gothic" w:cs="Century Gothic"/>
                <w:sz w:val="24"/>
                <w:szCs w:val="24"/>
                <w:highlight w:val="white"/>
                <w:lang w:val="en-US"/>
              </w:rPr>
              <w:t>EEF Teaching &amp; Learning Toolkit: Social and Emotional Learning — moderate impact (+3 months) for very low cost when implemented carefully and with training (</w:t>
            </w:r>
            <w:hyperlink r:id="rId21">
              <w:r w:rsidRPr="5F157053">
                <w:rPr>
                  <w:rFonts w:ascii="Century Gothic" w:eastAsia="Century Gothic" w:hAnsi="Century Gothic" w:cs="Century Gothic"/>
                  <w:color w:val="0000CC"/>
                  <w:sz w:val="24"/>
                  <w:szCs w:val="24"/>
                  <w:highlight w:val="white"/>
                  <w:u w:val="single"/>
                  <w:lang w:val="en-US"/>
                </w:rPr>
                <w:t>Social and Emotional Learning</w:t>
              </w:r>
            </w:hyperlink>
            <w:r w:rsidRPr="5F157053">
              <w:rPr>
                <w:rFonts w:ascii="Century Gothic" w:eastAsia="Century Gothic" w:hAnsi="Century Gothic" w:cs="Century Gothic"/>
                <w:sz w:val="24"/>
                <w:szCs w:val="24"/>
                <w:highlight w:val="white"/>
                <w:lang w:val="en-US"/>
              </w:rPr>
              <w:t>).</w:t>
            </w:r>
          </w:p>
        </w:tc>
      </w:tr>
      <w:tr w:rsidR="007165D3" w14:paraId="25808B2E" w14:textId="77777777" w:rsidTr="5F157053">
        <w:trPr>
          <w:trHeight w:val="525"/>
        </w:trPr>
        <w:tc>
          <w:tcPr>
            <w:tcW w:w="769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0396AEFB"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12. Strengthen attendance work: build holistic understanding of families, proactive communication with parents (Parent Hub messages/calls/ supportive meetings), targeted responsive interventions for pupils with rising absence, use of Pastoral Team to provide tailored support.</w:t>
            </w:r>
          </w:p>
        </w:tc>
        <w:tc>
          <w:tcPr>
            <w:tcW w:w="526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0812F422"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EEF Rapid Evidence Assessment: Attendance interventions — evidence of promise for parental engagement and responsive, targeted interventions; </w:t>
            </w:r>
            <w:proofErr w:type="spellStart"/>
            <w:r w:rsidRPr="5F157053">
              <w:rPr>
                <w:rFonts w:ascii="Century Gothic" w:eastAsia="Century Gothic" w:hAnsi="Century Gothic" w:cs="Century Gothic"/>
                <w:sz w:val="24"/>
                <w:szCs w:val="24"/>
                <w:lang w:val="en-US"/>
              </w:rPr>
              <w:t>emphasises</w:t>
            </w:r>
            <w:proofErr w:type="spellEnd"/>
            <w:r w:rsidRPr="5F157053">
              <w:rPr>
                <w:rFonts w:ascii="Century Gothic" w:eastAsia="Century Gothic" w:hAnsi="Century Gothic" w:cs="Century Gothic"/>
                <w:sz w:val="24"/>
                <w:szCs w:val="24"/>
                <w:lang w:val="en-US"/>
              </w:rPr>
              <w:t xml:space="preserve"> holistic diagnosis and family partnership (</w:t>
            </w:r>
            <w:hyperlink r:id="rId22">
              <w:r w:rsidRPr="5F157053">
                <w:rPr>
                  <w:rFonts w:ascii="Century Gothic" w:eastAsia="Century Gothic" w:hAnsi="Century Gothic" w:cs="Century Gothic"/>
                  <w:color w:val="0000CC"/>
                  <w:sz w:val="24"/>
                  <w:szCs w:val="24"/>
                  <w:u w:val="single"/>
                  <w:lang w:val="en-US"/>
                </w:rPr>
                <w:t>Attendance Interventions Rapid Evidence Assessment</w:t>
              </w:r>
            </w:hyperlink>
            <w:r w:rsidRPr="5F157053">
              <w:rPr>
                <w:rFonts w:ascii="Century Gothic" w:eastAsia="Century Gothic" w:hAnsi="Century Gothic" w:cs="Century Gothic"/>
                <w:sz w:val="24"/>
                <w:szCs w:val="24"/>
                <w:lang w:val="en-US"/>
              </w:rPr>
              <w:t>).</w:t>
            </w:r>
          </w:p>
        </w:tc>
      </w:tr>
      <w:tr w:rsidR="007165D3" w14:paraId="7BB461BA" w14:textId="77777777" w:rsidTr="5F157053">
        <w:trPr>
          <w:trHeight w:val="525"/>
        </w:trPr>
        <w:tc>
          <w:tcPr>
            <w:tcW w:w="769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625DB1C0"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13. Breakfast club / targeted meal support for vulnerable pupils to improve readiness and attendance and remove barriers to learning for some pupils.</w:t>
            </w:r>
          </w:p>
        </w:tc>
        <w:tc>
          <w:tcPr>
            <w:tcW w:w="526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0350F34C"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EEF attendance evidence shows meal provision/breakfast clubs have mixed but sometimes positive impacts on attendance and attainment (see attendance rapid evidence review and Magic Breakfast evaluation references in EEF review) (</w:t>
            </w:r>
            <w:hyperlink r:id="rId23">
              <w:r>
                <w:rPr>
                  <w:rFonts w:ascii="Century Gothic" w:eastAsia="Century Gothic" w:hAnsi="Century Gothic" w:cs="Century Gothic"/>
                  <w:color w:val="0000CC"/>
                  <w:sz w:val="24"/>
                  <w:szCs w:val="24"/>
                  <w:u w:val="single"/>
                </w:rPr>
                <w:t>Attendance Interventions Rapid Evidence Assessment</w:t>
              </w:r>
            </w:hyperlink>
            <w:r>
              <w:rPr>
                <w:rFonts w:ascii="Century Gothic" w:eastAsia="Century Gothic" w:hAnsi="Century Gothic" w:cs="Century Gothic"/>
                <w:sz w:val="24"/>
                <w:szCs w:val="24"/>
              </w:rPr>
              <w:t>).</w:t>
            </w:r>
          </w:p>
        </w:tc>
      </w:tr>
      <w:tr w:rsidR="007165D3" w14:paraId="4B55DBC6" w14:textId="77777777" w:rsidTr="5F157053">
        <w:trPr>
          <w:trHeight w:val="525"/>
        </w:trPr>
        <w:tc>
          <w:tcPr>
            <w:tcW w:w="769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6F5A6BDC"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14. </w:t>
            </w:r>
            <w:proofErr w:type="spellStart"/>
            <w:r w:rsidRPr="5F157053">
              <w:rPr>
                <w:rFonts w:ascii="Century Gothic" w:eastAsia="Century Gothic" w:hAnsi="Century Gothic" w:cs="Century Gothic"/>
                <w:sz w:val="24"/>
                <w:szCs w:val="24"/>
                <w:lang w:val="en-US"/>
              </w:rPr>
              <w:t>Subsidised</w:t>
            </w:r>
            <w:proofErr w:type="spellEnd"/>
            <w:r w:rsidRPr="5F157053">
              <w:rPr>
                <w:rFonts w:ascii="Century Gothic" w:eastAsia="Century Gothic" w:hAnsi="Century Gothic" w:cs="Century Gothic"/>
                <w:sz w:val="24"/>
                <w:szCs w:val="24"/>
                <w:lang w:val="en-US"/>
              </w:rPr>
              <w:t xml:space="preserve"> enrichment and extra-curricular offer (after-school clubs, holiday activities) targeted at disadvantaged pupils to widen experiences, support vocabulary and writing for purpose, and build social capital; monitor uptake and barriers (transport/cost).</w:t>
            </w:r>
          </w:p>
        </w:tc>
        <w:tc>
          <w:tcPr>
            <w:tcW w:w="526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3C6B4A46"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EEF: Wider approaches and Pupil Premium guidance </w:t>
            </w:r>
            <w:proofErr w:type="spellStart"/>
            <w:r w:rsidRPr="5F157053">
              <w:rPr>
                <w:rFonts w:ascii="Century Gothic" w:eastAsia="Century Gothic" w:hAnsi="Century Gothic" w:cs="Century Gothic"/>
                <w:sz w:val="24"/>
                <w:szCs w:val="24"/>
                <w:lang w:val="en-US"/>
              </w:rPr>
              <w:t>emphasise</w:t>
            </w:r>
            <w:proofErr w:type="spellEnd"/>
            <w:r w:rsidRPr="5F157053">
              <w:rPr>
                <w:rFonts w:ascii="Century Gothic" w:eastAsia="Century Gothic" w:hAnsi="Century Gothic" w:cs="Century Gothic"/>
                <w:sz w:val="24"/>
                <w:szCs w:val="24"/>
                <w:lang w:val="en-US"/>
              </w:rPr>
              <w:t xml:space="preserve"> extra-curricular offers as a way to improve engagement; attendance evidence shows some promise for enrichment as part of a multi-component strategy (</w:t>
            </w:r>
            <w:hyperlink r:id="rId24">
              <w:r w:rsidRPr="5F157053">
                <w:rPr>
                  <w:rFonts w:ascii="Century Gothic" w:eastAsia="Century Gothic" w:hAnsi="Century Gothic" w:cs="Century Gothic"/>
                  <w:color w:val="0000CC"/>
                  <w:sz w:val="24"/>
                  <w:szCs w:val="24"/>
                  <w:u w:val="single"/>
                  <w:lang w:val="en-US"/>
                </w:rPr>
                <w:t>Supporting Attendance summary</w:t>
              </w:r>
            </w:hyperlink>
            <w:r w:rsidRPr="5F157053">
              <w:rPr>
                <w:rFonts w:ascii="Century Gothic" w:eastAsia="Century Gothic" w:hAnsi="Century Gothic" w:cs="Century Gothic"/>
                <w:sz w:val="24"/>
                <w:szCs w:val="24"/>
                <w:lang w:val="en-US"/>
              </w:rPr>
              <w:t>).</w:t>
            </w:r>
          </w:p>
        </w:tc>
      </w:tr>
      <w:tr w:rsidR="007165D3" w14:paraId="001E5A42" w14:textId="77777777" w:rsidTr="5F157053">
        <w:trPr>
          <w:trHeight w:val="525"/>
        </w:trPr>
        <w:tc>
          <w:tcPr>
            <w:tcW w:w="769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47EAAA73"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15. Family and Service-family communication strategy (regular check-ins, deployment of Service Premium Champion, flexible meeting times around postings) plus parenting workshops on language-rich interactions for early years.</w:t>
            </w:r>
          </w:p>
        </w:tc>
        <w:tc>
          <w:tcPr>
            <w:tcW w:w="526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5CE6F784"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EEF attendance &amp; Pupil Premium guidance: parental engagement and communication is promising for both attendance and improving outcomes and is identified as a theme for attendance </w:t>
            </w:r>
            <w:r>
              <w:rPr>
                <w:rFonts w:ascii="Century Gothic" w:eastAsia="Century Gothic" w:hAnsi="Century Gothic" w:cs="Century Gothic"/>
                <w:sz w:val="24"/>
                <w:szCs w:val="24"/>
              </w:rPr>
              <w:lastRenderedPageBreak/>
              <w:t>strategies (</w:t>
            </w:r>
            <w:hyperlink r:id="rId25">
              <w:r>
                <w:rPr>
                  <w:rFonts w:ascii="Century Gothic" w:eastAsia="Century Gothic" w:hAnsi="Century Gothic" w:cs="Century Gothic"/>
                  <w:color w:val="0000CC"/>
                  <w:sz w:val="24"/>
                  <w:szCs w:val="24"/>
                  <w:u w:val="single"/>
                </w:rPr>
                <w:t>Supporting Attendance summary</w:t>
              </w:r>
            </w:hyperlink>
            <w:r>
              <w:rPr>
                <w:rFonts w:ascii="Century Gothic" w:eastAsia="Century Gothic" w:hAnsi="Century Gothic" w:cs="Century Gothic"/>
                <w:sz w:val="24"/>
                <w:szCs w:val="24"/>
              </w:rPr>
              <w:t>).</w:t>
            </w:r>
          </w:p>
        </w:tc>
      </w:tr>
      <w:tr w:rsidR="007165D3" w14:paraId="5A823B96" w14:textId="77777777" w:rsidTr="5F157053">
        <w:trPr>
          <w:trHeight w:val="525"/>
        </w:trPr>
        <w:tc>
          <w:tcPr>
            <w:tcW w:w="7695" w:type="dxa"/>
            <w:tcBorders>
              <w:top w:val="nil"/>
              <w:left w:val="single" w:sz="5" w:space="0" w:color="000000" w:themeColor="text1"/>
              <w:bottom w:val="single" w:sz="5" w:space="0" w:color="000000" w:themeColor="text1"/>
              <w:right w:val="single" w:sz="5" w:space="0" w:color="000000" w:themeColor="text1"/>
            </w:tcBorders>
            <w:tcMar>
              <w:top w:w="120" w:type="dxa"/>
              <w:left w:w="120" w:type="dxa"/>
              <w:bottom w:w="120" w:type="dxa"/>
              <w:right w:w="120" w:type="dxa"/>
            </w:tcMar>
          </w:tcPr>
          <w:p w14:paraId="0B9F1548"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lastRenderedPageBreak/>
              <w:t>16. SEND pathway review and rapid triage system for mobile entrants: ensure first-term screening, prompt referrals to SENCo, access to testing, and clear timelines for support and EHCP processes where required.</w:t>
            </w:r>
          </w:p>
        </w:tc>
        <w:tc>
          <w:tcPr>
            <w:tcW w:w="5265" w:type="dxa"/>
            <w:tcBorders>
              <w:top w:val="nil"/>
              <w:left w:val="nil"/>
              <w:bottom w:val="single" w:sz="5" w:space="0" w:color="000000" w:themeColor="text1"/>
              <w:right w:val="single" w:sz="5" w:space="0" w:color="000000" w:themeColor="text1"/>
            </w:tcBorders>
            <w:tcMar>
              <w:top w:w="120" w:type="dxa"/>
              <w:left w:w="120" w:type="dxa"/>
              <w:bottom w:w="120" w:type="dxa"/>
              <w:right w:w="120" w:type="dxa"/>
            </w:tcMar>
          </w:tcPr>
          <w:p w14:paraId="407A3326"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 xml:space="preserve">EEF guidance: High-quality teaching for pupils with SEND </w:t>
            </w:r>
            <w:proofErr w:type="spellStart"/>
            <w:r w:rsidRPr="5F157053">
              <w:rPr>
                <w:rFonts w:ascii="Century Gothic" w:eastAsia="Century Gothic" w:hAnsi="Century Gothic" w:cs="Century Gothic"/>
                <w:sz w:val="24"/>
                <w:szCs w:val="24"/>
                <w:lang w:val="en-US"/>
              </w:rPr>
              <w:t>emphasises</w:t>
            </w:r>
            <w:proofErr w:type="spellEnd"/>
            <w:r w:rsidRPr="5F157053">
              <w:rPr>
                <w:rFonts w:ascii="Century Gothic" w:eastAsia="Century Gothic" w:hAnsi="Century Gothic" w:cs="Century Gothic"/>
                <w:sz w:val="24"/>
                <w:szCs w:val="24"/>
                <w:lang w:val="en-US"/>
              </w:rPr>
              <w:t xml:space="preserve"> diagnostic assessment, targeted scaffolding and strategic TA deployment, and timely identification as central to improved outcomes (</w:t>
            </w:r>
            <w:hyperlink r:id="rId26">
              <w:r w:rsidRPr="5F157053">
                <w:rPr>
                  <w:rFonts w:ascii="Century Gothic" w:eastAsia="Century Gothic" w:hAnsi="Century Gothic" w:cs="Century Gothic"/>
                  <w:color w:val="0000CC"/>
                  <w:sz w:val="24"/>
                  <w:szCs w:val="24"/>
                  <w:u w:val="single"/>
                  <w:lang w:val="en-US"/>
                </w:rPr>
                <w:t>Supporting high-quality teaching for pupils with SEND</w:t>
              </w:r>
            </w:hyperlink>
            <w:r w:rsidRPr="5F157053">
              <w:rPr>
                <w:rFonts w:ascii="Century Gothic" w:eastAsia="Century Gothic" w:hAnsi="Century Gothic" w:cs="Century Gothic"/>
                <w:sz w:val="24"/>
                <w:szCs w:val="24"/>
                <w:lang w:val="en-US"/>
              </w:rPr>
              <w:t>).</w:t>
            </w:r>
          </w:p>
        </w:tc>
      </w:tr>
    </w:tbl>
    <w:p w14:paraId="6729426A"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Cross-referencing: Each Activity above corresponds to Challenge numbers as follows</w:t>
      </w:r>
    </w:p>
    <w:p w14:paraId="5547C8D0"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 → Challenges 2, 4, 9</w:t>
      </w:r>
    </w:p>
    <w:p w14:paraId="4805127A"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2 → Challenges 2, 6, 9</w:t>
      </w:r>
    </w:p>
    <w:p w14:paraId="1F182BC9"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3 → Challenges 1, 3, 7</w:t>
      </w:r>
    </w:p>
    <w:p w14:paraId="337D70F9"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4 → Challenges 4, 2</w:t>
      </w:r>
    </w:p>
    <w:p w14:paraId="0422F29E"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5 → Challenges 3, 7, 9</w:t>
      </w:r>
    </w:p>
    <w:p w14:paraId="0DE1756F"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6 → Challenges 2, 9</w:t>
      </w:r>
    </w:p>
    <w:p w14:paraId="217AAE6F"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7 → Challenges 2, 9</w:t>
      </w:r>
    </w:p>
    <w:p w14:paraId="7D0189EA"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8 → Challenges 7, 1, 3</w:t>
      </w:r>
    </w:p>
    <w:p w14:paraId="3FEBA3E3"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9 → Challenges 3, 9</w:t>
      </w:r>
    </w:p>
    <w:p w14:paraId="2CD68601"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10 → Challenges 6, 3, 2</w:t>
      </w:r>
    </w:p>
    <w:p w14:paraId="67DEFA89"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11 → Challenges 2, 6</w:t>
      </w:r>
    </w:p>
    <w:p w14:paraId="6F152D8B"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12 → Challenges 5, 3, 4</w:t>
      </w:r>
    </w:p>
    <w:p w14:paraId="43D369BE"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lastRenderedPageBreak/>
        <w:t>Activity 13 → Challenges 8, 5</w:t>
      </w:r>
    </w:p>
    <w:p w14:paraId="15BE0084"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14 → Challenges 8, 7</w:t>
      </w:r>
    </w:p>
    <w:p w14:paraId="3256014B"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15 → Challenges 8, 3, 5</w:t>
      </w:r>
    </w:p>
    <w:p w14:paraId="3DC2C0D2" w14:textId="77777777" w:rsidR="007165D3" w:rsidRDefault="00BD1934">
      <w:pPr>
        <w:numPr>
          <w:ilvl w:val="0"/>
          <w:numId w:val="1"/>
        </w:numPr>
        <w:rPr>
          <w:rFonts w:ascii="Century Gothic" w:eastAsia="Century Gothic" w:hAnsi="Century Gothic" w:cs="Century Gothic"/>
        </w:rPr>
      </w:pPr>
      <w:r>
        <w:rPr>
          <w:rFonts w:ascii="Century Gothic" w:eastAsia="Century Gothic" w:hAnsi="Century Gothic" w:cs="Century Gothic"/>
          <w:sz w:val="24"/>
          <w:szCs w:val="24"/>
        </w:rPr>
        <w:t>Activity 16 → Challenges 1, 8, 6</w:t>
      </w:r>
    </w:p>
    <w:p w14:paraId="776017C3" w14:textId="77777777" w:rsidR="007165D3" w:rsidRDefault="00BD1934">
      <w:pPr>
        <w:numPr>
          <w:ilvl w:val="0"/>
          <w:numId w:val="1"/>
        </w:numPr>
        <w:spacing w:after="240"/>
        <w:rPr>
          <w:rFonts w:ascii="Century Gothic" w:eastAsia="Century Gothic" w:hAnsi="Century Gothic" w:cs="Century Gothic"/>
        </w:rPr>
      </w:pPr>
      <w:r>
        <w:rPr>
          <w:rFonts w:ascii="Century Gothic" w:eastAsia="Century Gothic" w:hAnsi="Century Gothic" w:cs="Century Gothic"/>
          <w:sz w:val="24"/>
          <w:szCs w:val="24"/>
        </w:rPr>
        <w:t>Activity 17 → Challenges 6, 2</w:t>
      </w:r>
    </w:p>
    <w:p w14:paraId="73A10013" w14:textId="77777777" w:rsidR="007165D3" w:rsidRDefault="00BD1934" w:rsidP="5F157053">
      <w:pPr>
        <w:spacing w:before="240" w:after="240"/>
        <w:rPr>
          <w:rFonts w:ascii="Century Gothic" w:eastAsia="Century Gothic" w:hAnsi="Century Gothic" w:cs="Century Gothic"/>
          <w:sz w:val="24"/>
          <w:szCs w:val="24"/>
          <w:lang w:val="en-US"/>
        </w:rPr>
      </w:pPr>
      <w:r w:rsidRPr="5F157053">
        <w:rPr>
          <w:rFonts w:ascii="Century Gothic" w:eastAsia="Century Gothic" w:hAnsi="Century Gothic" w:cs="Century Gothic"/>
          <w:sz w:val="24"/>
          <w:szCs w:val="24"/>
          <w:lang w:val="en-US"/>
        </w:rPr>
        <w:t>(These challenge-number links are also shown in each Activity table row above.)</w:t>
      </w:r>
    </w:p>
    <w:p w14:paraId="7878594B"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Implementation and Monitoring (brief operational notes)</w:t>
      </w:r>
    </w:p>
    <w:p w14:paraId="0D966932" w14:textId="77777777" w:rsidR="007165D3" w:rsidRDefault="00BD1934">
      <w:pPr>
        <w:numPr>
          <w:ilvl w:val="0"/>
          <w:numId w:val="11"/>
        </w:numPr>
        <w:rPr>
          <w:rFonts w:ascii="Century Gothic" w:eastAsia="Century Gothic" w:hAnsi="Century Gothic" w:cs="Century Gothic"/>
        </w:rPr>
      </w:pPr>
      <w:r>
        <w:rPr>
          <w:rFonts w:ascii="Century Gothic" w:eastAsia="Century Gothic" w:hAnsi="Century Gothic" w:cs="Century Gothic"/>
          <w:sz w:val="24"/>
          <w:szCs w:val="24"/>
        </w:rPr>
        <w:t>Leadership and governance: The Executive Headteacher, Federation SENCo, Pupil Premium Lead and named governors will meet termly to review impact and finances. OFSTED context: the strategy aligns with the school’s aim to secure consistent high-quality teaching across subjects and to support mobile service families via Service Premium Champion and Pastoral Team</w:t>
      </w:r>
    </w:p>
    <w:p w14:paraId="131D61E6" w14:textId="77777777" w:rsidR="007165D3" w:rsidRDefault="00BD1934" w:rsidP="5F157053">
      <w:pPr>
        <w:numPr>
          <w:ilvl w:val="0"/>
          <w:numId w:val="11"/>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Data, selection and targeting: Use diagnostic assessments (</w:t>
      </w:r>
      <w:proofErr w:type="spellStart"/>
      <w:r w:rsidRPr="5F157053">
        <w:rPr>
          <w:rFonts w:ascii="Century Gothic" w:eastAsia="Century Gothic" w:hAnsi="Century Gothic" w:cs="Century Gothic"/>
          <w:sz w:val="24"/>
          <w:szCs w:val="24"/>
          <w:lang w:val="en-US"/>
        </w:rPr>
        <w:t>standardised</w:t>
      </w:r>
      <w:proofErr w:type="spellEnd"/>
      <w:r w:rsidRPr="5F157053">
        <w:rPr>
          <w:rFonts w:ascii="Century Gothic" w:eastAsia="Century Gothic" w:hAnsi="Century Gothic" w:cs="Century Gothic"/>
          <w:sz w:val="24"/>
          <w:szCs w:val="24"/>
          <w:lang w:val="en-US"/>
        </w:rPr>
        <w:t xml:space="preserve"> reading, </w:t>
      </w:r>
      <w:proofErr w:type="spellStart"/>
      <w:r w:rsidRPr="5F157053">
        <w:rPr>
          <w:rFonts w:ascii="Century Gothic" w:eastAsia="Century Gothic" w:hAnsi="Century Gothic" w:cs="Century Gothic"/>
          <w:sz w:val="24"/>
          <w:szCs w:val="24"/>
          <w:lang w:val="en-US"/>
        </w:rPr>
        <w:t>maths</w:t>
      </w:r>
      <w:proofErr w:type="spellEnd"/>
      <w:r w:rsidRPr="5F157053">
        <w:rPr>
          <w:rFonts w:ascii="Century Gothic" w:eastAsia="Century Gothic" w:hAnsi="Century Gothic" w:cs="Century Gothic"/>
          <w:sz w:val="24"/>
          <w:szCs w:val="24"/>
          <w:lang w:val="en-US"/>
        </w:rPr>
        <w:t xml:space="preserve"> checks, oral language screen in EYFS (ELKAN) and on admission for mobile pupils) to identify targets for interventions and to group pupils for small-group tuition. Record baseline and termly progress.</w:t>
      </w:r>
    </w:p>
    <w:p w14:paraId="10BD4CA1" w14:textId="77777777" w:rsidR="007165D3" w:rsidRDefault="00BD1934">
      <w:pPr>
        <w:numPr>
          <w:ilvl w:val="0"/>
          <w:numId w:val="11"/>
        </w:numPr>
        <w:rPr>
          <w:rFonts w:ascii="Century Gothic" w:eastAsia="Century Gothic" w:hAnsi="Century Gothic" w:cs="Century Gothic"/>
        </w:rPr>
      </w:pPr>
      <w:r>
        <w:rPr>
          <w:rFonts w:ascii="Century Gothic" w:eastAsia="Century Gothic" w:hAnsi="Century Gothic" w:cs="Century Gothic"/>
          <w:sz w:val="24"/>
          <w:szCs w:val="24"/>
        </w:rPr>
        <w:t>Fidelity: Use Step lab lesson observation, intervention session records, and TA reviews to ensure interventions are delivered as intended.</w:t>
      </w:r>
    </w:p>
    <w:p w14:paraId="72BBFF9E" w14:textId="77777777" w:rsidR="007165D3" w:rsidRDefault="00BD1934" w:rsidP="5F157053">
      <w:pPr>
        <w:numPr>
          <w:ilvl w:val="0"/>
          <w:numId w:val="11"/>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 xml:space="preserve">Measurement: Success criteria from the Intended Outcomes table will be monitored via termly attainment data, phonics checks, EYFS profiles, attendance/PAs, SEND referral timelines, SEL measures (pupil surveys and </w:t>
      </w:r>
      <w:proofErr w:type="spellStart"/>
      <w:r w:rsidRPr="5F157053">
        <w:rPr>
          <w:rFonts w:ascii="Century Gothic" w:eastAsia="Century Gothic" w:hAnsi="Century Gothic" w:cs="Century Gothic"/>
          <w:sz w:val="24"/>
          <w:szCs w:val="24"/>
          <w:lang w:val="en-US"/>
        </w:rPr>
        <w:t>behaviour</w:t>
      </w:r>
      <w:proofErr w:type="spellEnd"/>
      <w:r w:rsidRPr="5F157053">
        <w:rPr>
          <w:rFonts w:ascii="Century Gothic" w:eastAsia="Century Gothic" w:hAnsi="Century Gothic" w:cs="Century Gothic"/>
          <w:sz w:val="24"/>
          <w:szCs w:val="24"/>
          <w:lang w:val="en-US"/>
        </w:rPr>
        <w:t xml:space="preserve"> logs), and participation/uptake data for enrichment.</w:t>
      </w:r>
    </w:p>
    <w:p w14:paraId="2EDD3532" w14:textId="77777777" w:rsidR="007165D3" w:rsidRDefault="00BD1934" w:rsidP="5F157053">
      <w:pPr>
        <w:numPr>
          <w:ilvl w:val="0"/>
          <w:numId w:val="11"/>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 xml:space="preserve">Budgeting &amp; sustainability: Pupil Premium funding will be used to cover TA training, SEL </w:t>
      </w:r>
      <w:proofErr w:type="spellStart"/>
      <w:r w:rsidRPr="5F157053">
        <w:rPr>
          <w:rFonts w:ascii="Century Gothic" w:eastAsia="Century Gothic" w:hAnsi="Century Gothic" w:cs="Century Gothic"/>
          <w:sz w:val="24"/>
          <w:szCs w:val="24"/>
          <w:lang w:val="en-US"/>
        </w:rPr>
        <w:t>programme</w:t>
      </w:r>
      <w:proofErr w:type="spellEnd"/>
      <w:r w:rsidRPr="5F157053">
        <w:rPr>
          <w:rFonts w:ascii="Century Gothic" w:eastAsia="Century Gothic" w:hAnsi="Century Gothic" w:cs="Century Gothic"/>
          <w:sz w:val="24"/>
          <w:szCs w:val="24"/>
          <w:lang w:val="en-US"/>
        </w:rPr>
        <w:t xml:space="preserve"> training and staffing for pastoral roles </w:t>
      </w:r>
    </w:p>
    <w:p w14:paraId="23F4FD05" w14:textId="77777777" w:rsidR="007165D3" w:rsidRDefault="00BD1934">
      <w:pPr>
        <w:numPr>
          <w:ilvl w:val="0"/>
          <w:numId w:val="11"/>
        </w:numPr>
        <w:rPr>
          <w:rFonts w:ascii="Century Gothic" w:eastAsia="Century Gothic" w:hAnsi="Century Gothic" w:cs="Century Gothic"/>
        </w:rPr>
      </w:pPr>
      <w:r>
        <w:rPr>
          <w:rFonts w:ascii="Century Gothic" w:eastAsia="Century Gothic" w:hAnsi="Century Gothic" w:cs="Century Gothic"/>
          <w:sz w:val="24"/>
          <w:szCs w:val="24"/>
        </w:rPr>
        <w:t>Evidence base (key resources cited)</w:t>
      </w:r>
    </w:p>
    <w:p w14:paraId="43EC04E0" w14:textId="77777777" w:rsidR="007165D3" w:rsidRDefault="00BD1934">
      <w:pPr>
        <w:numPr>
          <w:ilvl w:val="0"/>
          <w:numId w:val="7"/>
        </w:numPr>
        <w:rPr>
          <w:rFonts w:ascii="Century Gothic" w:eastAsia="Century Gothic" w:hAnsi="Century Gothic" w:cs="Century Gothic"/>
        </w:rPr>
      </w:pPr>
      <w:r>
        <w:rPr>
          <w:rFonts w:ascii="Century Gothic" w:eastAsia="Century Gothic" w:hAnsi="Century Gothic" w:cs="Century Gothic"/>
          <w:sz w:val="24"/>
          <w:szCs w:val="24"/>
        </w:rPr>
        <w:t>Effective Professional Development — Education Endowment Foundation (</w:t>
      </w:r>
      <w:hyperlink r:id="rId27">
        <w:r>
          <w:rPr>
            <w:rFonts w:ascii="Century Gothic" w:eastAsia="Century Gothic" w:hAnsi="Century Gothic" w:cs="Century Gothic"/>
            <w:color w:val="0000CC"/>
            <w:sz w:val="24"/>
            <w:szCs w:val="24"/>
            <w:u w:val="single"/>
          </w:rPr>
          <w:t>Effective Professional Development</w:t>
        </w:r>
      </w:hyperlink>
      <w:r>
        <w:rPr>
          <w:rFonts w:ascii="Century Gothic" w:eastAsia="Century Gothic" w:hAnsi="Century Gothic" w:cs="Century Gothic"/>
          <w:sz w:val="24"/>
          <w:szCs w:val="24"/>
        </w:rPr>
        <w:t>).</w:t>
      </w:r>
    </w:p>
    <w:p w14:paraId="14BD95C0" w14:textId="77777777" w:rsidR="007165D3" w:rsidRDefault="00BD1934">
      <w:pPr>
        <w:numPr>
          <w:ilvl w:val="0"/>
          <w:numId w:val="7"/>
        </w:numPr>
        <w:rPr>
          <w:rFonts w:ascii="Century Gothic" w:eastAsia="Century Gothic" w:hAnsi="Century Gothic" w:cs="Century Gothic"/>
        </w:rPr>
      </w:pPr>
      <w:r>
        <w:rPr>
          <w:rFonts w:ascii="Century Gothic" w:eastAsia="Century Gothic" w:hAnsi="Century Gothic" w:cs="Century Gothic"/>
          <w:sz w:val="24"/>
          <w:szCs w:val="24"/>
        </w:rPr>
        <w:lastRenderedPageBreak/>
        <w:t>Supporting high-quality teaching for pupils with SEND — Education Endowment Foundation (</w:t>
      </w:r>
      <w:hyperlink r:id="rId28">
        <w:r>
          <w:rPr>
            <w:rFonts w:ascii="Century Gothic" w:eastAsia="Century Gothic" w:hAnsi="Century Gothic" w:cs="Century Gothic"/>
            <w:color w:val="0000CC"/>
            <w:sz w:val="24"/>
            <w:szCs w:val="24"/>
            <w:u w:val="single"/>
          </w:rPr>
          <w:t>Supporting high-quality teaching for pupils with SEND</w:t>
        </w:r>
      </w:hyperlink>
      <w:r>
        <w:rPr>
          <w:rFonts w:ascii="Century Gothic" w:eastAsia="Century Gothic" w:hAnsi="Century Gothic" w:cs="Century Gothic"/>
          <w:sz w:val="24"/>
          <w:szCs w:val="24"/>
        </w:rPr>
        <w:t>).</w:t>
      </w:r>
    </w:p>
    <w:p w14:paraId="2EC2BDEA" w14:textId="77777777" w:rsidR="007165D3" w:rsidRDefault="00BD1934">
      <w:pPr>
        <w:numPr>
          <w:ilvl w:val="0"/>
          <w:numId w:val="7"/>
        </w:numPr>
        <w:rPr>
          <w:rFonts w:ascii="Century Gothic" w:eastAsia="Century Gothic" w:hAnsi="Century Gothic" w:cs="Century Gothic"/>
        </w:rPr>
      </w:pPr>
      <w:r>
        <w:rPr>
          <w:rFonts w:ascii="Century Gothic" w:eastAsia="Century Gothic" w:hAnsi="Century Gothic" w:cs="Century Gothic"/>
          <w:sz w:val="24"/>
          <w:szCs w:val="24"/>
        </w:rPr>
        <w:t>Small Group Tuition — Education Endowment Foundation Teaching &amp; Learning Toolkit (</w:t>
      </w:r>
      <w:hyperlink r:id="rId29">
        <w:r>
          <w:rPr>
            <w:rFonts w:ascii="Century Gothic" w:eastAsia="Century Gothic" w:hAnsi="Century Gothic" w:cs="Century Gothic"/>
            <w:color w:val="0000CC"/>
            <w:sz w:val="24"/>
            <w:szCs w:val="24"/>
            <w:u w:val="single"/>
          </w:rPr>
          <w:t>Small Group Tuition</w:t>
        </w:r>
      </w:hyperlink>
      <w:r>
        <w:rPr>
          <w:rFonts w:ascii="Century Gothic" w:eastAsia="Century Gothic" w:hAnsi="Century Gothic" w:cs="Century Gothic"/>
          <w:sz w:val="24"/>
          <w:szCs w:val="24"/>
        </w:rPr>
        <w:t>).</w:t>
      </w:r>
    </w:p>
    <w:p w14:paraId="60E754CF" w14:textId="77777777" w:rsidR="007165D3" w:rsidRDefault="00BD1934">
      <w:pPr>
        <w:numPr>
          <w:ilvl w:val="0"/>
          <w:numId w:val="7"/>
        </w:numPr>
        <w:rPr>
          <w:rFonts w:ascii="Century Gothic" w:eastAsia="Century Gothic" w:hAnsi="Century Gothic" w:cs="Century Gothic"/>
        </w:rPr>
      </w:pPr>
      <w:r>
        <w:rPr>
          <w:rFonts w:ascii="Century Gothic" w:eastAsia="Century Gothic" w:hAnsi="Century Gothic" w:cs="Century Gothic"/>
          <w:sz w:val="24"/>
          <w:szCs w:val="24"/>
        </w:rPr>
        <w:t>One-to-one Tuition — Education Endowment Foundation Teaching &amp; Learning Toolkit (</w:t>
      </w:r>
      <w:hyperlink r:id="rId30">
        <w:r>
          <w:rPr>
            <w:rFonts w:ascii="Century Gothic" w:eastAsia="Century Gothic" w:hAnsi="Century Gothic" w:cs="Century Gothic"/>
            <w:color w:val="0000CC"/>
            <w:sz w:val="24"/>
            <w:szCs w:val="24"/>
            <w:u w:val="single"/>
          </w:rPr>
          <w:t>One-to-One Tuition</w:t>
        </w:r>
      </w:hyperlink>
      <w:r>
        <w:rPr>
          <w:rFonts w:ascii="Century Gothic" w:eastAsia="Century Gothic" w:hAnsi="Century Gothic" w:cs="Century Gothic"/>
          <w:sz w:val="24"/>
          <w:szCs w:val="24"/>
        </w:rPr>
        <w:t>).</w:t>
      </w:r>
    </w:p>
    <w:p w14:paraId="7DB3B23B" w14:textId="77777777" w:rsidR="007165D3" w:rsidRDefault="00BD1934">
      <w:pPr>
        <w:numPr>
          <w:ilvl w:val="0"/>
          <w:numId w:val="7"/>
        </w:numPr>
        <w:rPr>
          <w:rFonts w:ascii="Century Gothic" w:eastAsia="Century Gothic" w:hAnsi="Century Gothic" w:cs="Century Gothic"/>
        </w:rPr>
      </w:pPr>
      <w:r>
        <w:rPr>
          <w:rFonts w:ascii="Century Gothic" w:eastAsia="Century Gothic" w:hAnsi="Century Gothic" w:cs="Century Gothic"/>
          <w:sz w:val="24"/>
          <w:szCs w:val="24"/>
        </w:rPr>
        <w:t>Oral Language Interventions — Education Endowment Foundation Teaching &amp; Learning Toolkit (</w:t>
      </w:r>
      <w:hyperlink r:id="rId31">
        <w:r>
          <w:rPr>
            <w:rFonts w:ascii="Century Gothic" w:eastAsia="Century Gothic" w:hAnsi="Century Gothic" w:cs="Century Gothic"/>
            <w:color w:val="0000CC"/>
            <w:sz w:val="24"/>
            <w:szCs w:val="24"/>
            <w:u w:val="single"/>
          </w:rPr>
          <w:t>Oral Language Interventions</w:t>
        </w:r>
      </w:hyperlink>
      <w:r>
        <w:rPr>
          <w:rFonts w:ascii="Century Gothic" w:eastAsia="Century Gothic" w:hAnsi="Century Gothic" w:cs="Century Gothic"/>
          <w:sz w:val="24"/>
          <w:szCs w:val="24"/>
        </w:rPr>
        <w:t>).</w:t>
      </w:r>
    </w:p>
    <w:p w14:paraId="6FA392AD" w14:textId="77777777" w:rsidR="007165D3" w:rsidRDefault="00BD1934">
      <w:pPr>
        <w:numPr>
          <w:ilvl w:val="0"/>
          <w:numId w:val="7"/>
        </w:numPr>
        <w:rPr>
          <w:rFonts w:ascii="Century Gothic" w:eastAsia="Century Gothic" w:hAnsi="Century Gothic" w:cs="Century Gothic"/>
        </w:rPr>
      </w:pPr>
      <w:r>
        <w:rPr>
          <w:rFonts w:ascii="Century Gothic" w:eastAsia="Century Gothic" w:hAnsi="Century Gothic" w:cs="Century Gothic"/>
          <w:sz w:val="24"/>
          <w:szCs w:val="24"/>
        </w:rPr>
        <w:t>Social and Emotional Learning — Education Endowment Foundation Teaching &amp; Learning Toolkit (</w:t>
      </w:r>
      <w:hyperlink r:id="rId32">
        <w:r>
          <w:rPr>
            <w:rFonts w:ascii="Century Gothic" w:eastAsia="Century Gothic" w:hAnsi="Century Gothic" w:cs="Century Gothic"/>
            <w:color w:val="0000CC"/>
            <w:sz w:val="24"/>
            <w:szCs w:val="24"/>
            <w:u w:val="single"/>
          </w:rPr>
          <w:t>Social and Emotional Learning</w:t>
        </w:r>
      </w:hyperlink>
      <w:r>
        <w:rPr>
          <w:rFonts w:ascii="Century Gothic" w:eastAsia="Century Gothic" w:hAnsi="Century Gothic" w:cs="Century Gothic"/>
          <w:sz w:val="24"/>
          <w:szCs w:val="24"/>
        </w:rPr>
        <w:t>).</w:t>
      </w:r>
    </w:p>
    <w:p w14:paraId="1593155B" w14:textId="77777777" w:rsidR="007165D3" w:rsidRDefault="00BD1934">
      <w:pPr>
        <w:numPr>
          <w:ilvl w:val="0"/>
          <w:numId w:val="7"/>
        </w:numPr>
        <w:spacing w:after="240"/>
        <w:rPr>
          <w:rFonts w:ascii="Century Gothic" w:eastAsia="Century Gothic" w:hAnsi="Century Gothic" w:cs="Century Gothic"/>
        </w:rPr>
      </w:pPr>
      <w:r>
        <w:rPr>
          <w:rFonts w:ascii="Century Gothic" w:eastAsia="Century Gothic" w:hAnsi="Century Gothic" w:cs="Century Gothic"/>
          <w:sz w:val="24"/>
          <w:szCs w:val="24"/>
        </w:rPr>
        <w:t>Attendance Interventions Rapid Evidence Assessment / Supporting Attendance summary — Education Endowment Foundation (</w:t>
      </w:r>
      <w:hyperlink r:id="rId33">
        <w:r>
          <w:rPr>
            <w:rFonts w:ascii="Century Gothic" w:eastAsia="Century Gothic" w:hAnsi="Century Gothic" w:cs="Century Gothic"/>
            <w:color w:val="0000CC"/>
            <w:sz w:val="24"/>
            <w:szCs w:val="24"/>
            <w:u w:val="single"/>
          </w:rPr>
          <w:t>Attendance Interventions Rapid Evidence Assessment</w:t>
        </w:r>
      </w:hyperlink>
      <w:r>
        <w:rPr>
          <w:rFonts w:ascii="Century Gothic" w:eastAsia="Century Gothic" w:hAnsi="Century Gothic" w:cs="Century Gothic"/>
          <w:sz w:val="24"/>
          <w:szCs w:val="24"/>
        </w:rPr>
        <w:t>;</w:t>
      </w:r>
      <w:hyperlink r:id="rId34">
        <w:r>
          <w:rPr>
            <w:rFonts w:ascii="Century Gothic" w:eastAsia="Century Gothic" w:hAnsi="Century Gothic" w:cs="Century Gothic"/>
            <w:sz w:val="24"/>
            <w:szCs w:val="24"/>
          </w:rPr>
          <w:t xml:space="preserve"> </w:t>
        </w:r>
      </w:hyperlink>
      <w:hyperlink r:id="rId35">
        <w:r>
          <w:rPr>
            <w:rFonts w:ascii="Century Gothic" w:eastAsia="Century Gothic" w:hAnsi="Century Gothic" w:cs="Century Gothic"/>
            <w:color w:val="0000CC"/>
            <w:sz w:val="24"/>
            <w:szCs w:val="24"/>
            <w:u w:val="single"/>
          </w:rPr>
          <w:t>Supporting Attendance summary</w:t>
        </w:r>
      </w:hyperlink>
      <w:r>
        <w:rPr>
          <w:rFonts w:ascii="Century Gothic" w:eastAsia="Century Gothic" w:hAnsi="Century Gothic" w:cs="Century Gothic"/>
          <w:sz w:val="24"/>
          <w:szCs w:val="24"/>
        </w:rPr>
        <w:t>).</w:t>
      </w:r>
    </w:p>
    <w:p w14:paraId="3A7355FC"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School-specific rationale (how activities address our context)</w:t>
      </w:r>
    </w:p>
    <w:p w14:paraId="3E370F7E" w14:textId="77777777" w:rsidR="007165D3" w:rsidRDefault="00BD1934">
      <w:pPr>
        <w:numPr>
          <w:ilvl w:val="0"/>
          <w:numId w:val="9"/>
        </w:numPr>
        <w:rPr>
          <w:rFonts w:ascii="Century Gothic" w:eastAsia="Century Gothic" w:hAnsi="Century Gothic" w:cs="Century Gothic"/>
        </w:rPr>
      </w:pPr>
      <w:r>
        <w:rPr>
          <w:rFonts w:ascii="Century Gothic" w:eastAsia="Century Gothic" w:hAnsi="Century Gothic" w:cs="Century Gothic"/>
          <w:sz w:val="24"/>
          <w:szCs w:val="24"/>
        </w:rPr>
        <w:t>High mobility/service-child context: diagnostic on-entry assessment (Activity 11) plus targeted small-group tuition (Activities 6 &amp; 7) will accelerate catch-up for pupils joining mid-year. Service Premium Champion / Pastoral Team involvement (Activities 12, 13, 16) reflects OFSTED recognition of the importance of service-family pastoral support.</w:t>
      </w:r>
    </w:p>
    <w:p w14:paraId="62CD9C73" w14:textId="77777777" w:rsidR="007165D3" w:rsidRDefault="00BD1934">
      <w:pPr>
        <w:numPr>
          <w:ilvl w:val="0"/>
          <w:numId w:val="9"/>
        </w:numPr>
        <w:rPr>
          <w:rFonts w:ascii="Century Gothic" w:eastAsia="Century Gothic" w:hAnsi="Century Gothic" w:cs="Century Gothic"/>
        </w:rPr>
      </w:pPr>
      <w:r>
        <w:rPr>
          <w:rFonts w:ascii="Century Gothic" w:eastAsia="Century Gothic" w:hAnsi="Century Gothic" w:cs="Century Gothic"/>
          <w:sz w:val="24"/>
          <w:szCs w:val="24"/>
        </w:rPr>
        <w:t>High SEND and SEND complexity: implementing EEF’s ‘Five-a-day’ approaches (Activity 2), stronger SEND triage (Activity 17) and targeted TA training (Activity 10) will ensure inclusion and reduce delays in support.</w:t>
      </w:r>
    </w:p>
    <w:p w14:paraId="5BAA9155" w14:textId="77777777" w:rsidR="007165D3" w:rsidRDefault="00BD1934" w:rsidP="5F157053">
      <w:pPr>
        <w:numPr>
          <w:ilvl w:val="0"/>
          <w:numId w:val="9"/>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EYFS readiness and vocabulary: early language work (Activity 8) targeted at disadvantaged EYFS cohorts aims directly to raise GLD for disadvantaged pupils (school data baseline: disadvantaged GLD</w:t>
      </w:r>
      <w:r w:rsidRPr="5F157053">
        <w:rPr>
          <w:rFonts w:ascii="Century Gothic" w:eastAsia="Century Gothic" w:hAnsi="Century Gothic" w:cs="Century Gothic"/>
          <w:sz w:val="24"/>
          <w:szCs w:val="24"/>
          <w:highlight w:val="white"/>
          <w:lang w:val="en-US"/>
        </w:rPr>
        <w:t xml:space="preserve"> 40%).</w:t>
      </w:r>
    </w:p>
    <w:p w14:paraId="627163F3" w14:textId="77777777" w:rsidR="007165D3" w:rsidRDefault="00BD1934">
      <w:pPr>
        <w:numPr>
          <w:ilvl w:val="0"/>
          <w:numId w:val="9"/>
        </w:numPr>
        <w:rPr>
          <w:rFonts w:ascii="Century Gothic" w:eastAsia="Century Gothic" w:hAnsi="Century Gothic" w:cs="Century Gothic"/>
        </w:rPr>
      </w:pPr>
      <w:r>
        <w:rPr>
          <w:rFonts w:ascii="Century Gothic" w:eastAsia="Century Gothic" w:hAnsi="Century Gothic" w:cs="Century Gothic"/>
          <w:sz w:val="24"/>
          <w:szCs w:val="24"/>
        </w:rPr>
        <w:t>Writing &amp; reading priorities: high-quality teaching (Activity 1), dedicated phonics and reading/phonics fidelity (Activity 5), and targeted writing interventions (Activity 9) address the Federation priorities to improve phonics, early reading and writing outcomes.</w:t>
      </w:r>
    </w:p>
    <w:p w14:paraId="1FB5A39A" w14:textId="77777777" w:rsidR="007165D3" w:rsidRDefault="00BD1934" w:rsidP="5F157053">
      <w:pPr>
        <w:numPr>
          <w:ilvl w:val="0"/>
          <w:numId w:val="9"/>
        </w:numPr>
        <w:spacing w:after="240"/>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lastRenderedPageBreak/>
        <w:t xml:space="preserve">Attendance &amp; enrichment: focused attendance work (Activity 13), breakfast provision (Activity 14) and </w:t>
      </w:r>
      <w:proofErr w:type="spellStart"/>
      <w:r w:rsidRPr="5F157053">
        <w:rPr>
          <w:rFonts w:ascii="Century Gothic" w:eastAsia="Century Gothic" w:hAnsi="Century Gothic" w:cs="Century Gothic"/>
          <w:sz w:val="24"/>
          <w:szCs w:val="24"/>
          <w:lang w:val="en-US"/>
        </w:rPr>
        <w:t>subsidised</w:t>
      </w:r>
      <w:proofErr w:type="spellEnd"/>
      <w:r w:rsidRPr="5F157053">
        <w:rPr>
          <w:rFonts w:ascii="Century Gothic" w:eastAsia="Century Gothic" w:hAnsi="Century Gothic" w:cs="Century Gothic"/>
          <w:sz w:val="24"/>
          <w:szCs w:val="24"/>
          <w:lang w:val="en-US"/>
        </w:rPr>
        <w:t xml:space="preserve"> enrichment (Activity 15) will reduce barriers to access and participation.</w:t>
      </w:r>
    </w:p>
    <w:p w14:paraId="3641ECE8"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Governance and accountability</w:t>
      </w:r>
    </w:p>
    <w:p w14:paraId="38240CA8" w14:textId="77777777" w:rsidR="007165D3" w:rsidRDefault="00BD1934" w:rsidP="5F157053">
      <w:pPr>
        <w:numPr>
          <w:ilvl w:val="0"/>
          <w:numId w:val="8"/>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Termly report to governors including: Pupil Premium expenditure, detailed impact by cohort (service / disadvantaged / EAL / SEND), evaluation of interventions, and next steps. Governors will use the EEF Guide to the Pupil Premium and the school’s termly data to challenge and support leaders.</w:t>
      </w:r>
    </w:p>
    <w:p w14:paraId="08A6C9B4" w14:textId="77777777" w:rsidR="007165D3" w:rsidRDefault="00BD1934" w:rsidP="5F157053">
      <w:pPr>
        <w:numPr>
          <w:ilvl w:val="0"/>
          <w:numId w:val="8"/>
        </w:numPr>
        <w:spacing w:after="240"/>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Annual public Pupil Premium Statement (published on school website) detailing expenditure, activities and impact in-line with DfE expectations (this strategy document will be used as the working plan for the year).</w:t>
      </w:r>
    </w:p>
    <w:p w14:paraId="4BE37257"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Appendix: How each activity fits the DfE Menu of Approaches</w:t>
      </w:r>
    </w:p>
    <w:p w14:paraId="7C67A38F" w14:textId="77777777" w:rsidR="007165D3" w:rsidRDefault="00BD1934">
      <w:pPr>
        <w:numPr>
          <w:ilvl w:val="0"/>
          <w:numId w:val="5"/>
        </w:numPr>
        <w:rPr>
          <w:rFonts w:ascii="Century Gothic" w:eastAsia="Century Gothic" w:hAnsi="Century Gothic" w:cs="Century Gothic"/>
        </w:rPr>
      </w:pPr>
      <w:r>
        <w:rPr>
          <w:rFonts w:ascii="Century Gothic" w:eastAsia="Century Gothic" w:hAnsi="Century Gothic" w:cs="Century Gothic"/>
          <w:sz w:val="24"/>
          <w:szCs w:val="24"/>
        </w:rPr>
        <w:t>Tier 1 — High-quality Teaching: Activities 1, 2, 3, 4, 5 (CPD, inclusive pedagogy, oral language, phonics, leadership).</w:t>
      </w:r>
    </w:p>
    <w:p w14:paraId="0C94ACAF" w14:textId="77777777" w:rsidR="007165D3" w:rsidRDefault="00BD1934" w:rsidP="5F157053">
      <w:pPr>
        <w:numPr>
          <w:ilvl w:val="0"/>
          <w:numId w:val="5"/>
        </w:numPr>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 xml:space="preserve">Tier 2 — Targeted Academic Support: Activities 6, 7, 8, 9, 10, 11 (small-group tuition, one-to-one tuition, structured EYFS language </w:t>
      </w:r>
      <w:proofErr w:type="spellStart"/>
      <w:r w:rsidRPr="5F157053">
        <w:rPr>
          <w:rFonts w:ascii="Century Gothic" w:eastAsia="Century Gothic" w:hAnsi="Century Gothic" w:cs="Century Gothic"/>
          <w:sz w:val="24"/>
          <w:szCs w:val="24"/>
          <w:lang w:val="en-US"/>
        </w:rPr>
        <w:t>programmes</w:t>
      </w:r>
      <w:proofErr w:type="spellEnd"/>
      <w:r w:rsidRPr="5F157053">
        <w:rPr>
          <w:rFonts w:ascii="Century Gothic" w:eastAsia="Century Gothic" w:hAnsi="Century Gothic" w:cs="Century Gothic"/>
          <w:sz w:val="24"/>
          <w:szCs w:val="24"/>
          <w:lang w:val="en-US"/>
        </w:rPr>
        <w:t>, TA deployment, diagnostic on-entry catch-up).</w:t>
      </w:r>
    </w:p>
    <w:p w14:paraId="4938601D" w14:textId="77777777" w:rsidR="007165D3" w:rsidRDefault="00BD1934" w:rsidP="5F157053">
      <w:pPr>
        <w:numPr>
          <w:ilvl w:val="0"/>
          <w:numId w:val="5"/>
        </w:numPr>
        <w:spacing w:after="240"/>
        <w:rPr>
          <w:rFonts w:ascii="Century Gothic" w:eastAsia="Century Gothic" w:hAnsi="Century Gothic" w:cs="Century Gothic"/>
          <w:lang w:val="en-US"/>
        </w:rPr>
      </w:pPr>
      <w:r w:rsidRPr="5F157053">
        <w:rPr>
          <w:rFonts w:ascii="Century Gothic" w:eastAsia="Century Gothic" w:hAnsi="Century Gothic" w:cs="Century Gothic"/>
          <w:sz w:val="24"/>
          <w:szCs w:val="24"/>
          <w:lang w:val="en-US"/>
        </w:rPr>
        <w:t xml:space="preserve">Tier 3 — Wider Strategies: Activities 12, 13, 14, 15, 16, 17 (SEL </w:t>
      </w:r>
      <w:proofErr w:type="spellStart"/>
      <w:r w:rsidRPr="5F157053">
        <w:rPr>
          <w:rFonts w:ascii="Century Gothic" w:eastAsia="Century Gothic" w:hAnsi="Century Gothic" w:cs="Century Gothic"/>
          <w:sz w:val="24"/>
          <w:szCs w:val="24"/>
          <w:lang w:val="en-US"/>
        </w:rPr>
        <w:t>programme</w:t>
      </w:r>
      <w:proofErr w:type="spellEnd"/>
      <w:r w:rsidRPr="5F157053">
        <w:rPr>
          <w:rFonts w:ascii="Century Gothic" w:eastAsia="Century Gothic" w:hAnsi="Century Gothic" w:cs="Century Gothic"/>
          <w:sz w:val="24"/>
          <w:szCs w:val="24"/>
          <w:lang w:val="en-US"/>
        </w:rPr>
        <w:t>, attendance work, breakfast club/meal provision, enrichment, family support, SEND pathway).</w:t>
      </w:r>
    </w:p>
    <w:p w14:paraId="4C08FC05" w14:textId="77777777" w:rsidR="007165D3" w:rsidRDefault="00BD1934">
      <w:pPr>
        <w:spacing w:before="240" w:after="240"/>
        <w:rPr>
          <w:rFonts w:ascii="Century Gothic" w:eastAsia="Century Gothic" w:hAnsi="Century Gothic" w:cs="Century Gothic"/>
          <w:sz w:val="24"/>
          <w:szCs w:val="24"/>
        </w:rPr>
      </w:pPr>
      <w:r>
        <w:rPr>
          <w:rFonts w:ascii="Century Gothic" w:eastAsia="Century Gothic" w:hAnsi="Century Gothic" w:cs="Century Gothic"/>
          <w:sz w:val="24"/>
          <w:szCs w:val="24"/>
        </w:rPr>
        <w:t>This strategy will be reviewed and updated at least annually with termly progress reviews to ensure activity is delivering measurable impact for Clarendon Federation’s disadvantaged pupils, with transparent reporting to governors and publication in the school’s Pupil Premium statement.</w:t>
      </w:r>
    </w:p>
    <w:p w14:paraId="4B94D5A5" w14:textId="77777777" w:rsidR="007165D3" w:rsidRDefault="007165D3">
      <w:pPr>
        <w:spacing w:before="240" w:after="240"/>
        <w:rPr>
          <w:rFonts w:ascii="Century Gothic" w:eastAsia="Century Gothic" w:hAnsi="Century Gothic" w:cs="Century Gothic"/>
          <w:sz w:val="24"/>
          <w:szCs w:val="24"/>
        </w:rPr>
      </w:pPr>
    </w:p>
    <w:p w14:paraId="3DEEC669" w14:textId="77777777" w:rsidR="007165D3" w:rsidRDefault="007165D3">
      <w:pPr>
        <w:rPr>
          <w:rFonts w:ascii="Century Gothic" w:eastAsia="Century Gothic" w:hAnsi="Century Gothic" w:cs="Century Gothic"/>
        </w:rPr>
      </w:pPr>
    </w:p>
    <w:sectPr w:rsidR="007165D3">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E1DF3E-2E84-3140-A39C-EC350DEF70E9}"/>
  </w:font>
  <w:font w:name="Arial">
    <w:panose1 w:val="020B0604020202020204"/>
    <w:charset w:val="00"/>
    <w:family w:val="swiss"/>
    <w:pitch w:val="variable"/>
    <w:sig w:usb0="E0002EFF" w:usb1="C000785B" w:usb2="00000009" w:usb3="00000000" w:csb0="000001FF" w:csb1="00000000"/>
    <w:embedRegular r:id="rId2" w:fontKey="{BE33C1CC-E46F-DE48-93C4-1D2D922863C4}"/>
    <w:embedItalic r:id="rId3" w:fontKey="{10484892-4044-2B4B-98DA-D9FF2272FFB7}"/>
  </w:font>
  <w:font w:name="Century Gothic">
    <w:panose1 w:val="020B0502020202020204"/>
    <w:charset w:val="00"/>
    <w:family w:val="swiss"/>
    <w:pitch w:val="variable"/>
    <w:sig w:usb0="00000287" w:usb1="00000000" w:usb2="00000000" w:usb3="00000000" w:csb0="0000009F" w:csb1="00000000"/>
    <w:embedRegular r:id="rId4" w:fontKey="{502A8F23-244C-E549-B18C-EC449E69B85C}"/>
    <w:embedBold r:id="rId5" w:fontKey="{6A75FB0E-4C3B-3945-AADF-D54714F00512}"/>
    <w:embedBoldItalic r:id="rId6" w:fontKey="{C49278FC-73B0-7640-8AB2-8E4A37F0E85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DD4F773D-AD6C-CA4F-B614-17E9733211F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463F1C8F-14C1-4349-A8C5-F491A7C2DE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138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74FC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367F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3E2AC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68252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741CC4"/>
    <w:multiLevelType w:val="multilevel"/>
    <w:tmpl w:val="FFFFFFFF"/>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52A12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FA69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F965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D05713"/>
    <w:multiLevelType w:val="multilevel"/>
    <w:tmpl w:val="FFFFFFFF"/>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B541D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0525F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4448227">
    <w:abstractNumId w:val="2"/>
  </w:num>
  <w:num w:numId="2" w16cid:durableId="1349986152">
    <w:abstractNumId w:val="8"/>
  </w:num>
  <w:num w:numId="3" w16cid:durableId="261647924">
    <w:abstractNumId w:val="3"/>
  </w:num>
  <w:num w:numId="4" w16cid:durableId="1612781445">
    <w:abstractNumId w:val="10"/>
  </w:num>
  <w:num w:numId="5" w16cid:durableId="1425495491">
    <w:abstractNumId w:val="6"/>
  </w:num>
  <w:num w:numId="6" w16cid:durableId="703872053">
    <w:abstractNumId w:val="5"/>
  </w:num>
  <w:num w:numId="7" w16cid:durableId="1365717137">
    <w:abstractNumId w:val="1"/>
  </w:num>
  <w:num w:numId="8" w16cid:durableId="275673871">
    <w:abstractNumId w:val="11"/>
  </w:num>
  <w:num w:numId="9" w16cid:durableId="73014228">
    <w:abstractNumId w:val="0"/>
  </w:num>
  <w:num w:numId="10" w16cid:durableId="1639342042">
    <w:abstractNumId w:val="4"/>
  </w:num>
  <w:num w:numId="11" w16cid:durableId="961349383">
    <w:abstractNumId w:val="7"/>
  </w:num>
  <w:num w:numId="12" w16cid:durableId="12459185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5D3"/>
    <w:rsid w:val="004514EC"/>
    <w:rsid w:val="004C063B"/>
    <w:rsid w:val="0052698F"/>
    <w:rsid w:val="007165D3"/>
    <w:rsid w:val="00BD1934"/>
    <w:rsid w:val="5F1570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1CFA4F"/>
  <w15:docId w15:val="{DEBEE9AB-0454-464D-B99F-51778CF5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ducation-evidence/teaching-learning-toolkit/oral-language-interventions" TargetMode="External"/><Relationship Id="rId18" Type="http://schemas.openxmlformats.org/officeDocument/2006/relationships/hyperlink" Target="https://educationendowmentfoundation.org.uk/education-evidence/teaching-learning-toolkit/small-group-tuition" TargetMode="External"/><Relationship Id="rId26" Type="http://schemas.openxmlformats.org/officeDocument/2006/relationships/hyperlink" Target="https://educationendowmentfoundation.org.uk/education-evidence/guidance-reports/supporting-high-quality-teaching-for-pupils-with-send" TargetMode="External"/><Relationship Id="rId21" Type="http://schemas.openxmlformats.org/officeDocument/2006/relationships/hyperlink" Target="https://educationendowmentfoundation.org.uk/education-evidence/teaching-learning-toolkit/social-and-emotional-learning" TargetMode="External"/><Relationship Id="rId34" Type="http://schemas.openxmlformats.org/officeDocument/2006/relationships/hyperlink" Target="https://educationendowmentfoundation.org.uk/education-evidence/leadership-and-planning/supporting-attendance" TargetMode="External"/><Relationship Id="rId7" Type="http://schemas.openxmlformats.org/officeDocument/2006/relationships/webSettings" Target="webSettings.xml"/><Relationship Id="rId12" Type="http://schemas.openxmlformats.org/officeDocument/2006/relationships/hyperlink" Target="https://educationendowmentfoundation.org.uk/education-evidence/guidance-reports/effective-professional-development" TargetMode="External"/><Relationship Id="rId17" Type="http://schemas.openxmlformats.org/officeDocument/2006/relationships/hyperlink" Target="https://educationendowmentfoundation.org.uk/education-evidence/teaching-learning-toolkit/small-group-tuition" TargetMode="External"/><Relationship Id="rId25" Type="http://schemas.openxmlformats.org/officeDocument/2006/relationships/hyperlink" Target="https://educationendowmentfoundation.org.uk/education-evidence/leadership-and-planning/supporting-attendance" TargetMode="External"/><Relationship Id="rId33" Type="http://schemas.openxmlformats.org/officeDocument/2006/relationships/hyperlink" Target="https://educationendowmentfoundation.org.uk/education-evidence/evidence-reviews/attendance-interventions-rapid-evidence-assessment" TargetMode="External"/><Relationship Id="rId2" Type="http://schemas.openxmlformats.org/officeDocument/2006/relationships/customXml" Target="../customXml/item2.xml"/><Relationship Id="rId16" Type="http://schemas.openxmlformats.org/officeDocument/2006/relationships/hyperlink" Target="https://educationendowmentfoundation.org.uk/education-evidence/guidance-reports/effective-professional-development" TargetMode="External"/><Relationship Id="rId20" Type="http://schemas.openxmlformats.org/officeDocument/2006/relationships/hyperlink" Target="https://educationendowmentfoundation.org.uk/support-for-schools/school-planning-support/2-targeted-academic-support" TargetMode="External"/><Relationship Id="rId29" Type="http://schemas.openxmlformats.org/officeDocument/2006/relationships/hyperlink" Target="https://educationendowmentfoundation.org.uk/education-evidence/teaching-learning-toolkit/small-group-tui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teaching-learning-toolkit/oral-language-interventions" TargetMode="External"/><Relationship Id="rId24" Type="http://schemas.openxmlformats.org/officeDocument/2006/relationships/hyperlink" Target="https://educationendowmentfoundation.org.uk/education-evidence/leadership-and-planning/supporting-attendance" TargetMode="External"/><Relationship Id="rId32" Type="http://schemas.openxmlformats.org/officeDocument/2006/relationships/hyperlink" Target="https://educationendowmentfoundation.org.uk/education-evidence/teaching-learning-toolkit/social-and-emotional-learnin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endowmentfoundation.org.uk/education-evidence/teaching-learning-toolkit/oral-language-interventions" TargetMode="External"/><Relationship Id="rId23" Type="http://schemas.openxmlformats.org/officeDocument/2006/relationships/hyperlink" Target="https://educationendowmentfoundation.org.uk/education-evidence/evidence-reviews/attendance-interventions-rapid-evidence-assessment" TargetMode="External"/><Relationship Id="rId28" Type="http://schemas.openxmlformats.org/officeDocument/2006/relationships/hyperlink" Target="https://educationendowmentfoundation.org.uk/education-evidence/guidance-reports/supporting-high-quality-teaching-for-pupils-with-send" TargetMode="External"/><Relationship Id="rId36" Type="http://schemas.openxmlformats.org/officeDocument/2006/relationships/fontTable" Target="fontTable.xml"/><Relationship Id="rId10" Type="http://schemas.openxmlformats.org/officeDocument/2006/relationships/hyperlink" Target="https://educationendowmentfoundation.org.uk/education-evidence/guidance-reports/supporting-high-quality-teaching-for-pupils-with-send" TargetMode="External"/><Relationship Id="rId19" Type="http://schemas.openxmlformats.org/officeDocument/2006/relationships/hyperlink" Target="https://educationendowmentfoundation.org.uk/support-for-schools/school-planning-support/2-targeted-academic-support" TargetMode="External"/><Relationship Id="rId31" Type="http://schemas.openxmlformats.org/officeDocument/2006/relationships/hyperlink" Target="https://educationendowmentfoundation.org.uk/education-evidence/teaching-learning-toolkit/oral-language-interventions" TargetMode="External"/><Relationship Id="rId4" Type="http://schemas.openxmlformats.org/officeDocument/2006/relationships/numbering" Target="numbering.xml"/><Relationship Id="rId9" Type="http://schemas.openxmlformats.org/officeDocument/2006/relationships/hyperlink" Target="https://educationendowmentfoundation.org.uk/education-evidence/guidance-reports/effective-professional-development" TargetMode="External"/><Relationship Id="rId14" Type="http://schemas.openxmlformats.org/officeDocument/2006/relationships/hyperlink" Target="https://educationendowmentfoundation.org.uk/education-evidence/teaching-learning-toolkit/small-group-tuition" TargetMode="External"/><Relationship Id="rId22" Type="http://schemas.openxmlformats.org/officeDocument/2006/relationships/hyperlink" Target="https://educationendowmentfoundation.org.uk/education-evidence/evidence-reviews/attendance-interventions-rapid-evidence-assessment" TargetMode="External"/><Relationship Id="rId27" Type="http://schemas.openxmlformats.org/officeDocument/2006/relationships/hyperlink" Target="https://educationendowmentfoundation.org.uk/education-evidence/guidance-reports/effective-professional-development" TargetMode="External"/><Relationship Id="rId30" Type="http://schemas.openxmlformats.org/officeDocument/2006/relationships/hyperlink" Target="https://educationendowmentfoundation.org.uk/education-evidence/teaching-learning-toolkit/one-to-one-tuition" TargetMode="External"/><Relationship Id="rId35" Type="http://schemas.openxmlformats.org/officeDocument/2006/relationships/hyperlink" Target="https://educationendowmentfoundation.org.uk/education-evidence/leadership-and-planning/supporting-attendance" TargetMode="External"/><Relationship Id="rId8" Type="http://schemas.openxmlformats.org/officeDocument/2006/relationships/image" Target="media/image1.pn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02DC44DB6E814F9F0F030730246F8C" ma:contentTypeVersion="6" ma:contentTypeDescription="Create a new document." ma:contentTypeScope="" ma:versionID="9806c3f33315ffbd1b1b67762099cdde">
  <xsd:schema xmlns:xsd="http://www.w3.org/2001/XMLSchema" xmlns:xs="http://www.w3.org/2001/XMLSchema" xmlns:p="http://schemas.microsoft.com/office/2006/metadata/properties" xmlns:ns2="497c97f8-b5b1-442d-81a8-18cda9761841" xmlns:ns3="6179d346-3f00-437a-ad8b-e056e56b0893" targetNamespace="http://schemas.microsoft.com/office/2006/metadata/properties" ma:root="true" ma:fieldsID="56f96ebc2fcb65b4acae1391a8c89cd1" ns2:_="" ns3:_="">
    <xsd:import namespace="497c97f8-b5b1-442d-81a8-18cda9761841"/>
    <xsd:import namespace="6179d346-3f00-437a-ad8b-e056e56b08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97f8-b5b1-442d-81a8-18cda9761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9d346-3f00-437a-ad8b-e056e56b08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7E79B2-9BA7-448C-8E14-6D613DF3D7A5}">
  <ds:schemaRefs>
    <ds:schemaRef ds:uri="http://schemas.microsoft.com/sharepoint/v3/contenttype/forms"/>
  </ds:schemaRefs>
</ds:datastoreItem>
</file>

<file path=customXml/itemProps2.xml><?xml version="1.0" encoding="utf-8"?>
<ds:datastoreItem xmlns:ds="http://schemas.openxmlformats.org/officeDocument/2006/customXml" ds:itemID="{2DBD853C-1CEF-4DCE-8E5D-3E7B46CBFF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F4F62E-42B3-4636-A6A9-7902842C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97f8-b5b1-442d-81a8-18cda9761841"/>
    <ds:schemaRef ds:uri="6179d346-3f00-437a-ad8b-e056e56b0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3863</Words>
  <Characters>22025</Characters>
  <Application>Microsoft Office Word</Application>
  <DocSecurity>0</DocSecurity>
  <Lines>183</Lines>
  <Paragraphs>51</Paragraphs>
  <ScaleCrop>false</ScaleCrop>
  <Company/>
  <LinksUpToDate>false</LinksUpToDate>
  <CharactersWithSpaces>25837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2025-12-04T18:24:00Z</dcterms:created>
  <dcterms:modified xsi:type="dcterms:W3CDTF">2025-12-04T18:24:00Z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0x0101000502DC44DB6E814F9F0F030730246F8C</vt:lpwstr>
  </property>
</Properties>
</file>