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572" w:tblpY="-405"/>
        <w:tblW w:w="15314" w:type="dxa"/>
        <w:tblLook w:val="04A0" w:firstRow="1" w:lastRow="0" w:firstColumn="1" w:lastColumn="0" w:noHBand="0" w:noVBand="1"/>
      </w:tblPr>
      <w:tblGrid>
        <w:gridCol w:w="8510"/>
        <w:gridCol w:w="2268"/>
        <w:gridCol w:w="2268"/>
        <w:gridCol w:w="2268"/>
      </w:tblGrid>
      <w:tr w:rsidR="0095799A" w:rsidTr="002124D8">
        <w:trPr>
          <w:trHeight w:val="794"/>
        </w:trPr>
        <w:tc>
          <w:tcPr>
            <w:tcW w:w="15314" w:type="dxa"/>
            <w:gridSpan w:val="4"/>
            <w:shd w:val="clear" w:color="auto" w:fill="004489"/>
            <w:vAlign w:val="center"/>
          </w:tcPr>
          <w:p w:rsidR="0095799A" w:rsidRPr="00B92AF9" w:rsidRDefault="0095799A" w:rsidP="002124D8">
            <w:pPr>
              <w:jc w:val="center"/>
              <w:rPr>
                <w:rFonts w:ascii="Arial" w:hAnsi="Arial" w:cs="Arial"/>
                <w:b/>
              </w:rPr>
            </w:pPr>
            <w:r w:rsidRPr="00B92AF9">
              <w:rPr>
                <w:rFonts w:ascii="Arial" w:hAnsi="Arial" w:cs="Arial"/>
                <w:b/>
                <w:color w:val="8493BE"/>
                <w:sz w:val="36"/>
              </w:rPr>
              <w:t>Pupils staying in education or employment</w:t>
            </w:r>
          </w:p>
        </w:tc>
      </w:tr>
      <w:tr w:rsidR="002703C6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2703C6" w:rsidRPr="00B92AF9" w:rsidRDefault="002703C6" w:rsidP="002124D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B92AF9" w:rsidRDefault="0095799A" w:rsidP="002124D8">
            <w:pPr>
              <w:jc w:val="center"/>
              <w:rPr>
                <w:rFonts w:ascii="Arial" w:hAnsi="Arial" w:cs="Arial"/>
                <w:b/>
              </w:rPr>
            </w:pPr>
            <w:r w:rsidRPr="00B92AF9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B92AF9" w:rsidRDefault="0095799A" w:rsidP="002124D8">
            <w:pPr>
              <w:jc w:val="center"/>
              <w:rPr>
                <w:rFonts w:ascii="Arial" w:hAnsi="Arial" w:cs="Arial"/>
                <w:b/>
              </w:rPr>
            </w:pPr>
            <w:r w:rsidRPr="00B92AF9">
              <w:rPr>
                <w:rFonts w:ascii="Arial" w:hAnsi="Arial" w:cs="Arial"/>
                <w:b/>
              </w:rPr>
              <w:t>Local Authority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B92AF9" w:rsidRDefault="0095799A" w:rsidP="002124D8">
            <w:pPr>
              <w:jc w:val="center"/>
              <w:rPr>
                <w:rFonts w:ascii="Arial" w:hAnsi="Arial" w:cs="Arial"/>
                <w:b/>
              </w:rPr>
            </w:pPr>
            <w:r w:rsidRPr="00B92AF9">
              <w:rPr>
                <w:rFonts w:ascii="Arial" w:hAnsi="Arial" w:cs="Arial"/>
                <w:b/>
              </w:rPr>
              <w:t>England</w:t>
            </w:r>
          </w:p>
        </w:tc>
      </w:tr>
      <w:tr w:rsidR="0095799A" w:rsidTr="002124D8">
        <w:trPr>
          <w:trHeight w:val="510"/>
        </w:trPr>
        <w:tc>
          <w:tcPr>
            <w:tcW w:w="15314" w:type="dxa"/>
            <w:gridSpan w:val="4"/>
            <w:shd w:val="clear" w:color="auto" w:fill="004489"/>
            <w:vAlign w:val="center"/>
          </w:tcPr>
          <w:p w:rsidR="0095799A" w:rsidRPr="000C37EF" w:rsidRDefault="00B92AF9" w:rsidP="002124D8">
            <w:pPr>
              <w:ind w:left="22" w:hanging="22"/>
              <w:rPr>
                <w:rFonts w:ascii="Arial" w:hAnsi="Arial" w:cs="Arial"/>
                <w:b/>
              </w:rPr>
            </w:pPr>
            <w:r w:rsidRPr="000C37EF">
              <w:rPr>
                <w:rFonts w:ascii="Arial" w:hAnsi="Arial" w:cs="Arial"/>
                <w:b/>
                <w:color w:val="8493BE"/>
                <w:sz w:val="32"/>
              </w:rPr>
              <w:t>Pupils staying in education or employment</w:t>
            </w:r>
          </w:p>
        </w:tc>
      </w:tr>
      <w:tr w:rsidR="002703C6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2703C6" w:rsidRPr="00660E08" w:rsidRDefault="00B92AF9" w:rsidP="002124D8">
            <w:pPr>
              <w:ind w:left="22" w:hanging="22"/>
              <w:rPr>
                <w:rFonts w:ascii="Arial" w:hAnsi="Arial" w:cs="Arial"/>
                <w:color w:val="FFFFFF" w:themeColor="background1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>Pupils staying in education or employment for at least 2 terms after key stage 4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65348B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65348B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2703C6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2703C6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>Total number of pupils included in destination measures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  <w:r w:rsidR="0065348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703C6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65348B">
              <w:rPr>
                <w:rFonts w:ascii="Arial" w:hAnsi="Arial" w:cs="Arial"/>
                <w:color w:val="000000" w:themeColor="text1"/>
              </w:rPr>
              <w:t>88,084</w:t>
            </w:r>
          </w:p>
        </w:tc>
      </w:tr>
      <w:tr w:rsidR="00B92AF9" w:rsidTr="002124D8">
        <w:trPr>
          <w:trHeight w:val="510"/>
        </w:trPr>
        <w:tc>
          <w:tcPr>
            <w:tcW w:w="15314" w:type="dxa"/>
            <w:gridSpan w:val="4"/>
            <w:shd w:val="clear" w:color="auto" w:fill="004489"/>
            <w:vAlign w:val="center"/>
          </w:tcPr>
          <w:p w:rsidR="00B92AF9" w:rsidRPr="000C37EF" w:rsidRDefault="00B92AF9" w:rsidP="002124D8">
            <w:pPr>
              <w:ind w:left="22" w:hanging="22"/>
              <w:rPr>
                <w:rFonts w:ascii="Arial" w:hAnsi="Arial" w:cs="Arial"/>
                <w:b/>
                <w:color w:val="8493BE"/>
                <w:sz w:val="32"/>
              </w:rPr>
            </w:pPr>
            <w:r w:rsidRPr="000C37EF">
              <w:rPr>
                <w:rFonts w:ascii="Arial" w:hAnsi="Arial" w:cs="Arial"/>
                <w:b/>
                <w:color w:val="8493BE"/>
                <w:sz w:val="32"/>
              </w:rPr>
              <w:t>Pupils staying in education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 xml:space="preserve">Pupils staying in education for at least 2 terms after key stage 4 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86%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 xml:space="preserve">Further education college or other further education provider 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65348B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  <w:r w:rsidR="000C37EF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35%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 xml:space="preserve">School sixth forms 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65348B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65348B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 xml:space="preserve">Sixth form colleges 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65348B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13%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>Other educational destinations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65348B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2%</w:t>
            </w:r>
          </w:p>
        </w:tc>
      </w:tr>
      <w:tr w:rsidR="00D3185D" w:rsidTr="00C00856">
        <w:trPr>
          <w:trHeight w:val="510"/>
        </w:trPr>
        <w:tc>
          <w:tcPr>
            <w:tcW w:w="15314" w:type="dxa"/>
            <w:gridSpan w:val="4"/>
            <w:shd w:val="clear" w:color="auto" w:fill="004489"/>
            <w:vAlign w:val="center"/>
          </w:tcPr>
          <w:p w:rsidR="00D3185D" w:rsidRPr="000C37EF" w:rsidRDefault="00D3185D" w:rsidP="002124D8">
            <w:pPr>
              <w:ind w:left="22" w:hanging="22"/>
              <w:rPr>
                <w:rFonts w:ascii="Arial" w:hAnsi="Arial" w:cs="Arial"/>
              </w:rPr>
            </w:pPr>
            <w:r w:rsidRPr="000C37EF">
              <w:rPr>
                <w:rFonts w:ascii="Arial" w:hAnsi="Arial" w:cs="Arial"/>
                <w:b/>
                <w:color w:val="8493BE"/>
                <w:sz w:val="32"/>
              </w:rPr>
              <w:t>Pupils in apprenticeships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0C37EF" w:rsidRDefault="00B92AF9" w:rsidP="002124D8">
            <w:pPr>
              <w:ind w:left="22" w:hanging="22"/>
              <w:rPr>
                <w:rFonts w:ascii="Arial" w:hAnsi="Arial" w:cs="Arial"/>
              </w:rPr>
            </w:pPr>
            <w:r w:rsidRPr="00660E08">
              <w:rPr>
                <w:rFonts w:ascii="Arial" w:hAnsi="Arial" w:cs="Arial"/>
                <w:sz w:val="20"/>
              </w:rPr>
              <w:t xml:space="preserve">Pupils staying in apprenticeships for at least 6 months after key stage 4 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65348B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0C37EF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3%</w:t>
            </w:r>
          </w:p>
        </w:tc>
      </w:tr>
      <w:tr w:rsidR="00D3185D" w:rsidTr="00A122B7">
        <w:trPr>
          <w:trHeight w:val="510"/>
        </w:trPr>
        <w:tc>
          <w:tcPr>
            <w:tcW w:w="15314" w:type="dxa"/>
            <w:gridSpan w:val="4"/>
            <w:shd w:val="clear" w:color="auto" w:fill="004489"/>
            <w:vAlign w:val="center"/>
          </w:tcPr>
          <w:p w:rsidR="00D3185D" w:rsidRPr="000C37EF" w:rsidRDefault="00D3185D" w:rsidP="002124D8">
            <w:pPr>
              <w:ind w:left="22" w:hanging="22"/>
              <w:rPr>
                <w:rFonts w:ascii="Arial" w:hAnsi="Arial" w:cs="Arial"/>
              </w:rPr>
            </w:pPr>
            <w:r w:rsidRPr="000C37EF">
              <w:rPr>
                <w:rFonts w:ascii="Arial" w:hAnsi="Arial" w:cs="Arial"/>
                <w:b/>
                <w:color w:val="8493BE"/>
                <w:sz w:val="32"/>
              </w:rPr>
              <w:t>Pupils staying in employment</w:t>
            </w:r>
          </w:p>
        </w:tc>
      </w:tr>
      <w:tr w:rsidR="00B92AF9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B92AF9" w:rsidRPr="00660E08" w:rsidRDefault="00B92AF9" w:rsidP="002124D8">
            <w:pPr>
              <w:ind w:left="22" w:hanging="22"/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>Pupils staying in employment for at least 2 terms after key stage 4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B92AF9" w:rsidRPr="000C37EF" w:rsidRDefault="000C37EF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4%</w:t>
            </w:r>
          </w:p>
        </w:tc>
      </w:tr>
      <w:tr w:rsidR="002124D8" w:rsidTr="002124D8">
        <w:trPr>
          <w:trHeight w:val="510"/>
        </w:trPr>
        <w:tc>
          <w:tcPr>
            <w:tcW w:w="15314" w:type="dxa"/>
            <w:gridSpan w:val="4"/>
            <w:shd w:val="clear" w:color="auto" w:fill="004489"/>
            <w:vAlign w:val="center"/>
          </w:tcPr>
          <w:p w:rsidR="002124D8" w:rsidRDefault="002124D8" w:rsidP="002124D8">
            <w:pPr>
              <w:ind w:left="22" w:hanging="22"/>
              <w:rPr>
                <w:rFonts w:ascii="Arial" w:hAnsi="Arial" w:cs="Arial"/>
                <w:color w:val="000000" w:themeColor="text1"/>
              </w:rPr>
            </w:pPr>
            <w:r w:rsidRPr="002124D8">
              <w:rPr>
                <w:rFonts w:ascii="Arial" w:hAnsi="Arial" w:cs="Arial"/>
                <w:b/>
                <w:color w:val="8493BE"/>
                <w:sz w:val="32"/>
              </w:rPr>
              <w:t>Pupils not counted as staying in education or employment</w:t>
            </w:r>
          </w:p>
        </w:tc>
      </w:tr>
      <w:tr w:rsidR="002124D8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2124D8" w:rsidRPr="00660E08" w:rsidRDefault="002124D8" w:rsidP="002124D8">
            <w:pPr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>Pupils not staying in education or employment for at least 2 terms after key stage 4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124D8" w:rsidRDefault="0065348B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2124D8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124D8" w:rsidRDefault="002124D8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124D8" w:rsidRDefault="0065348B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bookmarkStart w:id="0" w:name="_GoBack"/>
            <w:bookmarkEnd w:id="0"/>
            <w:r w:rsidR="002124D8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2124D8" w:rsidTr="002124D8">
        <w:trPr>
          <w:trHeight w:val="510"/>
        </w:trPr>
        <w:tc>
          <w:tcPr>
            <w:tcW w:w="8510" w:type="dxa"/>
            <w:shd w:val="clear" w:color="auto" w:fill="004489"/>
            <w:vAlign w:val="center"/>
          </w:tcPr>
          <w:p w:rsidR="002124D8" w:rsidRPr="00660E08" w:rsidRDefault="002124D8" w:rsidP="002124D8">
            <w:pPr>
              <w:rPr>
                <w:rFonts w:ascii="Arial" w:hAnsi="Arial" w:cs="Arial"/>
                <w:sz w:val="20"/>
              </w:rPr>
            </w:pPr>
            <w:r w:rsidRPr="00660E08">
              <w:rPr>
                <w:rFonts w:ascii="Arial" w:hAnsi="Arial" w:cs="Arial"/>
                <w:sz w:val="20"/>
              </w:rPr>
              <w:t>Destination Unknown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124D8" w:rsidRDefault="002124D8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1%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124D8" w:rsidRDefault="002124D8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shd w:val="clear" w:color="auto" w:fill="8493BE"/>
            <w:vAlign w:val="center"/>
          </w:tcPr>
          <w:p w:rsidR="002124D8" w:rsidRDefault="002124D8" w:rsidP="002124D8">
            <w:pPr>
              <w:ind w:left="22" w:hanging="2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1%</w:t>
            </w:r>
          </w:p>
        </w:tc>
      </w:tr>
    </w:tbl>
    <w:p w:rsidR="00571334" w:rsidRDefault="00571334"/>
    <w:sectPr w:rsidR="00571334" w:rsidSect="000C37EF">
      <w:headerReference w:type="default" r:id="rId6"/>
      <w:pgSz w:w="16838" w:h="11906" w:orient="landscape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3C6" w:rsidRDefault="002703C6" w:rsidP="002703C6">
      <w:pPr>
        <w:spacing w:after="0" w:line="240" w:lineRule="auto"/>
      </w:pPr>
      <w:r>
        <w:separator/>
      </w:r>
    </w:p>
  </w:endnote>
  <w:endnote w:type="continuationSeparator" w:id="0">
    <w:p w:rsidR="002703C6" w:rsidRDefault="002703C6" w:rsidP="0027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3C6" w:rsidRDefault="002703C6" w:rsidP="002703C6">
      <w:pPr>
        <w:spacing w:after="0" w:line="240" w:lineRule="auto"/>
      </w:pPr>
      <w:r>
        <w:separator/>
      </w:r>
    </w:p>
  </w:footnote>
  <w:footnote w:type="continuationSeparator" w:id="0">
    <w:p w:rsidR="002703C6" w:rsidRDefault="002703C6" w:rsidP="0027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C6" w:rsidRPr="008828AB" w:rsidRDefault="008828AB" w:rsidP="000C37EF">
    <w:pPr>
      <w:pStyle w:val="Header"/>
      <w:ind w:left="-567"/>
      <w:rPr>
        <w:rFonts w:ascii="Arial" w:hAnsi="Arial" w:cs="Arial"/>
        <w:b/>
        <w:color w:val="E53138"/>
        <w:sz w:val="40"/>
      </w:rPr>
    </w:pPr>
    <w:r w:rsidRPr="008828AB">
      <w:rPr>
        <w:rFonts w:ascii="Arial" w:hAnsi="Arial" w:cs="Arial"/>
        <w:b/>
        <w:noProof/>
        <w:color w:val="E53138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6915150</wp:posOffset>
              </wp:positionH>
              <wp:positionV relativeFrom="paragraph">
                <wp:posOffset>-382905</wp:posOffset>
              </wp:positionV>
              <wp:extent cx="2562225" cy="7429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828AB" w:rsidRDefault="008828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38350" cy="80146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areers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57053" cy="8088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4.5pt;margin-top:-30.15pt;width:201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" fillcolor="white [3201]" stroked="f" strokeweight=".5pt">
              <v:textbox>
                <w:txbxContent>
                  <w:p w:rsidR="008828AB" w:rsidRDefault="008828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38350" cy="80146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areers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7053" cy="8088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03C6" w:rsidRPr="008828AB">
      <w:rPr>
        <w:rFonts w:ascii="Arial" w:hAnsi="Arial" w:cs="Arial"/>
        <w:b/>
        <w:color w:val="E53138"/>
        <w:sz w:val="40"/>
      </w:rPr>
      <w:t>Year 11 Destination Information - 202</w:t>
    </w:r>
    <w:r w:rsidR="0065348B">
      <w:rPr>
        <w:rFonts w:ascii="Arial" w:hAnsi="Arial" w:cs="Arial"/>
        <w:b/>
        <w:color w:val="E53138"/>
        <w:sz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C6"/>
    <w:rsid w:val="000C37EF"/>
    <w:rsid w:val="0014435B"/>
    <w:rsid w:val="002124D8"/>
    <w:rsid w:val="002703C6"/>
    <w:rsid w:val="00571334"/>
    <w:rsid w:val="005E68D7"/>
    <w:rsid w:val="0065348B"/>
    <w:rsid w:val="00660E08"/>
    <w:rsid w:val="008828AB"/>
    <w:rsid w:val="008C4178"/>
    <w:rsid w:val="0095799A"/>
    <w:rsid w:val="00AB0EE7"/>
    <w:rsid w:val="00B92AF9"/>
    <w:rsid w:val="00D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20BEB"/>
  <w15:chartTrackingRefBased/>
  <w15:docId w15:val="{92CA1462-C73C-49A7-99EA-1BCA440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3C6"/>
  </w:style>
  <w:style w:type="paragraph" w:styleId="Footer">
    <w:name w:val="footer"/>
    <w:basedOn w:val="Normal"/>
    <w:link w:val="FooterChar"/>
    <w:uiPriority w:val="99"/>
    <w:unhideWhenUsed/>
    <w:rsid w:val="00270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Nicholson</dc:creator>
  <cp:keywords/>
  <dc:description/>
  <cp:lastModifiedBy>Mr I Routledge</cp:lastModifiedBy>
  <cp:revision>2</cp:revision>
  <dcterms:created xsi:type="dcterms:W3CDTF">2024-12-06T12:41:00Z</dcterms:created>
  <dcterms:modified xsi:type="dcterms:W3CDTF">2024-12-06T12:41:00Z</dcterms:modified>
</cp:coreProperties>
</file>