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4FD9B111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7DB7085D" w:rsidR="00E66558" w:rsidRDefault="00381797">
            <w:pPr>
              <w:pStyle w:val="TableRow"/>
            </w:pPr>
            <w:r>
              <w:t>Coleshill Heath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18E8F3CB" w:rsidR="00E66558" w:rsidRDefault="00381797">
            <w:pPr>
              <w:pStyle w:val="TableRow"/>
            </w:pPr>
            <w:r>
              <w:t>564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70891BAC" w:rsidR="00E66558" w:rsidRDefault="00381797">
            <w:pPr>
              <w:pStyle w:val="TableRow"/>
            </w:pPr>
            <w:r>
              <w:t>54.3%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6D671AF" w:rsidR="00E66558" w:rsidRDefault="00381797">
            <w:pPr>
              <w:pStyle w:val="TableRow"/>
            </w:pPr>
            <w:r>
              <w:t>2021-24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77777777" w:rsidR="00E66558" w:rsidRDefault="00E66558">
            <w:pPr>
              <w:pStyle w:val="TableRow"/>
            </w:pP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77777777" w:rsidR="00E66558" w:rsidRDefault="00E66558">
            <w:pPr>
              <w:pStyle w:val="TableRow"/>
            </w:pP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6EFB4002" w:rsidR="00E66558" w:rsidRDefault="00381797">
            <w:pPr>
              <w:pStyle w:val="TableRow"/>
            </w:pPr>
            <w:r>
              <w:t>Nicole Fowles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376DEE99" w:rsidR="00E66558" w:rsidRDefault="00381797">
            <w:pPr>
              <w:pStyle w:val="TableRow"/>
            </w:pPr>
            <w:r>
              <w:t>Andrew Russell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2F764355" w:rsidR="00E66558" w:rsidRDefault="00381797">
            <w:pPr>
              <w:pStyle w:val="TableRow"/>
            </w:pPr>
            <w:r>
              <w:t>Mel Fitter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2CE2072B" w:rsidR="00E66558" w:rsidRDefault="009D71E8">
            <w:pPr>
              <w:pStyle w:val="TableRow"/>
            </w:pPr>
            <w:r>
              <w:t>£</w:t>
            </w:r>
            <w:r w:rsidR="00381797">
              <w:t>375,185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7C5D03B2" w:rsidR="00E66558" w:rsidRDefault="009D71E8">
            <w:pPr>
              <w:pStyle w:val="TableRow"/>
            </w:pPr>
            <w:r>
              <w:t>£</w:t>
            </w:r>
            <w:r w:rsidR="008C4142">
              <w:t>23,091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2F3B1DE1" w:rsidR="00E66558" w:rsidRDefault="009D71E8">
            <w:pPr>
              <w:pStyle w:val="TableRow"/>
            </w:pPr>
            <w:r>
              <w:t>£</w:t>
            </w:r>
            <w:r w:rsidR="00381797"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4E72B4F9" w:rsidR="00E66558" w:rsidRDefault="009D71E8">
            <w:pPr>
              <w:pStyle w:val="TableRow"/>
            </w:pPr>
            <w:r>
              <w:t>£</w:t>
            </w:r>
            <w:r w:rsidR="008C4142">
              <w:t>398,276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6" w14:textId="5317B16C" w:rsidR="00E66558" w:rsidRDefault="009D71E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You may want to include information on:</w:t>
            </w:r>
          </w:p>
          <w:p w14:paraId="4EFE6668" w14:textId="51365B33" w:rsidR="00381797" w:rsidRDefault="00381797">
            <w:pPr>
              <w:spacing w:before="120"/>
              <w:rPr>
                <w:i/>
                <w:iCs/>
              </w:rPr>
            </w:pPr>
            <w:r>
              <w:t>Our core aim is:</w:t>
            </w:r>
          </w:p>
          <w:p w14:paraId="3203B3DB" w14:textId="77777777" w:rsidR="00381797" w:rsidRPr="00381797" w:rsidRDefault="00381797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>To raise the attainment and progress of pupils eligible for pupil premium funding so that their performance compares favourably with Non-Pupil Premium peers</w:t>
            </w:r>
          </w:p>
          <w:p w14:paraId="23EF4839" w14:textId="34EACCB1" w:rsidR="00381797" w:rsidRPr="008C4142" w:rsidRDefault="00381797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>Address inequalities in education of pupils from low-income families and raise attainment of these pupils.</w:t>
            </w:r>
          </w:p>
          <w:p w14:paraId="2EBB6510" w14:textId="33540670" w:rsidR="008C4142" w:rsidRPr="00381797" w:rsidRDefault="008C4142" w:rsidP="008C4142">
            <w:pPr>
              <w:pStyle w:val="ListParagraph"/>
              <w:numPr>
                <w:ilvl w:val="0"/>
                <w:numId w:val="0"/>
              </w:numPr>
              <w:ind w:left="720"/>
              <w:rPr>
                <w:i/>
                <w:iCs/>
              </w:rPr>
            </w:pPr>
          </w:p>
          <w:p w14:paraId="2A7D54E8" w14:textId="39198AD1" w:rsidR="00E66558" w:rsidRPr="008C4142" w:rsidRDefault="009D71E8" w:rsidP="008C4142">
            <w:pPr>
              <w:ind w:left="720" w:hanging="360"/>
              <w:rPr>
                <w:i/>
                <w:iCs/>
              </w:rPr>
            </w:pPr>
            <w:r w:rsidRPr="008C4142">
              <w:rPr>
                <w:i/>
                <w:iCs/>
              </w:rPr>
              <w:t>How does your current pupil premium strategy plan work towards achieving those objectives?</w:t>
            </w:r>
          </w:p>
          <w:p w14:paraId="54E12328" w14:textId="77777777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Excellent teaching and learning </w:t>
            </w:r>
            <w:proofErr w:type="gramStart"/>
            <w:r>
              <w:t>is</w:t>
            </w:r>
            <w:proofErr w:type="gramEnd"/>
            <w:r>
              <w:t xml:space="preserve"> paramount to the progress of pupils from disadvantaged backgrounds. This remains a consistent and relentless focus. In addition to this, targeted intervention and support strategies are deployed in order to:</w:t>
            </w:r>
          </w:p>
          <w:p w14:paraId="3850E225" w14:textId="3950711F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 Improve levels of attainment and progress; </w:t>
            </w:r>
          </w:p>
          <w:p w14:paraId="2A925EBF" w14:textId="77777777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Close attainment gaps relative to school averages; </w:t>
            </w:r>
          </w:p>
          <w:p w14:paraId="1309E53B" w14:textId="77777777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Enhance reading, writing, mathematics and communication skills; </w:t>
            </w:r>
          </w:p>
          <w:p w14:paraId="0F0D5421" w14:textId="77777777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Engage and develop learning through a comprehensive extra-curricular provision; </w:t>
            </w:r>
          </w:p>
          <w:p w14:paraId="4A3ADA7B" w14:textId="77777777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 xml:space="preserve">Have a clear focus on all disadvantaged pupils, including those with SEND and more able pupils </w:t>
            </w:r>
          </w:p>
          <w:p w14:paraId="0FFB622D" w14:textId="77777777" w:rsidR="007D03D9" w:rsidRPr="007D03D9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>Support pupils in becoming aspirational, confident and successful learners.</w:t>
            </w:r>
          </w:p>
          <w:p w14:paraId="2A7D54E9" w14:textId="3BC2D588" w:rsidR="00E66558" w:rsidRDefault="007D03D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t>Children able to deal with emotion and well-being with increased resilience.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639D050" w:rsidR="00E66558" w:rsidRDefault="00381797">
            <w:pPr>
              <w:pStyle w:val="TableRowCentered"/>
              <w:jc w:val="left"/>
            </w:pPr>
            <w:r>
              <w:t>Disadvantaged pupils typically enter EYFS with social, linguistic and communication skills below those of pupils nationally</w:t>
            </w:r>
            <w:r w:rsidR="009A4B0C">
              <w:t>.</w:t>
            </w:r>
          </w:p>
        </w:tc>
      </w:tr>
      <w:tr w:rsidR="00F74E5C" w14:paraId="10DDE97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E8A6" w14:textId="0013B189" w:rsidR="00F74E5C" w:rsidRDefault="00F74E5C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F781" w14:textId="71BB5A34" w:rsidR="00F74E5C" w:rsidRDefault="00F74E5C">
            <w:pPr>
              <w:pStyle w:val="TableRowCentered"/>
              <w:jc w:val="left"/>
            </w:pPr>
            <w:r>
              <w:t>Attainment and progress in reading, writing and maths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6FB734A1" w:rsidR="00E66558" w:rsidRDefault="0079011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58CC84F9" w:rsidR="00E66558" w:rsidRDefault="0038179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t>Many disadvantaged pupils do not experience a range of opportunities beyond what is available locally and do not develop a good general knowledge or wider perspective in order to apply understanding to their learning, develop a good vocabulary and generate and articulate ideas and opinions</w:t>
            </w:r>
            <w:r w:rsidR="009A4B0C">
              <w:t>.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3A1F1FFC" w:rsidR="00E66558" w:rsidRDefault="0079011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0C71545A" w:rsidR="00E66558" w:rsidRDefault="0038179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t xml:space="preserve">The school is situated in </w:t>
            </w:r>
            <w:proofErr w:type="spellStart"/>
            <w:r>
              <w:t>Chelmsley</w:t>
            </w:r>
            <w:proofErr w:type="spellEnd"/>
            <w:r>
              <w:t xml:space="preserve"> Wood, North Solihull and serves an area of high deprivation. Turbulence in families’ situations affects both attendance and the emotional resilience of disadvantaged pupils and ability to self-regulate.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39D4CD88" w:rsidR="00E66558" w:rsidRDefault="0079011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313439F4" w:rsidR="00E66558" w:rsidRDefault="00381797">
            <w:pPr>
              <w:pStyle w:val="TableRowCentered"/>
              <w:jc w:val="left"/>
              <w:rPr>
                <w:iCs/>
                <w:sz w:val="22"/>
              </w:rPr>
            </w:pPr>
            <w:r>
              <w:t>There can be a lack of parental engagement within the community that serves the school.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58422A1F" w:rsidR="00E66558" w:rsidRDefault="0079011F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65C52A36" w:rsidR="00E66558" w:rsidRDefault="00381797">
            <w:pPr>
              <w:pStyle w:val="TableRowCentered"/>
              <w:jc w:val="left"/>
              <w:rPr>
                <w:iCs/>
                <w:sz w:val="22"/>
              </w:rPr>
            </w:pPr>
            <w:r>
              <w:t>Poor attendance and persistent absence, family confidence and concerns following the pandemic.</w:t>
            </w:r>
          </w:p>
        </w:tc>
      </w:tr>
      <w:tr w:rsidR="00381797" w14:paraId="69A30877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16F5" w14:textId="0745D113" w:rsidR="00381797" w:rsidRDefault="0079011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8D80" w14:textId="63568FE4" w:rsidR="009A4B0C" w:rsidRDefault="00381797" w:rsidP="009A4B0C">
            <w:pPr>
              <w:pStyle w:val="TableRowCentered"/>
              <w:jc w:val="left"/>
            </w:pPr>
            <w:r>
              <w:t>I</w:t>
            </w:r>
            <w:r w:rsidR="009A4B0C">
              <w:t>ssues with mental health of children across the school as an impact of lockdown affecting resilience of pupils.</w:t>
            </w:r>
          </w:p>
        </w:tc>
      </w:tr>
      <w:tr w:rsidR="009A4B0C" w14:paraId="3DF0EA26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EEDB" w14:textId="6DF517ED" w:rsidR="009A4B0C" w:rsidRDefault="0079011F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2944" w14:textId="69E3875A" w:rsidR="009A4B0C" w:rsidRDefault="009A4B0C" w:rsidP="009A4B0C">
            <w:pPr>
              <w:pStyle w:val="TableRowCentered"/>
              <w:jc w:val="left"/>
            </w:pPr>
            <w:r>
              <w:t>Behaviour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49FECBA" w:rsidR="00E66558" w:rsidRDefault="00381797">
            <w:pPr>
              <w:pStyle w:val="TableRow"/>
            </w:pPr>
            <w:r>
              <w:t>Quality first teaching is maintained, which supports pupils to close any further gaps which have occurred due to school closures for COVID-19</w:t>
            </w:r>
            <w:r w:rsidR="009A4B0C"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DECE" w14:textId="2BFF4975" w:rsidR="00E66558" w:rsidRDefault="007D03D9">
            <w:pPr>
              <w:pStyle w:val="TableRowCentered"/>
              <w:jc w:val="left"/>
            </w:pPr>
            <w:r>
              <w:t xml:space="preserve">Gaps in expected levels between disadvantaged pupils and others, </w:t>
            </w:r>
            <w:r w:rsidR="00DC2162">
              <w:t xml:space="preserve">is </w:t>
            </w:r>
            <w:r>
              <w:t>reduced</w:t>
            </w:r>
            <w:r w:rsidR="00DC2162">
              <w:t>.</w:t>
            </w:r>
          </w:p>
          <w:p w14:paraId="03427B96" w14:textId="77777777" w:rsidR="009A4B0C" w:rsidRDefault="009A4B0C">
            <w:pPr>
              <w:pStyle w:val="TableRowCentered"/>
              <w:jc w:val="left"/>
            </w:pPr>
          </w:p>
          <w:p w14:paraId="24C624E3" w14:textId="288BE7AF" w:rsidR="007D03D9" w:rsidRDefault="007D03D9">
            <w:pPr>
              <w:pStyle w:val="TableRowCentered"/>
              <w:jc w:val="left"/>
            </w:pPr>
            <w:r>
              <w:t>Improved progress rates for children.</w:t>
            </w:r>
          </w:p>
          <w:p w14:paraId="1A43F547" w14:textId="77777777" w:rsidR="009A4B0C" w:rsidRDefault="009A4B0C">
            <w:pPr>
              <w:pStyle w:val="TableRowCentered"/>
              <w:jc w:val="left"/>
            </w:pPr>
          </w:p>
          <w:p w14:paraId="2A7D5505" w14:textId="3C2560F6" w:rsidR="007D03D9" w:rsidRDefault="007D03D9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t>Good quality teaching leading to gaps being closed.</w:t>
            </w:r>
          </w:p>
        </w:tc>
      </w:tr>
      <w:tr w:rsidR="00C53EAC" w14:paraId="661CCFA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E12F" w14:textId="4DBA41B4" w:rsidR="00C53EAC" w:rsidRDefault="00551877">
            <w:pPr>
              <w:pStyle w:val="TableRow"/>
            </w:pPr>
            <w:r>
              <w:t xml:space="preserve">Improved language and </w:t>
            </w:r>
            <w:proofErr w:type="spellStart"/>
            <w:r>
              <w:t>oracy</w:t>
            </w:r>
            <w:proofErr w:type="spellEnd"/>
            <w:r>
              <w:t xml:space="preserve"> skills seen across the school.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800" w14:textId="77777777" w:rsidR="00C53EAC" w:rsidRDefault="00551877">
            <w:pPr>
              <w:pStyle w:val="TableRowCentered"/>
              <w:jc w:val="left"/>
            </w:pPr>
            <w:r>
              <w:t xml:space="preserve">Improved </w:t>
            </w:r>
            <w:proofErr w:type="spellStart"/>
            <w:r>
              <w:t>oracy</w:t>
            </w:r>
            <w:proofErr w:type="spellEnd"/>
            <w:r>
              <w:t xml:space="preserve"> skills seen across school. </w:t>
            </w:r>
          </w:p>
          <w:p w14:paraId="1088AB35" w14:textId="69AFC5B1" w:rsidR="00551877" w:rsidRDefault="00551877">
            <w:pPr>
              <w:pStyle w:val="TableRowCentered"/>
              <w:jc w:val="left"/>
            </w:pPr>
            <w:r>
              <w:t>Children to leave EYFS with greater language skills.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D1A0" w14:textId="77777777" w:rsidR="00E66558" w:rsidRDefault="00381797">
            <w:pPr>
              <w:pStyle w:val="TableRow"/>
            </w:pPr>
            <w:r>
              <w:t>Ensure that pupils consistently achieve highly, particularly the most disadvantaged.</w:t>
            </w:r>
          </w:p>
          <w:p w14:paraId="2A7D5507" w14:textId="7BB1D1E9" w:rsidR="00DC2162" w:rsidRDefault="00DC2162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63C04068" w:rsidR="00E66558" w:rsidRDefault="007D03D9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t>Earlier interventions will lead to PP children closing gaps and making some accelerated progress.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5164A31F" w:rsidR="00E66558" w:rsidRDefault="00381797">
            <w:pPr>
              <w:pStyle w:val="TableRow"/>
              <w:rPr>
                <w:sz w:val="22"/>
                <w:szCs w:val="22"/>
              </w:rPr>
            </w:pPr>
            <w:r>
              <w:t>A rich and engaging curriculum builds clearly on the knowledge and skills pupils need to succeed. Focusing on supporting metacognition to develop skills to equip children for life.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2C29" w14:textId="6C4CDC3C" w:rsidR="007D03D9" w:rsidRDefault="007D03D9">
            <w:pPr>
              <w:pStyle w:val="TableRowCentered"/>
              <w:jc w:val="left"/>
            </w:pPr>
            <w:r>
              <w:t xml:space="preserve">Gaps being closed through intervention with progress being tracked from starting and end points of intervention. </w:t>
            </w:r>
          </w:p>
          <w:p w14:paraId="5BA9E667" w14:textId="77777777" w:rsidR="00DC2162" w:rsidRDefault="00DC2162">
            <w:pPr>
              <w:pStyle w:val="TableRowCentered"/>
              <w:jc w:val="left"/>
            </w:pPr>
          </w:p>
          <w:p w14:paraId="28CE4BFF" w14:textId="77777777" w:rsidR="00E66558" w:rsidRDefault="007D03D9">
            <w:pPr>
              <w:pStyle w:val="TableRowCentered"/>
              <w:jc w:val="left"/>
            </w:pPr>
            <w:r>
              <w:lastRenderedPageBreak/>
              <w:t>Key year group objectives are met by the majority of PP children.</w:t>
            </w:r>
          </w:p>
          <w:p w14:paraId="58564730" w14:textId="77777777" w:rsidR="00DC2162" w:rsidRDefault="00DC2162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0B" w14:textId="54413CE5" w:rsidR="00DC2162" w:rsidRDefault="00DC2162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in end of unit quizzes in line for PP and No PP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4F46B492" w:rsidR="00E66558" w:rsidRDefault="00DC2162">
            <w:pPr>
              <w:pStyle w:val="TableRow"/>
              <w:rPr>
                <w:sz w:val="22"/>
                <w:szCs w:val="22"/>
              </w:rPr>
            </w:pPr>
            <w:r>
              <w:lastRenderedPageBreak/>
              <w:t xml:space="preserve">Improve and sustain </w:t>
            </w:r>
            <w:r w:rsidR="00C53EAC">
              <w:t>reduction in behaviour incidents for all children including disadvantaged.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57AA" w14:textId="77777777" w:rsidR="00E66558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Reduction in incidents </w:t>
            </w:r>
          </w:p>
          <w:p w14:paraId="17C6320A" w14:textId="77777777" w:rsidR="00C53EAC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1052433" w14:textId="77777777" w:rsidR="00C53EAC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learning behaviours seen in classrooms.</w:t>
            </w:r>
          </w:p>
          <w:p w14:paraId="41CF66F5" w14:textId="77777777" w:rsidR="00C53EAC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0E" w14:textId="0FFC8D31" w:rsidR="00C53EAC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voice shows improved behaviours.</w:t>
            </w:r>
          </w:p>
        </w:tc>
      </w:tr>
      <w:tr w:rsidR="00DC2162" w14:paraId="248CCF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898D" w14:textId="1D3416B0" w:rsidR="00DC2162" w:rsidRDefault="00DC2162">
            <w:pPr>
              <w:pStyle w:val="TableRow"/>
            </w:pPr>
            <w:r>
              <w:t>To achieve and sustain improved attendance for all pupils particularly our disadvantaged pupils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2428" w14:textId="77777777" w:rsidR="003608B4" w:rsidRDefault="003608B4">
            <w:pPr>
              <w:pStyle w:val="TableRowCentered"/>
              <w:jc w:val="left"/>
            </w:pPr>
            <w:r>
              <w:t xml:space="preserve">Sustained high attendance from 2024/25 demonstrated by: </w:t>
            </w:r>
          </w:p>
          <w:p w14:paraId="7F946BC0" w14:textId="77777777" w:rsidR="003608B4" w:rsidRDefault="003608B4">
            <w:pPr>
              <w:pStyle w:val="TableRowCentered"/>
              <w:jc w:val="left"/>
            </w:pPr>
            <w:r>
              <w:sym w:font="Symbol" w:char="F0B7"/>
            </w:r>
            <w:r>
              <w:t xml:space="preserve"> the overall absence rate for all pupils being no more than 5%, and the attendance gap between disadvantaged pupils and their non-disadvantaged peers being reduced the percentage of all pupils who are persistently absent being below 10% and the figure among disadvantaged pupils being reduced so in line with peers </w:t>
            </w:r>
          </w:p>
          <w:p w14:paraId="579FB26C" w14:textId="7BF68FE5" w:rsidR="00DC2162" w:rsidRDefault="00DC2162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C53EAC" w14:paraId="086579C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4EED" w14:textId="2DD3B818" w:rsidR="00C53EAC" w:rsidRDefault="00C53EAC">
            <w:pPr>
              <w:pStyle w:val="TableRow"/>
            </w:pPr>
            <w:r>
              <w:t xml:space="preserve">To achieve and sustain a high level of engagement of PP children and families.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440F" w14:textId="245BD8A1" w:rsidR="00C53EAC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participation in clubs from PP children.</w:t>
            </w:r>
          </w:p>
          <w:p w14:paraId="5BC5E17E" w14:textId="77777777" w:rsidR="00C53EAC" w:rsidRDefault="00C53EA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attendance in parent sessions </w:t>
            </w:r>
            <w:proofErr w:type="spellStart"/>
            <w:r>
              <w:rPr>
                <w:sz w:val="22"/>
                <w:szCs w:val="22"/>
              </w:rPr>
              <w:t>e.g</w:t>
            </w:r>
            <w:proofErr w:type="spellEnd"/>
            <w:r>
              <w:rPr>
                <w:sz w:val="22"/>
                <w:szCs w:val="22"/>
              </w:rPr>
              <w:t xml:space="preserve"> parent workshops.</w:t>
            </w:r>
          </w:p>
          <w:p w14:paraId="23C99BA9" w14:textId="781F052C" w:rsidR="00551877" w:rsidRDefault="0055187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Opportunities for PP children to participate in enrichment activities including residentials.</w:t>
            </w:r>
          </w:p>
        </w:tc>
      </w:tr>
      <w:tr w:rsidR="00551877" w14:paraId="228ABB5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8E74" w14:textId="053BF306" w:rsidR="00551877" w:rsidRDefault="00551877">
            <w:pPr>
              <w:pStyle w:val="TableRow"/>
            </w:pPr>
            <w:r>
              <w:t>Children to have a range of strategies to deal with their regulation of emotion.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957A" w14:textId="662D8FC8" w:rsidR="00D06ABC" w:rsidRDefault="00D06ABC" w:rsidP="00D06AB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learning behaviours seen in classrooms through lesson observations.</w:t>
            </w:r>
          </w:p>
          <w:p w14:paraId="02DAE4DE" w14:textId="7FF2CA8B" w:rsidR="00551877" w:rsidRDefault="00551877" w:rsidP="00D06ABC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23612960" w:rsidR="00E66558" w:rsidRDefault="009D71E8">
      <w:r>
        <w:t>Budgeted cost: £</w:t>
      </w:r>
      <w:r w:rsidR="00292D39">
        <w:t>140000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5871"/>
        <w:gridCol w:w="1713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03C4" w14:textId="77777777" w:rsidR="00607571" w:rsidRDefault="00D06ABC" w:rsidP="00607571">
            <w:pPr>
              <w:pStyle w:val="TableRow"/>
              <w:rPr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Quality first teaching improved through staff CPD:</w:t>
            </w:r>
            <w:r w:rsidR="00607571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Formative assessments</w:t>
            </w:r>
            <w:r w:rsidR="00607571">
              <w:rPr>
                <w:i/>
                <w:iCs/>
                <w:sz w:val="22"/>
                <w:szCs w:val="22"/>
              </w:rPr>
              <w:t xml:space="preserve">, </w:t>
            </w:r>
            <w:r w:rsidRPr="00607571">
              <w:rPr>
                <w:i/>
              </w:rPr>
              <w:t>Use of TA</w:t>
            </w:r>
            <w:r w:rsidR="00121AE7" w:rsidRPr="00607571">
              <w:rPr>
                <w:i/>
              </w:rPr>
              <w:t>s</w:t>
            </w:r>
            <w:r w:rsidRPr="00607571">
              <w:rPr>
                <w:i/>
              </w:rPr>
              <w:t xml:space="preserve"> to ensure academic progress</w:t>
            </w:r>
            <w:r w:rsidR="00607571">
              <w:rPr>
                <w:i/>
              </w:rPr>
              <w:t xml:space="preserve">, </w:t>
            </w:r>
            <w:r>
              <w:t>Collaborative lesson design workshops</w:t>
            </w:r>
            <w:r w:rsidR="00607571">
              <w:t xml:space="preserve">. Coaching models being implemented in school, </w:t>
            </w:r>
            <w:r w:rsidR="00607571" w:rsidRPr="00121AE7">
              <w:rPr>
                <w:sz w:val="22"/>
              </w:rPr>
              <w:t>NPQ training to implement new initiative to drive improvements in standards</w:t>
            </w:r>
            <w:r w:rsidR="00607571">
              <w:rPr>
                <w:sz w:val="22"/>
              </w:rPr>
              <w:t>.</w:t>
            </w:r>
          </w:p>
          <w:p w14:paraId="2EDB51E8" w14:textId="77777777" w:rsidR="00607571" w:rsidRDefault="00607571" w:rsidP="00607571">
            <w:pPr>
              <w:pStyle w:val="TableRow"/>
              <w:ind w:left="0"/>
            </w:pPr>
          </w:p>
          <w:p w14:paraId="409AA681" w14:textId="07F27CDB" w:rsidR="00121AE7" w:rsidRDefault="00121AE7">
            <w:pPr>
              <w:pStyle w:val="TableRow"/>
            </w:pPr>
          </w:p>
          <w:p w14:paraId="05AA1628" w14:textId="6920AD4F" w:rsidR="00121AE7" w:rsidRDefault="00121AE7">
            <w:pPr>
              <w:pStyle w:val="TableRow"/>
            </w:pPr>
          </w:p>
          <w:p w14:paraId="26DAF63A" w14:textId="3924D2E2" w:rsidR="00121AE7" w:rsidRDefault="00121AE7">
            <w:pPr>
              <w:pStyle w:val="TableRow"/>
            </w:pPr>
          </w:p>
          <w:p w14:paraId="54BAEA56" w14:textId="4AC10EAB" w:rsidR="00121AE7" w:rsidRPr="00121AE7" w:rsidRDefault="00121AE7">
            <w:pPr>
              <w:pStyle w:val="TableRow"/>
            </w:pPr>
            <w:r>
              <w:t>Learning Behaviours</w:t>
            </w:r>
          </w:p>
          <w:p w14:paraId="2A7D551A" w14:textId="6AE07973" w:rsidR="00D06ABC" w:rsidRDefault="00D06ABC">
            <w:pPr>
              <w:pStyle w:val="TableRow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1D84" w14:textId="5DE9E61F" w:rsidR="00791207" w:rsidRDefault="007912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DHT and AHT completing NPQH</w:t>
            </w:r>
          </w:p>
          <w:p w14:paraId="712E2347" w14:textId="77777777" w:rsidR="00791207" w:rsidRDefault="00791207">
            <w:pPr>
              <w:pStyle w:val="TableRowCentered"/>
              <w:jc w:val="left"/>
              <w:rPr>
                <w:sz w:val="22"/>
              </w:rPr>
            </w:pPr>
          </w:p>
          <w:p w14:paraId="7C797812" w14:textId="2605DB77" w:rsidR="00E66558" w:rsidRDefault="00791207">
            <w:pPr>
              <w:pStyle w:val="TableRowCentered"/>
              <w:jc w:val="left"/>
            </w:pPr>
            <w:r>
              <w:rPr>
                <w:sz w:val="22"/>
              </w:rPr>
              <w:t>AHT</w:t>
            </w:r>
            <w:r>
              <w:t xml:space="preserve"> completing NPQH and research school project on metacognition and self-regulation.</w:t>
            </w:r>
          </w:p>
          <w:p w14:paraId="34F85014" w14:textId="77777777" w:rsidR="00791207" w:rsidRDefault="00791207">
            <w:pPr>
              <w:pStyle w:val="TableRowCentered"/>
              <w:jc w:val="left"/>
              <w:rPr>
                <w:sz w:val="22"/>
              </w:rPr>
            </w:pPr>
          </w:p>
          <w:p w14:paraId="64462005" w14:textId="26558120" w:rsidR="00791207" w:rsidRDefault="000B1158">
            <w:pPr>
              <w:pStyle w:val="TableRowCentered"/>
              <w:jc w:val="left"/>
              <w:rPr>
                <w:sz w:val="22"/>
              </w:rPr>
            </w:pPr>
            <w:hyperlink r:id="rId7" w:history="1">
              <w:r w:rsidR="00791207" w:rsidRPr="00A37AFB">
                <w:rPr>
                  <w:rStyle w:val="Hyperlink"/>
                  <w:sz w:val="22"/>
                </w:rPr>
                <w:t>https://educationendowmentfoundation.org.uk/education-evidence/teaching-learning-toolkit/teaching-assistant-interventions</w:t>
              </w:r>
            </w:hyperlink>
          </w:p>
          <w:p w14:paraId="56AB6E18" w14:textId="77777777" w:rsidR="00791207" w:rsidRDefault="00791207" w:rsidP="00791207">
            <w:pPr>
              <w:pStyle w:val="TableRowCentered"/>
              <w:ind w:left="0"/>
              <w:jc w:val="left"/>
              <w:rPr>
                <w:sz w:val="22"/>
              </w:rPr>
            </w:pPr>
          </w:p>
          <w:p w14:paraId="2E77018A" w14:textId="77777777" w:rsidR="00791207" w:rsidRDefault="00791207">
            <w:pPr>
              <w:pStyle w:val="TableRowCentered"/>
              <w:jc w:val="left"/>
              <w:rPr>
                <w:sz w:val="22"/>
              </w:rPr>
            </w:pPr>
          </w:p>
          <w:p w14:paraId="348CCF88" w14:textId="49C130BB" w:rsidR="00791207" w:rsidRDefault="000B1158">
            <w:pPr>
              <w:pStyle w:val="TableRowCentered"/>
              <w:jc w:val="left"/>
              <w:rPr>
                <w:sz w:val="22"/>
              </w:rPr>
            </w:pPr>
            <w:hyperlink r:id="rId8" w:history="1">
              <w:r w:rsidR="00791207" w:rsidRPr="00A37AFB">
                <w:rPr>
                  <w:rStyle w:val="Hyperlink"/>
                  <w:sz w:val="22"/>
                </w:rPr>
                <w:t>https://educationendowmentfoundation.org.uk/education-evidence/teaching-learning-toolkit/metacognition-and-self-regulation</w:t>
              </w:r>
            </w:hyperlink>
          </w:p>
          <w:p w14:paraId="1377613C" w14:textId="65D9F277" w:rsidR="00791207" w:rsidRDefault="00791207">
            <w:pPr>
              <w:pStyle w:val="TableRowCentered"/>
              <w:jc w:val="left"/>
              <w:rPr>
                <w:sz w:val="22"/>
              </w:rPr>
            </w:pPr>
          </w:p>
          <w:p w14:paraId="7537BDDB" w14:textId="77777777" w:rsidR="00791207" w:rsidRDefault="00791207">
            <w:pPr>
              <w:pStyle w:val="TableRowCentered"/>
              <w:jc w:val="left"/>
              <w:rPr>
                <w:sz w:val="22"/>
              </w:rPr>
            </w:pPr>
          </w:p>
          <w:p w14:paraId="2A7D551B" w14:textId="4874667E" w:rsidR="00791207" w:rsidRDefault="00791207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6061DFE" w:rsidR="00E66558" w:rsidRDefault="00F74E5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1,2,3, 7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8806" w14:textId="77777777" w:rsidR="00607571" w:rsidRPr="00607571" w:rsidRDefault="00607571" w:rsidP="00607571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t>Continual use of a systematic DFE validated phonics programme (RWI).</w:t>
            </w:r>
          </w:p>
          <w:p w14:paraId="2A7D551E" w14:textId="7C3F72EA" w:rsidR="00E66558" w:rsidRDefault="00E66558" w:rsidP="00607571">
            <w:pPr>
              <w:pStyle w:val="TableRow"/>
              <w:ind w:left="0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A352" w14:textId="77777777" w:rsidR="00607571" w:rsidRDefault="000B1158" w:rsidP="00607571">
            <w:pPr>
              <w:pStyle w:val="TableRowCentered"/>
              <w:jc w:val="left"/>
              <w:rPr>
                <w:sz w:val="22"/>
              </w:rPr>
            </w:pPr>
            <w:hyperlink r:id="rId9" w:history="1">
              <w:r w:rsidR="00607571" w:rsidRPr="00A37AFB">
                <w:rPr>
                  <w:rStyle w:val="Hyperlink"/>
                  <w:sz w:val="22"/>
                </w:rPr>
                <w:t>https://educationendowmentfoundation.org.uk/education-evidence/teaching-learning-toolkit/phonics</w:t>
              </w:r>
            </w:hyperlink>
          </w:p>
          <w:p w14:paraId="2A7D551F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3A085C4D" w:rsidR="00E66558" w:rsidRDefault="00F74E5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124618D7" w:rsidR="00E66558" w:rsidRDefault="009D71E8">
      <w:r>
        <w:t xml:space="preserve">Budgeted cost: £ </w:t>
      </w:r>
      <w:r w:rsidR="00292D39">
        <w:rPr>
          <w:i/>
          <w:iCs/>
        </w:rPr>
        <w:t>120000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6286"/>
        <w:gridCol w:w="1502"/>
      </w:tblGrid>
      <w:tr w:rsidR="00E66558" w14:paraId="2A7D5528" w14:textId="77777777" w:rsidTr="00F74E5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0" w14:textId="77777777" w:rsidTr="00F74E5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3546BD26" w:rsidR="00E66558" w:rsidRDefault="00121AE7">
            <w:pPr>
              <w:pStyle w:val="TableRow"/>
              <w:rPr>
                <w:i/>
                <w:sz w:val="22"/>
              </w:rPr>
            </w:pPr>
            <w:r>
              <w:t>Alternative provision support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753B3A9A" w:rsidR="00E66558" w:rsidRDefault="0079011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</w:t>
            </w:r>
            <w:r w:rsidR="00420104">
              <w:rPr>
                <w:sz w:val="22"/>
              </w:rPr>
              <w:t>8</w:t>
            </w:r>
          </w:p>
        </w:tc>
      </w:tr>
      <w:tr w:rsidR="00121AE7" w14:paraId="1D539A7D" w14:textId="77777777" w:rsidTr="00F74E5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F95" w14:textId="4C18688B" w:rsidR="00121AE7" w:rsidRDefault="00121AE7">
            <w:pPr>
              <w:pStyle w:val="TableRow"/>
            </w:pPr>
            <w:r>
              <w:t>Third Space learning to support PP children in year 5 and 6 to get to the year group standard.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3A0C" w14:textId="784E070E" w:rsidR="00121AE7" w:rsidRDefault="000B1158">
            <w:pPr>
              <w:pStyle w:val="TableRowCentered"/>
              <w:jc w:val="left"/>
              <w:rPr>
                <w:sz w:val="22"/>
              </w:rPr>
            </w:pPr>
            <w:hyperlink r:id="rId10" w:history="1">
              <w:r w:rsidR="00607571" w:rsidRPr="00A37AFB">
                <w:rPr>
                  <w:rStyle w:val="Hyperlink"/>
                  <w:sz w:val="22"/>
                </w:rPr>
                <w:t>https://educationendowmentfoundation.org.uk/education-evidence/teaching-learning-toolkit/one-to-one-tuition</w:t>
              </w:r>
            </w:hyperlink>
          </w:p>
          <w:p w14:paraId="07D3D5D8" w14:textId="19EF6B4D" w:rsidR="00607571" w:rsidRDefault="00607571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635C" w14:textId="48EB2375" w:rsidR="00121AE7" w:rsidRDefault="0079011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A5D12" w14:paraId="6F516412" w14:textId="77777777" w:rsidTr="00F74E5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FC42" w14:textId="2550DE70" w:rsidR="001A5D12" w:rsidRDefault="001A5D12" w:rsidP="001A5D12">
            <w:pPr>
              <w:pStyle w:val="TableRow"/>
            </w:pPr>
            <w:r>
              <w:t>Sustaining use of YARC testing to track progress of pupils in reading.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4790" w14:textId="77777777" w:rsidR="001A5D12" w:rsidRDefault="000B1158" w:rsidP="001A5D12">
            <w:pPr>
              <w:pStyle w:val="TableRowCentered"/>
              <w:jc w:val="left"/>
              <w:rPr>
                <w:sz w:val="22"/>
              </w:rPr>
            </w:pPr>
            <w:hyperlink r:id="rId11" w:history="1">
              <w:r w:rsidR="001A5D12" w:rsidRPr="00A37AFB">
                <w:rPr>
                  <w:rStyle w:val="Hyperlink"/>
                  <w:sz w:val="22"/>
                </w:rPr>
                <w:t>https://educationendowmentfoundation.org.uk/tools/assessing-and-monitoring-pupil-progress/testing/standardised-tests</w:t>
              </w:r>
            </w:hyperlink>
          </w:p>
          <w:p w14:paraId="405A1A76" w14:textId="77777777" w:rsidR="001A5D12" w:rsidRDefault="001A5D12" w:rsidP="001A5D12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FA55" w14:textId="06207592" w:rsidR="001A5D12" w:rsidRDefault="001A5D12" w:rsidP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A5D12" w14:paraId="10225A75" w14:textId="77777777" w:rsidTr="00F74E5C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E8B3" w14:textId="25CFDE19" w:rsidR="001A5D12" w:rsidRDefault="001A5D12" w:rsidP="001A5D12">
            <w:pPr>
              <w:pStyle w:val="TableRow"/>
            </w:pPr>
            <w:r>
              <w:t>Purchase of high quality standardised diagnostic assessments training for staff to ensure interpreted and administered correctly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247C" w14:textId="289DEF9B" w:rsidR="001A5D12" w:rsidRDefault="000B1158" w:rsidP="001A5D12">
            <w:pPr>
              <w:pStyle w:val="TableRowCentered"/>
              <w:jc w:val="left"/>
              <w:rPr>
                <w:sz w:val="22"/>
              </w:rPr>
            </w:pPr>
            <w:hyperlink r:id="rId12" w:history="1">
              <w:r w:rsidR="001A5D12" w:rsidRPr="00A37AFB">
                <w:rPr>
                  <w:rStyle w:val="Hyperlink"/>
                  <w:sz w:val="22"/>
                </w:rPr>
                <w:t>https://educationendowmentfoundation.org.uk/tools/assessing-and-monitoring-pupil-progress/testing/standardised-tests</w:t>
              </w:r>
            </w:hyperlink>
          </w:p>
          <w:p w14:paraId="0051E908" w14:textId="5C7373ED" w:rsidR="001A5D12" w:rsidRDefault="001A5D12" w:rsidP="001A5D12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8EC1" w14:textId="58BDD851" w:rsidR="001A5D12" w:rsidRDefault="001A5D12" w:rsidP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0AADDA22" w14:textId="77777777" w:rsidR="001A5D12" w:rsidRDefault="001A5D12">
      <w:pPr>
        <w:rPr>
          <w:b/>
          <w:color w:val="104F75"/>
          <w:sz w:val="28"/>
          <w:szCs w:val="28"/>
        </w:rPr>
      </w:pPr>
    </w:p>
    <w:p w14:paraId="2A7D5532" w14:textId="3A3B2958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2A7D5533" w14:textId="0143AE88" w:rsidR="00E66558" w:rsidRDefault="009D71E8">
      <w:pPr>
        <w:spacing w:before="240" w:after="120"/>
      </w:pPr>
      <w:r>
        <w:t xml:space="preserve">Budgeted cost: £ </w:t>
      </w:r>
      <w:r w:rsidR="00292D39">
        <w:rPr>
          <w:i/>
          <w:iCs/>
        </w:rPr>
        <w:t>140000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5932"/>
        <w:gridCol w:w="1436"/>
      </w:tblGrid>
      <w:tr w:rsidR="00E66558" w14:paraId="2A7D5537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0980031B" w:rsidR="00E66558" w:rsidRPr="001A5D12" w:rsidRDefault="00D06ABC">
            <w:pPr>
              <w:pStyle w:val="TableRow"/>
            </w:pPr>
            <w:r w:rsidRPr="001A5D12">
              <w:rPr>
                <w:iCs/>
                <w:sz w:val="22"/>
                <w:szCs w:val="22"/>
              </w:rPr>
              <w:t>Emotion coaching training</w:t>
            </w:r>
            <w:r w:rsidR="003608B4" w:rsidRPr="001A5D12">
              <w:rPr>
                <w:iCs/>
                <w:sz w:val="22"/>
                <w:szCs w:val="22"/>
              </w:rPr>
              <w:t xml:space="preserve"> for staff to promote effective relationships.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DA93" w14:textId="58A3B4BA" w:rsidR="00E66558" w:rsidRDefault="000B1158">
            <w:pPr>
              <w:pStyle w:val="TableRowCentered"/>
              <w:jc w:val="left"/>
              <w:rPr>
                <w:sz w:val="22"/>
              </w:rPr>
            </w:pPr>
            <w:hyperlink r:id="rId13" w:history="1">
              <w:r w:rsidR="00F74E5C" w:rsidRPr="00A37AFB">
                <w:rPr>
                  <w:rStyle w:val="Hyperlink"/>
                  <w:sz w:val="22"/>
                </w:rPr>
                <w:t>https://educationendowmentfoundation.org.uk/education-evidence/teaching-learning-toolkit/behaviour-interventions</w:t>
              </w:r>
            </w:hyperlink>
          </w:p>
          <w:p w14:paraId="2A7D5539" w14:textId="52740F82" w:rsidR="00F74E5C" w:rsidRDefault="00F74E5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16D23314" w:rsidR="00E66558" w:rsidRDefault="0079011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</w:tr>
      <w:tr w:rsidR="00121AE7" w14:paraId="41306105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DEE5" w14:textId="32C11F72" w:rsidR="00121AE7" w:rsidRDefault="00121AE7">
            <w:pPr>
              <w:pStyle w:val="TableRow"/>
            </w:pPr>
            <w:r>
              <w:t>Improved communication: Specific use of DOJO to communicate with parents, increased text service, social media, 1-1 meetings, meet and greet on the playground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BD40" w14:textId="77777777" w:rsidR="00121AE7" w:rsidRDefault="00121AE7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13B8" w14:textId="5AB0E249" w:rsidR="00121AE7" w:rsidRDefault="00E20768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4,5,6</w:t>
            </w:r>
          </w:p>
        </w:tc>
      </w:tr>
      <w:tr w:rsidR="001A5D12" w14:paraId="0880369D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5CDA" w14:textId="52599B4F" w:rsidR="001A5D12" w:rsidRDefault="001A5D12">
            <w:pPr>
              <w:pStyle w:val="TableRow"/>
            </w:pPr>
            <w:r>
              <w:t>Employ dedicated CSAWs advisor to improve attendance of all children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EC77" w14:textId="77777777" w:rsidR="001A5D12" w:rsidRDefault="001A5D12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5FD4" w14:textId="52A7F546" w:rsidR="001A5D12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21AE7" w14:paraId="205ACB4F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E8EB" w14:textId="03031E87" w:rsidR="00121AE7" w:rsidRDefault="00121AE7">
            <w:pPr>
              <w:pStyle w:val="TableRow"/>
            </w:pPr>
            <w:r>
              <w:t>Adult mentors to work with children to learn strategies to deal with managing their feelings and emotions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95C4" w14:textId="6E8074AD" w:rsidR="00121AE7" w:rsidRDefault="000B1158">
            <w:pPr>
              <w:pStyle w:val="TableRowCentered"/>
              <w:jc w:val="left"/>
            </w:pPr>
            <w:hyperlink r:id="rId14" w:history="1">
              <w:r w:rsidR="00607571" w:rsidRPr="00A37AFB">
                <w:rPr>
                  <w:rStyle w:val="Hyperlink"/>
                </w:rPr>
                <w:t>https://educationendowmentfoundation.org.uk/education-evidence/teaching-learning-toolkit/behaviour-interventions</w:t>
              </w:r>
            </w:hyperlink>
          </w:p>
          <w:p w14:paraId="5108FB2C" w14:textId="6098973B" w:rsidR="00607571" w:rsidRDefault="00607571">
            <w:pPr>
              <w:pStyle w:val="TableRowCentered"/>
              <w:jc w:val="left"/>
            </w:pPr>
          </w:p>
          <w:p w14:paraId="58EEA0E0" w14:textId="6118D0BA" w:rsidR="00607571" w:rsidRDefault="000B1158" w:rsidP="00607571">
            <w:pPr>
              <w:pStyle w:val="TableRowCentered"/>
              <w:jc w:val="left"/>
            </w:pPr>
            <w:hyperlink r:id="rId15" w:history="1">
              <w:r w:rsidR="00607571" w:rsidRPr="00A37AFB">
                <w:rPr>
                  <w:rStyle w:val="Hyperlink"/>
                </w:rPr>
                <w:t>https://educationendowmentfoundation.org.uk/education-evidence/teaching-learning-toolkit/social-and-emotional-learning</w:t>
              </w:r>
            </w:hyperlink>
          </w:p>
          <w:p w14:paraId="100C5853" w14:textId="44A51915" w:rsidR="00607571" w:rsidRDefault="00607571" w:rsidP="00607571">
            <w:pPr>
              <w:pStyle w:val="TableRowCentered"/>
              <w:jc w:val="left"/>
            </w:pPr>
          </w:p>
          <w:p w14:paraId="0CC00590" w14:textId="3C63D308" w:rsidR="00607571" w:rsidRDefault="000B1158" w:rsidP="00607571">
            <w:pPr>
              <w:pStyle w:val="TableRowCentered"/>
              <w:jc w:val="left"/>
            </w:pPr>
            <w:hyperlink r:id="rId16" w:history="1">
              <w:r w:rsidR="00607571" w:rsidRPr="00A37AFB">
                <w:rPr>
                  <w:rStyle w:val="Hyperlink"/>
                </w:rPr>
                <w:t>https://educationendowmentfoundation.org.uk/education-evidence/teaching-learning-toolkit/mentoring</w:t>
              </w:r>
            </w:hyperlink>
          </w:p>
          <w:p w14:paraId="3559E23D" w14:textId="77777777" w:rsidR="00607571" w:rsidRDefault="00607571" w:rsidP="00607571">
            <w:pPr>
              <w:pStyle w:val="TableRowCentered"/>
              <w:jc w:val="left"/>
            </w:pPr>
          </w:p>
          <w:p w14:paraId="62733E75" w14:textId="08EB5514" w:rsidR="00607571" w:rsidRDefault="00607571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0C75" w14:textId="7CFD9D1B" w:rsidR="00121AE7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4,7,8</w:t>
            </w:r>
          </w:p>
        </w:tc>
      </w:tr>
      <w:tr w:rsidR="00121AE7" w14:paraId="2D99AF59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B72E" w14:textId="410D0AB5" w:rsidR="00121AE7" w:rsidRDefault="00121AE7">
            <w:pPr>
              <w:pStyle w:val="TableRow"/>
            </w:pPr>
            <w:r>
              <w:t xml:space="preserve">Reimplementation of pivotal behaviour </w:t>
            </w:r>
            <w:r>
              <w:lastRenderedPageBreak/>
              <w:t>approach across the school.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59A0" w14:textId="77777777" w:rsidR="00607571" w:rsidRDefault="000B1158" w:rsidP="00607571">
            <w:pPr>
              <w:pStyle w:val="TableRowCentered"/>
              <w:jc w:val="left"/>
            </w:pPr>
            <w:hyperlink r:id="rId17" w:history="1">
              <w:r w:rsidR="00607571" w:rsidRPr="00A37AFB">
                <w:rPr>
                  <w:rStyle w:val="Hyperlink"/>
                </w:rPr>
                <w:t>https://educationendowmentfoundation.org.uk/education-evidence/teaching-learning-toolkit/behaviour-interventions</w:t>
              </w:r>
            </w:hyperlink>
          </w:p>
          <w:p w14:paraId="6BC01E59" w14:textId="77777777" w:rsidR="00121AE7" w:rsidRDefault="00121AE7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36D7" w14:textId="6430F5F6" w:rsidR="00121AE7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4,8</w:t>
            </w:r>
          </w:p>
        </w:tc>
      </w:tr>
      <w:tr w:rsidR="00121AE7" w14:paraId="5D4482E4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120" w14:textId="505B5442" w:rsidR="00121AE7" w:rsidRDefault="00121AE7">
            <w:pPr>
              <w:pStyle w:val="TableRow"/>
            </w:pPr>
            <w:r>
              <w:t xml:space="preserve">SEMH support for targeted children, with strategies for pastoral care.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B1B1" w14:textId="7ADABED6" w:rsidR="00121AE7" w:rsidRDefault="000B1158">
            <w:pPr>
              <w:pStyle w:val="TableRowCentered"/>
              <w:jc w:val="left"/>
            </w:pPr>
            <w:hyperlink r:id="rId18" w:history="1">
              <w:r w:rsidR="00D82969" w:rsidRPr="00A37AFB">
                <w:rPr>
                  <w:rStyle w:val="Hyperlink"/>
                </w:rPr>
                <w:t>https://educationendowmentfoundation.org.uk/education-evidence/teaching-learning-toolkit/social-and-emotional-learning</w:t>
              </w:r>
            </w:hyperlink>
          </w:p>
          <w:p w14:paraId="329D71D3" w14:textId="4167F339" w:rsidR="00D82969" w:rsidRDefault="00D82969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8664" w14:textId="0EF2BCC2" w:rsidR="00121AE7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</w:tr>
      <w:tr w:rsidR="00121AE7" w14:paraId="00E25F9C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6EBF" w14:textId="6CB67DF7" w:rsidR="00121AE7" w:rsidRDefault="00121AE7">
            <w:pPr>
              <w:pStyle w:val="TableRow"/>
            </w:pPr>
            <w:r>
              <w:t>Targeting children for specific clubs and removing barriers to participation by, for example, subsidising school trips and journeys. Wider range of school visits arranged to develop life experiences.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7752" w14:textId="282A0C2C" w:rsidR="00121AE7" w:rsidRDefault="000B1158">
            <w:pPr>
              <w:pStyle w:val="TableRowCentered"/>
              <w:jc w:val="left"/>
            </w:pPr>
            <w:hyperlink r:id="rId19" w:history="1">
              <w:r w:rsidR="001A5D12">
                <w:rPr>
                  <w:rStyle w:val="Hyperlink"/>
                </w:rPr>
                <w:t>Aspiration interventions | EEF (educationendowmentfoundation.org.uk)</w:t>
              </w:r>
            </w:hyperlink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47C6" w14:textId="3D9F1195" w:rsidR="00121AE7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21AE7" w14:paraId="5D227E28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3D8A" w14:textId="0809E7C0" w:rsidR="00121AE7" w:rsidRDefault="00121AE7">
            <w:pPr>
              <w:pStyle w:val="TableRow"/>
            </w:pPr>
            <w:r>
              <w:t>Relax Kids to train children to use strategies to control and regulate their emotions in class and beyond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7C83" w14:textId="77777777" w:rsidR="001A5D12" w:rsidRDefault="000B1158" w:rsidP="001A5D12">
            <w:pPr>
              <w:pStyle w:val="TableRowCentered"/>
              <w:jc w:val="left"/>
            </w:pPr>
            <w:hyperlink r:id="rId20" w:history="1">
              <w:r w:rsidR="001A5D12" w:rsidRPr="00A37AFB">
                <w:rPr>
                  <w:rStyle w:val="Hyperlink"/>
                </w:rPr>
                <w:t>https://educationendowmentfoundation.org.uk/education-evidence/teaching-learning-toolkit/social-and-emotional-learning</w:t>
              </w:r>
            </w:hyperlink>
          </w:p>
          <w:p w14:paraId="7DDBB756" w14:textId="77777777" w:rsidR="00121AE7" w:rsidRDefault="00121AE7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6722" w14:textId="07C10277" w:rsidR="00121AE7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4,7,8</w:t>
            </w:r>
          </w:p>
        </w:tc>
      </w:tr>
      <w:tr w:rsidR="00791207" w14:paraId="403B6B27" w14:textId="77777777" w:rsidTr="003608B4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E123" w14:textId="36541CC8" w:rsidR="00791207" w:rsidRDefault="003608B4">
            <w:pPr>
              <w:pStyle w:val="TableRow"/>
            </w:pPr>
            <w:r>
              <w:t>Dedicated inclusion team to work with disadvantaged and vulnerable families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DD4C" w14:textId="1CC50F86" w:rsidR="00791207" w:rsidRDefault="000B1158">
            <w:pPr>
              <w:pStyle w:val="TableRowCentered"/>
              <w:jc w:val="left"/>
            </w:pPr>
            <w:hyperlink r:id="rId21" w:history="1">
              <w:r w:rsidR="00791207" w:rsidRPr="00A37AFB">
                <w:rPr>
                  <w:rStyle w:val="Hyperlink"/>
                </w:rPr>
                <w:t>https://educationendowmentfoundation.org.uk/education-evidence/teaching-learning-toolkit/parental-engagement</w:t>
              </w:r>
            </w:hyperlink>
          </w:p>
          <w:p w14:paraId="0A930031" w14:textId="2D925B00" w:rsidR="00791207" w:rsidRDefault="00791207">
            <w:pPr>
              <w:pStyle w:val="TableRowCentered"/>
              <w:jc w:val="left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10AC" w14:textId="20907699" w:rsidR="00791207" w:rsidRDefault="001A5D1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4461D1FB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292D39">
        <w:rPr>
          <w:i/>
          <w:iCs/>
          <w:color w:val="104F75"/>
          <w:sz w:val="28"/>
          <w:szCs w:val="28"/>
        </w:rPr>
        <w:t>400000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897C" w14:textId="77777777" w:rsidR="001A5D12" w:rsidRDefault="003608B4">
            <w:r>
              <w:t xml:space="preserve">Due to COVID-19, many of our previous outcomes were not realised by the end of 20/21 and were therefore carried over into 2021/22. </w:t>
            </w:r>
          </w:p>
          <w:p w14:paraId="2A7D5546" w14:textId="1B93C26E" w:rsidR="00E66558" w:rsidRDefault="003608B4">
            <w:r>
              <w:t>We aimed to mitigate the detrimental effect of school closures on all our children including those in receipt of Pupil Premium funding by ensuring a purposeful and fully reviewed curriculum, including recovery curriculum, we took the opportunity to further develop staff CPD around Quality First Teaching</w:t>
            </w:r>
            <w:r w:rsidR="00362632">
              <w:t>. Through this approach we were able to identify gaps and teach appropriately to them.</w:t>
            </w:r>
            <w:bookmarkStart w:id="17" w:name="_GoBack"/>
            <w:bookmarkEnd w:id="17"/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7777777" w:rsidR="00E66558" w:rsidRDefault="00E66558">
            <w:pPr>
              <w:pStyle w:val="TableRowCentered"/>
              <w:jc w:val="left"/>
            </w:pP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Default="00E66558">
            <w:pPr>
              <w:pStyle w:val="TableRowCentered"/>
              <w:jc w:val="left"/>
            </w:pP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9" w14:textId="6107C107" w:rsidR="00E66558" w:rsidRDefault="001A5D12">
            <w:pPr>
              <w:pStyle w:val="TableRowCentered"/>
              <w:jc w:val="left"/>
            </w:pPr>
            <w:r>
              <w:t>N/A</w:t>
            </w: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5DCA15C3" w:rsidR="00E66558" w:rsidRDefault="001A5D12">
            <w:pPr>
              <w:pStyle w:val="TableRowCentered"/>
              <w:jc w:val="left"/>
            </w:pPr>
            <w:r>
              <w:t>N/A</w:t>
            </w:r>
          </w:p>
        </w:tc>
      </w:tr>
      <w:bookmarkEnd w:id="14"/>
      <w:bookmarkEnd w:id="15"/>
      <w:bookmarkEnd w:id="16"/>
      <w:bookmarkEnd w:id="18"/>
    </w:tbl>
    <w:p w14:paraId="2A7D5564" w14:textId="77777777" w:rsidR="00E66558" w:rsidRDefault="00E66558" w:rsidP="00362632"/>
    <w:sectPr w:rsidR="00E66558">
      <w:headerReference w:type="default" r:id="rId22"/>
      <w:footerReference w:type="default" r:id="rId23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6454" w14:textId="77777777" w:rsidR="000B1158" w:rsidRDefault="000B1158">
      <w:pPr>
        <w:spacing w:after="0" w:line="240" w:lineRule="auto"/>
      </w:pPr>
      <w:r>
        <w:separator/>
      </w:r>
    </w:p>
  </w:endnote>
  <w:endnote w:type="continuationSeparator" w:id="0">
    <w:p w14:paraId="0436DFA0" w14:textId="77777777" w:rsidR="000B1158" w:rsidRDefault="000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77777777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2216" w14:textId="77777777" w:rsidR="000B1158" w:rsidRDefault="000B1158">
      <w:pPr>
        <w:spacing w:after="0" w:line="240" w:lineRule="auto"/>
      </w:pPr>
      <w:r>
        <w:separator/>
      </w:r>
    </w:p>
  </w:footnote>
  <w:footnote w:type="continuationSeparator" w:id="0">
    <w:p w14:paraId="425A9DAB" w14:textId="77777777" w:rsidR="000B1158" w:rsidRDefault="000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7777777" w:rsidR="005E28A4" w:rsidRDefault="000B1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66B73"/>
    <w:rsid w:val="000B1158"/>
    <w:rsid w:val="00120AB1"/>
    <w:rsid w:val="00121AE7"/>
    <w:rsid w:val="001A5D12"/>
    <w:rsid w:val="00292D39"/>
    <w:rsid w:val="002D4665"/>
    <w:rsid w:val="003608B4"/>
    <w:rsid w:val="00362632"/>
    <w:rsid w:val="00381797"/>
    <w:rsid w:val="004044AA"/>
    <w:rsid w:val="00420104"/>
    <w:rsid w:val="00551877"/>
    <w:rsid w:val="00561459"/>
    <w:rsid w:val="00580D75"/>
    <w:rsid w:val="00607571"/>
    <w:rsid w:val="006E7FB1"/>
    <w:rsid w:val="00741B9E"/>
    <w:rsid w:val="00752B13"/>
    <w:rsid w:val="0079011F"/>
    <w:rsid w:val="00791207"/>
    <w:rsid w:val="007C2F04"/>
    <w:rsid w:val="007D03D9"/>
    <w:rsid w:val="007D4A35"/>
    <w:rsid w:val="00873997"/>
    <w:rsid w:val="008C4142"/>
    <w:rsid w:val="009472BB"/>
    <w:rsid w:val="009A4B0C"/>
    <w:rsid w:val="009D71E8"/>
    <w:rsid w:val="00AA4201"/>
    <w:rsid w:val="00AD4FA8"/>
    <w:rsid w:val="00AD5981"/>
    <w:rsid w:val="00C53EAC"/>
    <w:rsid w:val="00D06ABC"/>
    <w:rsid w:val="00D33FE5"/>
    <w:rsid w:val="00D706A2"/>
    <w:rsid w:val="00D82969"/>
    <w:rsid w:val="00DC2162"/>
    <w:rsid w:val="00E20768"/>
    <w:rsid w:val="00E565E6"/>
    <w:rsid w:val="00E66558"/>
    <w:rsid w:val="00EA6DEA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education-evidence/teaching-learning-toolkit/metacognition-and-self-regulation" TargetMode="External"/><Relationship Id="rId13" Type="http://schemas.openxmlformats.org/officeDocument/2006/relationships/hyperlink" Target="https://educationendowmentfoundation.org.uk/education-evidence/teaching-learning-toolkit/behaviour-interventions" TargetMode="External"/><Relationship Id="rId18" Type="http://schemas.openxmlformats.org/officeDocument/2006/relationships/hyperlink" Target="https://educationendowmentfoundation.org.uk/education-evidence/teaching-learning-toolkit/social-and-emotional-lear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endowmentfoundation.org.uk/education-evidence/teaching-learning-toolkit/parental-engagement" TargetMode="External"/><Relationship Id="rId7" Type="http://schemas.openxmlformats.org/officeDocument/2006/relationships/hyperlink" Target="https://educationendowmentfoundation.org.uk/education-evidence/teaching-learning-toolkit/teaching-assistant-interventions" TargetMode="External"/><Relationship Id="rId12" Type="http://schemas.openxmlformats.org/officeDocument/2006/relationships/hyperlink" Target="https://educationendowmentfoundation.org.uk/tools/assessing-and-monitoring-pupil-progress/testing/standardised-tests" TargetMode="External"/><Relationship Id="rId17" Type="http://schemas.openxmlformats.org/officeDocument/2006/relationships/hyperlink" Target="https://educationendowmentfoundation.org.uk/education-evidence/teaching-learning-toolkit/behaviour-interven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education-evidence/teaching-learning-toolkit/mentoring" TargetMode="External"/><Relationship Id="rId20" Type="http://schemas.openxmlformats.org/officeDocument/2006/relationships/hyperlink" Target="https://educationendowmentfoundation.org.uk/education-evidence/teaching-learning-toolkit/social-and-emotional-lear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tools/assessing-and-monitoring-pupil-progress/testing/standardised-tes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cationendowmentfoundation.org.uk/education-evidence/teaching-learning-toolkit/social-and-emotional-learn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ducationendowmentfoundation.org.uk/education-evidence/teaching-learning-toolkit/one-to-one-tuition" TargetMode="External"/><Relationship Id="rId19" Type="http://schemas.openxmlformats.org/officeDocument/2006/relationships/hyperlink" Target="https://educationendowmentfoundation.org.uk/education-evidence/teaching-learning-toolkit/aspiration-interven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teaching-learning-toolkit/phonics" TargetMode="External"/><Relationship Id="rId14" Type="http://schemas.openxmlformats.org/officeDocument/2006/relationships/hyperlink" Target="https://educationendowmentfoundation.org.uk/education-evidence/teaching-learning-toolkit/behaviour-intervention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dc:description>Master-ET-v3.8</dc:description>
  <cp:lastModifiedBy>Andrew Russell</cp:lastModifiedBy>
  <cp:revision>11</cp:revision>
  <cp:lastPrinted>2022-02-14T14:42:00Z</cp:lastPrinted>
  <dcterms:created xsi:type="dcterms:W3CDTF">2022-02-13T14:09:00Z</dcterms:created>
  <dcterms:modified xsi:type="dcterms:W3CDTF">2022-02-28T09:05:00Z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