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5DAC" w14:textId="1541D557" w:rsidR="000F3B9A" w:rsidRDefault="00957EB0" w:rsidP="005E6884">
      <w:pPr>
        <w:jc w:val="center"/>
        <w:rPr>
          <w:b/>
          <w:sz w:val="44"/>
          <w:szCs w:val="28"/>
        </w:rPr>
      </w:pPr>
      <w:r>
        <w:rPr>
          <w:b/>
          <w:noProof/>
          <w:sz w:val="44"/>
          <w:szCs w:val="28"/>
        </w:rPr>
        <w:drawing>
          <wp:inline distT="0" distB="0" distL="0" distR="0" wp14:anchorId="19A2353D" wp14:editId="27BD3B06">
            <wp:extent cx="1137037" cy="1129341"/>
            <wp:effectExtent l="0" t="0" r="6350" b="0"/>
            <wp:docPr id="820906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06723" name="Picture 8209067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757" cy="113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A67D3" w14:textId="77777777" w:rsidR="00A076E9" w:rsidRPr="000F3B9A" w:rsidRDefault="005E6884" w:rsidP="005E6884">
      <w:pPr>
        <w:jc w:val="center"/>
        <w:rPr>
          <w:b/>
          <w:sz w:val="44"/>
          <w:szCs w:val="28"/>
        </w:rPr>
      </w:pPr>
      <w:bookmarkStart w:id="0" w:name="_Hlk231905966"/>
      <w:r w:rsidRPr="000F3B9A">
        <w:rPr>
          <w:b/>
          <w:sz w:val="44"/>
          <w:szCs w:val="28"/>
        </w:rPr>
        <w:t xml:space="preserve">CHS School </w:t>
      </w:r>
      <w:r w:rsidR="0039040F" w:rsidRPr="000F3B9A">
        <w:rPr>
          <w:b/>
          <w:sz w:val="44"/>
          <w:szCs w:val="28"/>
        </w:rPr>
        <w:t>Equipment</w:t>
      </w:r>
    </w:p>
    <w:p w14:paraId="50A0403A" w14:textId="73A5D0CB" w:rsidR="0039040F" w:rsidRPr="000F3B9A" w:rsidRDefault="0039040F">
      <w:pPr>
        <w:rPr>
          <w:sz w:val="28"/>
          <w:szCs w:val="28"/>
        </w:rPr>
      </w:pPr>
      <w:r w:rsidRPr="000F3B9A">
        <w:rPr>
          <w:sz w:val="28"/>
          <w:szCs w:val="28"/>
        </w:rPr>
        <w:t xml:space="preserve">It is important that your child has the correct equipment for their lessons. This equipment will </w:t>
      </w:r>
      <w:r w:rsidR="000F3B9A">
        <w:rPr>
          <w:sz w:val="28"/>
          <w:szCs w:val="28"/>
        </w:rPr>
        <w:t>be essential for students from when they start in Year 7 until they sit their GCSEs in Year 11</w:t>
      </w:r>
      <w:r w:rsidRPr="000F3B9A">
        <w:rPr>
          <w:sz w:val="28"/>
          <w:szCs w:val="28"/>
        </w:rPr>
        <w:t>.</w:t>
      </w:r>
    </w:p>
    <w:p w14:paraId="2ECCDE2B" w14:textId="77777777" w:rsidR="0039040F" w:rsidRPr="000F3B9A" w:rsidRDefault="0039040F">
      <w:pPr>
        <w:rPr>
          <w:sz w:val="28"/>
          <w:szCs w:val="28"/>
        </w:rPr>
      </w:pPr>
      <w:r w:rsidRPr="000F3B9A">
        <w:rPr>
          <w:sz w:val="28"/>
          <w:szCs w:val="28"/>
        </w:rPr>
        <w:t>Students are expected to have a dictionary/thesaurus, scientific calculator and maths set. The recom</w:t>
      </w:r>
      <w:r w:rsidR="004F6D53">
        <w:rPr>
          <w:sz w:val="28"/>
          <w:szCs w:val="28"/>
        </w:rPr>
        <w:t>mended calculator is the Casio FX</w:t>
      </w:r>
      <w:r w:rsidRPr="000F3B9A">
        <w:rPr>
          <w:sz w:val="28"/>
          <w:szCs w:val="28"/>
        </w:rPr>
        <w:t>-</w:t>
      </w:r>
      <w:r w:rsidR="004F6D53">
        <w:rPr>
          <w:sz w:val="28"/>
          <w:szCs w:val="28"/>
        </w:rPr>
        <w:t>83GT</w:t>
      </w:r>
      <w:r w:rsidR="00752E0F">
        <w:rPr>
          <w:sz w:val="28"/>
          <w:szCs w:val="28"/>
        </w:rPr>
        <w:t xml:space="preserve"> CW</w:t>
      </w:r>
      <w:r w:rsidR="005E6884" w:rsidRPr="000F3B9A">
        <w:rPr>
          <w:sz w:val="28"/>
          <w:szCs w:val="28"/>
        </w:rPr>
        <w:t>. The maths set should include a compass, 15cm ruler, protractor, set squares, pencil, pencil sharpener and eraser.</w:t>
      </w:r>
    </w:p>
    <w:p w14:paraId="0473DD15" w14:textId="77777777" w:rsidR="005E6884" w:rsidRDefault="000F3B9A">
      <w:pPr>
        <w:rPr>
          <w:sz w:val="28"/>
          <w:szCs w:val="28"/>
        </w:rPr>
      </w:pPr>
      <w:r>
        <w:rPr>
          <w:sz w:val="28"/>
          <w:szCs w:val="28"/>
        </w:rPr>
        <w:t xml:space="preserve">Once your child has started at Congleton High School, they can purchase the following stationery from the Learning Resource Centre (LRC) </w:t>
      </w:r>
      <w:r w:rsidR="006671C2">
        <w:rPr>
          <w:sz w:val="28"/>
          <w:szCs w:val="28"/>
        </w:rPr>
        <w:t xml:space="preserve">stationery shop. Purchases can be made (using cash) </w:t>
      </w:r>
      <w:r w:rsidR="005E6884" w:rsidRPr="000F3B9A">
        <w:rPr>
          <w:sz w:val="28"/>
          <w:szCs w:val="28"/>
        </w:rPr>
        <w:t>before school, at break, at lunch or after school.</w:t>
      </w:r>
      <w:r w:rsidR="006671C2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7576"/>
        <w:tblW w:w="0" w:type="auto"/>
        <w:tblLayout w:type="fixed"/>
        <w:tblLook w:val="04A0" w:firstRow="1" w:lastRow="0" w:firstColumn="1" w:lastColumn="0" w:noHBand="0" w:noVBand="1"/>
      </w:tblPr>
      <w:tblGrid>
        <w:gridCol w:w="4169"/>
        <w:gridCol w:w="1295"/>
      </w:tblGrid>
      <w:tr w:rsidR="00957EB0" w:rsidRPr="000F3B9A" w14:paraId="2A00FBC0" w14:textId="77777777" w:rsidTr="00957EB0">
        <w:trPr>
          <w:trHeight w:hRule="exact" w:val="301"/>
        </w:trPr>
        <w:tc>
          <w:tcPr>
            <w:tcW w:w="4169" w:type="dxa"/>
          </w:tcPr>
          <w:p w14:paraId="15056900" w14:textId="77777777" w:rsidR="00957EB0" w:rsidRPr="000F3B9A" w:rsidRDefault="00957EB0" w:rsidP="00957E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F3B9A">
              <w:rPr>
                <w:rFonts w:cstheme="minorHAnsi"/>
                <w:b/>
                <w:sz w:val="28"/>
                <w:szCs w:val="28"/>
              </w:rPr>
              <w:t>Item</w:t>
            </w:r>
          </w:p>
        </w:tc>
        <w:tc>
          <w:tcPr>
            <w:tcW w:w="1295" w:type="dxa"/>
          </w:tcPr>
          <w:p w14:paraId="0B99E55E" w14:textId="77777777" w:rsidR="00957EB0" w:rsidRPr="000F3B9A" w:rsidRDefault="00957EB0" w:rsidP="00957E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F3B9A">
              <w:rPr>
                <w:rFonts w:cstheme="minorHAnsi"/>
                <w:b/>
                <w:sz w:val="28"/>
                <w:szCs w:val="28"/>
              </w:rPr>
              <w:t>Price</w:t>
            </w:r>
          </w:p>
        </w:tc>
      </w:tr>
      <w:tr w:rsidR="00957EB0" w:rsidRPr="000F3B9A" w14:paraId="2F57D3C5" w14:textId="77777777" w:rsidTr="00957EB0">
        <w:trPr>
          <w:trHeight w:hRule="exact" w:val="301"/>
        </w:trPr>
        <w:tc>
          <w:tcPr>
            <w:tcW w:w="4169" w:type="dxa"/>
          </w:tcPr>
          <w:p w14:paraId="02C6BBDC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Angle measure</w:t>
            </w:r>
          </w:p>
        </w:tc>
        <w:tc>
          <w:tcPr>
            <w:tcW w:w="1295" w:type="dxa"/>
          </w:tcPr>
          <w:p w14:paraId="1D21A8DC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65p</w:t>
            </w:r>
          </w:p>
        </w:tc>
      </w:tr>
      <w:tr w:rsidR="00957EB0" w:rsidRPr="000F3B9A" w14:paraId="3B55C09F" w14:textId="77777777" w:rsidTr="00957EB0">
        <w:trPr>
          <w:trHeight w:hRule="exact" w:val="301"/>
        </w:trPr>
        <w:tc>
          <w:tcPr>
            <w:tcW w:w="4169" w:type="dxa"/>
          </w:tcPr>
          <w:p w14:paraId="576400DC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Clear pencil case</w:t>
            </w:r>
          </w:p>
        </w:tc>
        <w:tc>
          <w:tcPr>
            <w:tcW w:w="1295" w:type="dxa"/>
          </w:tcPr>
          <w:p w14:paraId="3281DF06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75p</w:t>
            </w:r>
          </w:p>
        </w:tc>
      </w:tr>
      <w:tr w:rsidR="00957EB0" w:rsidRPr="000F3B9A" w14:paraId="19D49CFA" w14:textId="77777777" w:rsidTr="00957EB0">
        <w:trPr>
          <w:trHeight w:hRule="exact" w:val="301"/>
        </w:trPr>
        <w:tc>
          <w:tcPr>
            <w:tcW w:w="4169" w:type="dxa"/>
          </w:tcPr>
          <w:p w14:paraId="63CB6CA0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Compass</w:t>
            </w:r>
          </w:p>
          <w:p w14:paraId="0E13204D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ECAEC36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60p</w:t>
            </w:r>
          </w:p>
        </w:tc>
      </w:tr>
      <w:tr w:rsidR="00957EB0" w:rsidRPr="000F3B9A" w14:paraId="77A6E909" w14:textId="77777777" w:rsidTr="00957EB0">
        <w:trPr>
          <w:trHeight w:hRule="exact" w:val="301"/>
        </w:trPr>
        <w:tc>
          <w:tcPr>
            <w:tcW w:w="4169" w:type="dxa"/>
          </w:tcPr>
          <w:p w14:paraId="0C96CFA2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Dictionary/Thesaurus</w:t>
            </w:r>
          </w:p>
          <w:p w14:paraId="10A81ECB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1CB21A47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£3.00</w:t>
            </w:r>
          </w:p>
        </w:tc>
      </w:tr>
      <w:tr w:rsidR="00957EB0" w:rsidRPr="000F3B9A" w14:paraId="048AEB45" w14:textId="77777777" w:rsidTr="00957EB0">
        <w:trPr>
          <w:trHeight w:hRule="exact" w:val="301"/>
        </w:trPr>
        <w:tc>
          <w:tcPr>
            <w:tcW w:w="4169" w:type="dxa"/>
          </w:tcPr>
          <w:p w14:paraId="5946F6E7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Eraser</w:t>
            </w:r>
          </w:p>
          <w:p w14:paraId="127AE6D8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FF6A7AA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15p</w:t>
            </w:r>
          </w:p>
        </w:tc>
      </w:tr>
      <w:tr w:rsidR="00957EB0" w:rsidRPr="000F3B9A" w14:paraId="34FDE847" w14:textId="77777777" w:rsidTr="00957EB0">
        <w:trPr>
          <w:trHeight w:hRule="exact" w:val="301"/>
        </w:trPr>
        <w:tc>
          <w:tcPr>
            <w:tcW w:w="4169" w:type="dxa"/>
          </w:tcPr>
          <w:p w14:paraId="6070669E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Glue</w:t>
            </w:r>
          </w:p>
        </w:tc>
        <w:tc>
          <w:tcPr>
            <w:tcW w:w="1295" w:type="dxa"/>
          </w:tcPr>
          <w:p w14:paraId="531DB036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50</w:t>
            </w:r>
            <w:r w:rsidRPr="000F3B9A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957EB0" w:rsidRPr="000F3B9A" w14:paraId="459C00CC" w14:textId="77777777" w:rsidTr="00957EB0">
        <w:trPr>
          <w:trHeight w:hRule="exact" w:val="301"/>
        </w:trPr>
        <w:tc>
          <w:tcPr>
            <w:tcW w:w="4169" w:type="dxa"/>
          </w:tcPr>
          <w:p w14:paraId="0BC4AB69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Highlighter</w:t>
            </w:r>
          </w:p>
          <w:p w14:paraId="12F096CA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32D58D57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75p</w:t>
            </w:r>
          </w:p>
        </w:tc>
      </w:tr>
      <w:tr w:rsidR="00957EB0" w:rsidRPr="000F3B9A" w14:paraId="2DA2F69C" w14:textId="77777777" w:rsidTr="00957EB0">
        <w:trPr>
          <w:trHeight w:hRule="exact" w:val="301"/>
        </w:trPr>
        <w:tc>
          <w:tcPr>
            <w:tcW w:w="4169" w:type="dxa"/>
          </w:tcPr>
          <w:p w14:paraId="0CD762D0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Index dividers -10 tab</w:t>
            </w:r>
          </w:p>
          <w:p w14:paraId="3DF66ABA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31693F02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45p</w:t>
            </w:r>
          </w:p>
        </w:tc>
      </w:tr>
      <w:tr w:rsidR="00957EB0" w:rsidRPr="000F3B9A" w14:paraId="00F39CBA" w14:textId="77777777" w:rsidTr="00957EB0">
        <w:trPr>
          <w:trHeight w:hRule="exact" w:val="301"/>
        </w:trPr>
        <w:tc>
          <w:tcPr>
            <w:tcW w:w="4169" w:type="dxa"/>
          </w:tcPr>
          <w:p w14:paraId="5FDB9211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Index dividers - 10 tab (extra wide)</w:t>
            </w:r>
          </w:p>
          <w:p w14:paraId="057F7663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5ED7023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50p</w:t>
            </w:r>
          </w:p>
        </w:tc>
      </w:tr>
      <w:tr w:rsidR="00957EB0" w:rsidRPr="000F3B9A" w14:paraId="01F94208" w14:textId="77777777" w:rsidTr="00957EB0">
        <w:trPr>
          <w:trHeight w:hRule="exact" w:val="301"/>
        </w:trPr>
        <w:tc>
          <w:tcPr>
            <w:tcW w:w="4169" w:type="dxa"/>
          </w:tcPr>
          <w:p w14:paraId="1CD02CEA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Maths set (in plastic case)</w:t>
            </w:r>
          </w:p>
          <w:p w14:paraId="7957E053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3B45DB42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£1.10</w:t>
            </w:r>
          </w:p>
        </w:tc>
      </w:tr>
      <w:tr w:rsidR="00957EB0" w:rsidRPr="000F3B9A" w14:paraId="6E5D6F7C" w14:textId="77777777" w:rsidTr="00957EB0">
        <w:trPr>
          <w:trHeight w:hRule="exact" w:val="301"/>
        </w:trPr>
        <w:tc>
          <w:tcPr>
            <w:tcW w:w="4169" w:type="dxa"/>
          </w:tcPr>
          <w:p w14:paraId="5266D238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Pen - black/blue/green</w:t>
            </w:r>
          </w:p>
          <w:p w14:paraId="4D9B99B8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6564FD7C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15p</w:t>
            </w:r>
          </w:p>
        </w:tc>
      </w:tr>
      <w:tr w:rsidR="00957EB0" w:rsidRPr="000F3B9A" w14:paraId="14F4CF26" w14:textId="77777777" w:rsidTr="00957EB0">
        <w:trPr>
          <w:trHeight w:hRule="exact" w:val="301"/>
        </w:trPr>
        <w:tc>
          <w:tcPr>
            <w:tcW w:w="4169" w:type="dxa"/>
          </w:tcPr>
          <w:p w14:paraId="118AE867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Pencil</w:t>
            </w:r>
          </w:p>
          <w:p w14:paraId="190270BE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DABDAC7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Pr="000F3B9A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957EB0" w:rsidRPr="000F3B9A" w14:paraId="193514A9" w14:textId="77777777" w:rsidTr="00957EB0">
        <w:trPr>
          <w:trHeight w:hRule="exact" w:val="301"/>
        </w:trPr>
        <w:tc>
          <w:tcPr>
            <w:tcW w:w="4169" w:type="dxa"/>
          </w:tcPr>
          <w:p w14:paraId="0EBBA9E4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Pencil - Art</w:t>
            </w:r>
          </w:p>
          <w:p w14:paraId="50715570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26E779B6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Pr="000F3B9A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957EB0" w:rsidRPr="000F3B9A" w14:paraId="06B5A03F" w14:textId="77777777" w:rsidTr="00957EB0">
        <w:trPr>
          <w:trHeight w:hRule="exact" w:val="301"/>
        </w:trPr>
        <w:tc>
          <w:tcPr>
            <w:tcW w:w="4169" w:type="dxa"/>
          </w:tcPr>
          <w:p w14:paraId="24664D32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 xml:space="preserve">Pencil sharpener </w:t>
            </w:r>
          </w:p>
          <w:p w14:paraId="03AC3AAE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153CB94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20p</w:t>
            </w:r>
          </w:p>
        </w:tc>
      </w:tr>
      <w:tr w:rsidR="00957EB0" w:rsidRPr="000F3B9A" w14:paraId="440D9D1C" w14:textId="77777777" w:rsidTr="00957EB0">
        <w:trPr>
          <w:trHeight w:hRule="exact" w:val="301"/>
        </w:trPr>
        <w:tc>
          <w:tcPr>
            <w:tcW w:w="4169" w:type="dxa"/>
          </w:tcPr>
          <w:p w14:paraId="00D13C33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Plastic pockets</w:t>
            </w:r>
          </w:p>
          <w:p w14:paraId="75FF2F0D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59BD08F6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2p</w:t>
            </w:r>
          </w:p>
        </w:tc>
      </w:tr>
      <w:tr w:rsidR="00957EB0" w:rsidRPr="000F3B9A" w14:paraId="6A0A0DA2" w14:textId="77777777" w:rsidTr="00957EB0">
        <w:trPr>
          <w:trHeight w:hRule="exact" w:val="301"/>
        </w:trPr>
        <w:tc>
          <w:tcPr>
            <w:tcW w:w="4169" w:type="dxa"/>
          </w:tcPr>
          <w:p w14:paraId="5951098C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Post-It notes (large)</w:t>
            </w:r>
          </w:p>
          <w:p w14:paraId="14E8198D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2728F9F6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50p</w:t>
            </w:r>
          </w:p>
        </w:tc>
      </w:tr>
      <w:tr w:rsidR="00957EB0" w:rsidRPr="000F3B9A" w14:paraId="53347A6B" w14:textId="77777777" w:rsidTr="00957EB0">
        <w:trPr>
          <w:trHeight w:hRule="exact" w:val="301"/>
        </w:trPr>
        <w:tc>
          <w:tcPr>
            <w:tcW w:w="4169" w:type="dxa"/>
          </w:tcPr>
          <w:p w14:paraId="1EB9F3B1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Protractor</w:t>
            </w:r>
          </w:p>
          <w:p w14:paraId="5EC6A018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04F8ADE9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20p</w:t>
            </w:r>
          </w:p>
        </w:tc>
      </w:tr>
      <w:tr w:rsidR="00957EB0" w:rsidRPr="000F3B9A" w14:paraId="291C0C3E" w14:textId="77777777" w:rsidTr="00957EB0">
        <w:trPr>
          <w:trHeight w:hRule="exact" w:val="301"/>
        </w:trPr>
        <w:tc>
          <w:tcPr>
            <w:tcW w:w="4169" w:type="dxa"/>
          </w:tcPr>
          <w:p w14:paraId="1F492C3F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Ruler 15 cm</w:t>
            </w:r>
          </w:p>
          <w:p w14:paraId="55332A67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26EE9021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15p</w:t>
            </w:r>
          </w:p>
        </w:tc>
      </w:tr>
      <w:tr w:rsidR="00957EB0" w:rsidRPr="000F3B9A" w14:paraId="614A5606" w14:textId="77777777" w:rsidTr="00957EB0">
        <w:trPr>
          <w:trHeight w:hRule="exact" w:val="301"/>
        </w:trPr>
        <w:tc>
          <w:tcPr>
            <w:tcW w:w="4169" w:type="dxa"/>
          </w:tcPr>
          <w:p w14:paraId="340E8097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Ruler 30 cm</w:t>
            </w:r>
          </w:p>
          <w:p w14:paraId="2B67E112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4B323C91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25p</w:t>
            </w:r>
          </w:p>
        </w:tc>
      </w:tr>
      <w:tr w:rsidR="00957EB0" w:rsidRPr="000F3B9A" w14:paraId="0D6F4EAE" w14:textId="77777777" w:rsidTr="00957EB0">
        <w:trPr>
          <w:trHeight w:hRule="exact" w:val="301"/>
        </w:trPr>
        <w:tc>
          <w:tcPr>
            <w:tcW w:w="4169" w:type="dxa"/>
          </w:tcPr>
          <w:p w14:paraId="7BD30BBA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Scientific calculator</w:t>
            </w:r>
          </w:p>
          <w:p w14:paraId="6A75DFD2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471861DE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£9.20</w:t>
            </w:r>
          </w:p>
        </w:tc>
      </w:tr>
      <w:tr w:rsidR="00957EB0" w:rsidRPr="000F3B9A" w14:paraId="5EBD85A7" w14:textId="77777777" w:rsidTr="00957EB0">
        <w:trPr>
          <w:trHeight w:hRule="exact" w:val="447"/>
        </w:trPr>
        <w:tc>
          <w:tcPr>
            <w:tcW w:w="4169" w:type="dxa"/>
          </w:tcPr>
          <w:p w14:paraId="022A1233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Sellotape</w:t>
            </w:r>
          </w:p>
          <w:p w14:paraId="2308EFB8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5" w:type="dxa"/>
          </w:tcPr>
          <w:p w14:paraId="28E11A5F" w14:textId="77777777" w:rsidR="00957EB0" w:rsidRPr="000F3B9A" w:rsidRDefault="00957EB0" w:rsidP="00957E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B9A">
              <w:rPr>
                <w:rFonts w:cstheme="minorHAnsi"/>
                <w:sz w:val="28"/>
                <w:szCs w:val="28"/>
              </w:rPr>
              <w:t>75p</w:t>
            </w:r>
          </w:p>
        </w:tc>
      </w:tr>
    </w:tbl>
    <w:p w14:paraId="6BF530B7" w14:textId="77777777" w:rsidR="000F3B9A" w:rsidRPr="000F3B9A" w:rsidRDefault="000F3B9A">
      <w:pPr>
        <w:rPr>
          <w:sz w:val="28"/>
          <w:szCs w:val="28"/>
        </w:rPr>
      </w:pPr>
    </w:p>
    <w:p w14:paraId="505116D2" w14:textId="77777777" w:rsidR="005E6884" w:rsidRPr="000F3B9A" w:rsidRDefault="005E6884">
      <w:pPr>
        <w:rPr>
          <w:sz w:val="28"/>
          <w:szCs w:val="28"/>
        </w:rPr>
      </w:pPr>
    </w:p>
    <w:p w14:paraId="51E544AA" w14:textId="77777777" w:rsidR="005E6884" w:rsidRPr="000F3B9A" w:rsidRDefault="005E6884">
      <w:pPr>
        <w:rPr>
          <w:sz w:val="28"/>
          <w:szCs w:val="28"/>
        </w:rPr>
      </w:pPr>
    </w:p>
    <w:p w14:paraId="63880772" w14:textId="77777777" w:rsidR="005E6884" w:rsidRPr="000F3B9A" w:rsidRDefault="005E6884">
      <w:pPr>
        <w:rPr>
          <w:sz w:val="28"/>
          <w:szCs w:val="28"/>
        </w:rPr>
      </w:pPr>
    </w:p>
    <w:p w14:paraId="74928A82" w14:textId="77777777" w:rsidR="005E6884" w:rsidRPr="000F3B9A" w:rsidRDefault="005E6884">
      <w:pPr>
        <w:rPr>
          <w:sz w:val="28"/>
          <w:szCs w:val="28"/>
        </w:rPr>
      </w:pPr>
    </w:p>
    <w:p w14:paraId="34D8A539" w14:textId="77777777" w:rsidR="005E6884" w:rsidRPr="000F3B9A" w:rsidRDefault="005E6884">
      <w:pPr>
        <w:rPr>
          <w:sz w:val="28"/>
          <w:szCs w:val="28"/>
        </w:rPr>
      </w:pPr>
    </w:p>
    <w:p w14:paraId="76474941" w14:textId="77777777" w:rsidR="005E6884" w:rsidRPr="000F3B9A" w:rsidRDefault="005E6884">
      <w:pPr>
        <w:rPr>
          <w:sz w:val="28"/>
          <w:szCs w:val="28"/>
        </w:rPr>
      </w:pPr>
    </w:p>
    <w:p w14:paraId="27D242BE" w14:textId="77777777" w:rsidR="005E6884" w:rsidRPr="000F3B9A" w:rsidRDefault="005E6884">
      <w:pPr>
        <w:rPr>
          <w:sz w:val="28"/>
          <w:szCs w:val="28"/>
        </w:rPr>
      </w:pPr>
    </w:p>
    <w:p w14:paraId="48573DE0" w14:textId="77777777" w:rsidR="005E6884" w:rsidRPr="000F3B9A" w:rsidRDefault="005E6884">
      <w:pPr>
        <w:rPr>
          <w:sz w:val="28"/>
          <w:szCs w:val="28"/>
        </w:rPr>
      </w:pPr>
    </w:p>
    <w:p w14:paraId="55EDA5D2" w14:textId="77777777" w:rsidR="005E6884" w:rsidRPr="000F3B9A" w:rsidRDefault="005E6884">
      <w:pPr>
        <w:rPr>
          <w:sz w:val="28"/>
          <w:szCs w:val="28"/>
        </w:rPr>
      </w:pPr>
    </w:p>
    <w:p w14:paraId="18FF5543" w14:textId="77777777" w:rsidR="005E6884" w:rsidRPr="000F3B9A" w:rsidRDefault="005E6884">
      <w:pPr>
        <w:rPr>
          <w:sz w:val="28"/>
          <w:szCs w:val="28"/>
        </w:rPr>
      </w:pPr>
    </w:p>
    <w:p w14:paraId="1676BB5E" w14:textId="77777777" w:rsidR="005E6884" w:rsidRPr="000F3B9A" w:rsidRDefault="005E6884">
      <w:pPr>
        <w:rPr>
          <w:sz w:val="28"/>
          <w:szCs w:val="28"/>
        </w:rPr>
      </w:pPr>
    </w:p>
    <w:p w14:paraId="63FEB853" w14:textId="77777777" w:rsidR="005E6884" w:rsidRPr="000F3B9A" w:rsidRDefault="005E6884">
      <w:pPr>
        <w:rPr>
          <w:sz w:val="28"/>
          <w:szCs w:val="28"/>
        </w:rPr>
      </w:pPr>
    </w:p>
    <w:p w14:paraId="691295E9" w14:textId="77777777" w:rsidR="000F3B9A" w:rsidRDefault="000F3B9A" w:rsidP="00CE521F">
      <w:pPr>
        <w:jc w:val="both"/>
        <w:rPr>
          <w:sz w:val="28"/>
          <w:szCs w:val="28"/>
        </w:rPr>
      </w:pPr>
    </w:p>
    <w:p w14:paraId="090E0BDA" w14:textId="75DB768B" w:rsidR="005E6884" w:rsidRPr="000F3B9A" w:rsidRDefault="005E6884" w:rsidP="00CE521F">
      <w:pPr>
        <w:jc w:val="both"/>
        <w:rPr>
          <w:sz w:val="28"/>
          <w:szCs w:val="28"/>
        </w:rPr>
      </w:pPr>
      <w:r w:rsidRPr="000F3B9A">
        <w:rPr>
          <w:sz w:val="28"/>
          <w:szCs w:val="28"/>
        </w:rPr>
        <w:t>These are the current prices</w:t>
      </w:r>
      <w:r w:rsidR="00752E0F">
        <w:rPr>
          <w:sz w:val="28"/>
          <w:szCs w:val="28"/>
        </w:rPr>
        <w:t>,</w:t>
      </w:r>
      <w:r w:rsidRPr="000F3B9A">
        <w:rPr>
          <w:sz w:val="28"/>
          <w:szCs w:val="28"/>
        </w:rPr>
        <w:t xml:space="preserve"> </w:t>
      </w:r>
      <w:r w:rsidR="00341983">
        <w:rPr>
          <w:sz w:val="28"/>
          <w:szCs w:val="28"/>
        </w:rPr>
        <w:t xml:space="preserve">as of June 2026, </w:t>
      </w:r>
      <w:r w:rsidRPr="000F3B9A">
        <w:rPr>
          <w:sz w:val="28"/>
          <w:szCs w:val="28"/>
        </w:rPr>
        <w:t>but they are subject to c</w:t>
      </w:r>
      <w:bookmarkEnd w:id="0"/>
      <w:r w:rsidRPr="000F3B9A">
        <w:rPr>
          <w:sz w:val="28"/>
          <w:szCs w:val="28"/>
        </w:rPr>
        <w:t>hange.</w:t>
      </w:r>
    </w:p>
    <w:sectPr w:rsidR="005E6884" w:rsidRPr="000F3B9A" w:rsidSect="000F3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FD"/>
    <w:rsid w:val="000F3B9A"/>
    <w:rsid w:val="00341983"/>
    <w:rsid w:val="0039040F"/>
    <w:rsid w:val="00443EFD"/>
    <w:rsid w:val="00484824"/>
    <w:rsid w:val="004F6D53"/>
    <w:rsid w:val="005861C9"/>
    <w:rsid w:val="005A4D1F"/>
    <w:rsid w:val="005E6884"/>
    <w:rsid w:val="005F3DFA"/>
    <w:rsid w:val="006671C2"/>
    <w:rsid w:val="00752E0F"/>
    <w:rsid w:val="008177E8"/>
    <w:rsid w:val="00957EB0"/>
    <w:rsid w:val="009C08B2"/>
    <w:rsid w:val="00A076E9"/>
    <w:rsid w:val="00CE521F"/>
    <w:rsid w:val="00E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29BA"/>
  <w15:chartTrackingRefBased/>
  <w15:docId w15:val="{153832F9-3E80-401B-8C1C-34B4FA17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601E-7AE7-4250-BFA2-B6C17190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Richardson</dc:creator>
  <cp:keywords/>
  <dc:description/>
  <cp:lastModifiedBy>Mr P Worthington</cp:lastModifiedBy>
  <cp:revision>3</cp:revision>
  <cp:lastPrinted>2024-06-07T14:04:00Z</cp:lastPrinted>
  <dcterms:created xsi:type="dcterms:W3CDTF">2026-06-09T13:11:00Z</dcterms:created>
  <dcterms:modified xsi:type="dcterms:W3CDTF">2026-06-12T09:07:00Z</dcterms:modified>
</cp:coreProperties>
</file>