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ADB01" w14:textId="62440089" w:rsidR="00B356EF" w:rsidRDefault="00B356EF">
      <w:bookmarkStart w:id="0" w:name="_Hlk63936123"/>
      <w:bookmarkEnd w:id="0"/>
      <w:r>
        <w:rPr>
          <w:noProof/>
        </w:rPr>
        <w:drawing>
          <wp:inline distT="0" distB="0" distL="0" distR="0" wp14:anchorId="71A4718E" wp14:editId="283D64B3">
            <wp:extent cx="5730875" cy="15487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548765"/>
                    </a:xfrm>
                    <a:prstGeom prst="rect">
                      <a:avLst/>
                    </a:prstGeom>
                    <a:noFill/>
                  </pic:spPr>
                </pic:pic>
              </a:graphicData>
            </a:graphic>
          </wp:inline>
        </w:drawing>
      </w:r>
    </w:p>
    <w:p w14:paraId="6FE25FE4" w14:textId="77777777" w:rsidR="007B09D5" w:rsidRDefault="007B09D5" w:rsidP="00B356EF">
      <w:pPr>
        <w:jc w:val="center"/>
        <w:rPr>
          <w:b/>
          <w:bCs/>
          <w:color w:val="2F5496" w:themeColor="accent1" w:themeShade="BF"/>
          <w:sz w:val="96"/>
          <w:szCs w:val="96"/>
        </w:rPr>
      </w:pPr>
      <w:r>
        <w:rPr>
          <w:b/>
          <w:bCs/>
          <w:color w:val="2F5496" w:themeColor="accent1" w:themeShade="BF"/>
          <w:sz w:val="96"/>
          <w:szCs w:val="96"/>
        </w:rPr>
        <w:t xml:space="preserve">Privacy Notice </w:t>
      </w:r>
    </w:p>
    <w:p w14:paraId="5A6C132C" w14:textId="38CB7208" w:rsidR="00B356EF" w:rsidRDefault="007B09D5" w:rsidP="00B356EF">
      <w:pPr>
        <w:jc w:val="center"/>
        <w:rPr>
          <w:b/>
          <w:bCs/>
          <w:color w:val="2F5496" w:themeColor="accent1" w:themeShade="BF"/>
          <w:sz w:val="96"/>
          <w:szCs w:val="96"/>
        </w:rPr>
      </w:pPr>
      <w:r>
        <w:rPr>
          <w:b/>
          <w:bCs/>
          <w:color w:val="2F5496" w:themeColor="accent1" w:themeShade="BF"/>
          <w:sz w:val="96"/>
          <w:szCs w:val="96"/>
        </w:rPr>
        <w:t>Staff</w:t>
      </w:r>
    </w:p>
    <w:p w14:paraId="24278BB3" w14:textId="5302E5EF" w:rsidR="00B356EF" w:rsidRDefault="00B356EF" w:rsidP="00B356EF">
      <w:pPr>
        <w:jc w:val="center"/>
        <w:rPr>
          <w:b/>
          <w:bCs/>
          <w:color w:val="2F5496" w:themeColor="accent1" w:themeShade="BF"/>
          <w:sz w:val="96"/>
          <w:szCs w:val="96"/>
        </w:rPr>
      </w:pPr>
    </w:p>
    <w:p w14:paraId="2551FAC1" w14:textId="6B7DF24D" w:rsidR="00B356EF" w:rsidRDefault="00B356EF" w:rsidP="00B356EF">
      <w:pPr>
        <w:jc w:val="center"/>
        <w:rPr>
          <w:b/>
          <w:bCs/>
          <w:color w:val="2F5496" w:themeColor="accent1" w:themeShade="BF"/>
          <w:sz w:val="96"/>
          <w:szCs w:val="96"/>
        </w:rPr>
      </w:pPr>
    </w:p>
    <w:p w14:paraId="02AB5E6D" w14:textId="03521B72" w:rsidR="00B356EF" w:rsidRDefault="00B356EF" w:rsidP="00B356EF">
      <w:pPr>
        <w:jc w:val="center"/>
        <w:rPr>
          <w:b/>
          <w:bCs/>
          <w:color w:val="2F5496" w:themeColor="accent1" w:themeShade="BF"/>
          <w:sz w:val="96"/>
          <w:szCs w:val="96"/>
        </w:rPr>
      </w:pPr>
    </w:p>
    <w:tbl>
      <w:tblPr>
        <w:tblpPr w:leftFromText="180" w:rightFromText="180" w:vertAnchor="text" w:horzAnchor="margin" w:tblpY="1894"/>
        <w:tblW w:w="94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9"/>
        <w:gridCol w:w="2769"/>
        <w:gridCol w:w="1693"/>
        <w:gridCol w:w="2496"/>
      </w:tblGrid>
      <w:tr w:rsidR="00B356EF" w14:paraId="0A32C31E" w14:textId="77777777" w:rsidTr="00B356EF">
        <w:trPr>
          <w:trHeight w:val="348"/>
        </w:trPr>
        <w:tc>
          <w:tcPr>
            <w:tcW w:w="2489" w:type="dxa"/>
            <w:tcBorders>
              <w:top w:val="single" w:sz="8" w:space="0" w:color="auto"/>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40394170"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Written:</w:t>
            </w:r>
          </w:p>
        </w:tc>
        <w:tc>
          <w:tcPr>
            <w:tcW w:w="695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903449" w14:textId="77777777" w:rsidR="00B356EF" w:rsidRDefault="00B356EF" w:rsidP="00B356EF">
            <w:pPr>
              <w:rPr>
                <w:rFonts w:ascii="Calibri" w:eastAsia="Times New Roman" w:hAnsi="Calibri" w:cs="Calibri"/>
                <w:szCs w:val="24"/>
                <w:lang w:val="en-US"/>
              </w:rPr>
            </w:pPr>
            <w:r>
              <w:rPr>
                <w:rFonts w:ascii="Calibri" w:eastAsia="Times New Roman" w:hAnsi="Calibri"/>
                <w:szCs w:val="24"/>
                <w:lang w:val="en-US"/>
              </w:rPr>
              <w:t>January 2021 after consultation</w:t>
            </w:r>
          </w:p>
        </w:tc>
      </w:tr>
      <w:tr w:rsidR="00B356EF" w14:paraId="3B843522"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8740D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Approved by</w:t>
            </w:r>
          </w:p>
        </w:tc>
        <w:tc>
          <w:tcPr>
            <w:tcW w:w="2769" w:type="dxa"/>
            <w:tcBorders>
              <w:top w:val="nil"/>
              <w:left w:val="nil"/>
              <w:bottom w:val="single" w:sz="8" w:space="0" w:color="auto"/>
              <w:right w:val="single" w:sz="8" w:space="0" w:color="auto"/>
            </w:tcBorders>
            <w:tcMar>
              <w:top w:w="0" w:type="dxa"/>
              <w:left w:w="108" w:type="dxa"/>
              <w:bottom w:w="0" w:type="dxa"/>
              <w:right w:w="108" w:type="dxa"/>
            </w:tcMar>
            <w:hideMark/>
          </w:tcPr>
          <w:p w14:paraId="772DF2D2"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 xml:space="preserve">Governing Body </w:t>
            </w:r>
          </w:p>
        </w:tc>
        <w:tc>
          <w:tcPr>
            <w:tcW w:w="1693" w:type="dxa"/>
            <w:tcBorders>
              <w:top w:val="nil"/>
              <w:left w:val="nil"/>
              <w:bottom w:val="single" w:sz="8" w:space="0" w:color="auto"/>
              <w:right w:val="single" w:sz="8" w:space="0" w:color="auto"/>
            </w:tcBorders>
            <w:shd w:val="clear" w:color="auto" w:fill="2F5496" w:themeFill="accent1" w:themeFillShade="BF"/>
            <w:hideMark/>
          </w:tcPr>
          <w:p w14:paraId="38C94B90" w14:textId="77777777" w:rsidR="00B356EF" w:rsidRDefault="00B356EF" w:rsidP="00B356EF">
            <w:pPr>
              <w:rPr>
                <w:rFonts w:ascii="Calibri" w:eastAsia="Times New Roman" w:hAnsi="Calibri"/>
                <w:b/>
                <w:bCs/>
                <w:color w:val="FFFFFF" w:themeColor="background1"/>
                <w:szCs w:val="24"/>
                <w:lang w:val="en-US"/>
              </w:rPr>
            </w:pPr>
            <w:r>
              <w:rPr>
                <w:rFonts w:ascii="Calibri" w:eastAsia="Times New Roman" w:hAnsi="Calibri"/>
                <w:b/>
                <w:bCs/>
                <w:color w:val="FFFFFF" w:themeColor="background1"/>
                <w:szCs w:val="24"/>
                <w:lang w:val="en-US"/>
              </w:rPr>
              <w:t>Meeting Date</w:t>
            </w:r>
          </w:p>
        </w:tc>
        <w:tc>
          <w:tcPr>
            <w:tcW w:w="2496" w:type="dxa"/>
            <w:tcBorders>
              <w:top w:val="nil"/>
              <w:left w:val="nil"/>
              <w:bottom w:val="single" w:sz="8" w:space="0" w:color="auto"/>
              <w:right w:val="single" w:sz="8" w:space="0" w:color="auto"/>
            </w:tcBorders>
            <w:hideMark/>
          </w:tcPr>
          <w:p w14:paraId="1D64B519" w14:textId="77777777" w:rsidR="00B356EF" w:rsidRDefault="00B356EF" w:rsidP="00B356EF">
            <w:pPr>
              <w:rPr>
                <w:rFonts w:ascii="Calibri" w:eastAsia="Times New Roman" w:hAnsi="Calibri"/>
                <w:szCs w:val="24"/>
                <w:lang w:val="en-US"/>
              </w:rPr>
            </w:pPr>
            <w:r>
              <w:rPr>
                <w:rFonts w:ascii="Calibri" w:eastAsia="Times New Roman" w:hAnsi="Calibri"/>
                <w:szCs w:val="24"/>
                <w:lang w:val="en-US"/>
              </w:rPr>
              <w:t>4</w:t>
            </w:r>
            <w:r w:rsidRPr="007F7F31">
              <w:rPr>
                <w:rFonts w:ascii="Calibri" w:eastAsia="Times New Roman" w:hAnsi="Calibri"/>
                <w:szCs w:val="24"/>
                <w:vertAlign w:val="superscript"/>
                <w:lang w:val="en-US"/>
              </w:rPr>
              <w:t>th</w:t>
            </w:r>
            <w:r>
              <w:rPr>
                <w:rFonts w:ascii="Calibri" w:eastAsia="Times New Roman" w:hAnsi="Calibri"/>
                <w:szCs w:val="24"/>
                <w:lang w:val="en-US"/>
              </w:rPr>
              <w:t xml:space="preserve"> February 2021</w:t>
            </w:r>
          </w:p>
        </w:tc>
      </w:tr>
      <w:tr w:rsidR="00B356EF" w14:paraId="402989A7" w14:textId="77777777" w:rsidTr="00B356EF">
        <w:trPr>
          <w:trHeight w:val="348"/>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59F723E7"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Review Cycle</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9294ADA" w14:textId="77777777"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Annually</w:t>
            </w:r>
          </w:p>
        </w:tc>
      </w:tr>
      <w:tr w:rsidR="00B356EF" w14:paraId="29E56E59" w14:textId="77777777" w:rsidTr="00B356EF">
        <w:trPr>
          <w:trHeight w:val="331"/>
        </w:trPr>
        <w:tc>
          <w:tcPr>
            <w:tcW w:w="2489" w:type="dxa"/>
            <w:tcBorders>
              <w:top w:val="nil"/>
              <w:left w:val="single" w:sz="8" w:space="0" w:color="auto"/>
              <w:bottom w:val="single" w:sz="8" w:space="0" w:color="auto"/>
              <w:right w:val="single" w:sz="8" w:space="0" w:color="auto"/>
            </w:tcBorders>
            <w:shd w:val="clear" w:color="auto" w:fill="2F5496" w:themeFill="accent1" w:themeFillShade="BF"/>
            <w:tcMar>
              <w:top w:w="0" w:type="dxa"/>
              <w:left w:w="108" w:type="dxa"/>
              <w:bottom w:w="0" w:type="dxa"/>
              <w:right w:w="108" w:type="dxa"/>
            </w:tcMar>
            <w:hideMark/>
          </w:tcPr>
          <w:p w14:paraId="14929A45" w14:textId="77777777" w:rsidR="00B356EF" w:rsidRPr="0050500F" w:rsidRDefault="00B356EF" w:rsidP="00B356EF">
            <w:pPr>
              <w:rPr>
                <w:rFonts w:ascii="Calibri Light" w:eastAsia="Times New Roman" w:hAnsi="Calibri Light" w:cs="Calibri Light"/>
                <w:b/>
                <w:bCs/>
                <w:color w:val="FFFFFF" w:themeColor="background1"/>
                <w:szCs w:val="24"/>
                <w:lang w:val="en-US"/>
              </w:rPr>
            </w:pPr>
            <w:r w:rsidRPr="0050500F">
              <w:rPr>
                <w:rFonts w:ascii="Calibri Light" w:eastAsia="Times New Roman" w:hAnsi="Calibri Light" w:cs="Calibri Light"/>
                <w:b/>
                <w:bCs/>
                <w:color w:val="FFFFFF" w:themeColor="background1"/>
                <w:szCs w:val="24"/>
                <w:lang w:val="en-US"/>
              </w:rPr>
              <w:t>Next review</w:t>
            </w:r>
          </w:p>
        </w:tc>
        <w:tc>
          <w:tcPr>
            <w:tcW w:w="6958"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735114C" w14:textId="0D599484" w:rsidR="00B356EF" w:rsidRDefault="00B356EF" w:rsidP="00B356EF">
            <w:pPr>
              <w:rPr>
                <w:rFonts w:ascii="Calibri" w:eastAsia="Times New Roman" w:hAnsi="Calibri" w:cs="Times New Roman"/>
                <w:szCs w:val="24"/>
                <w:lang w:val="en-US"/>
              </w:rPr>
            </w:pPr>
            <w:r>
              <w:rPr>
                <w:rFonts w:ascii="Calibri" w:eastAsia="Times New Roman" w:hAnsi="Calibri"/>
                <w:szCs w:val="24"/>
                <w:lang w:val="en-US"/>
              </w:rPr>
              <w:t>February 2021</w:t>
            </w:r>
          </w:p>
        </w:tc>
      </w:tr>
    </w:tbl>
    <w:p w14:paraId="5D882D65" w14:textId="4C425AB3" w:rsidR="00B356EF" w:rsidRDefault="00B356EF" w:rsidP="00B356EF"/>
    <w:p w14:paraId="289E6B28" w14:textId="6081A71C" w:rsidR="00B356EF" w:rsidRDefault="00B356EF" w:rsidP="00B356EF"/>
    <w:p w14:paraId="68F4C53F" w14:textId="113FE731" w:rsidR="00B356EF" w:rsidRDefault="00B356EF" w:rsidP="00B356EF"/>
    <w:p w14:paraId="5B950C74" w14:textId="74BD06A3" w:rsidR="00B356EF" w:rsidRDefault="00B356EF" w:rsidP="00B356EF"/>
    <w:p w14:paraId="12B49C05" w14:textId="35D22896" w:rsidR="006C559F" w:rsidRDefault="006C559F" w:rsidP="00B356EF"/>
    <w:p w14:paraId="2217DE5E" w14:textId="77777777" w:rsidR="007B09D5" w:rsidRPr="007B09D5" w:rsidRDefault="007B09D5" w:rsidP="007B09D5">
      <w:pPr>
        <w:suppressAutoHyphens/>
        <w:autoSpaceDN w:val="0"/>
        <w:spacing w:after="0" w:line="240" w:lineRule="auto"/>
        <w:outlineLvl w:val="0"/>
        <w:rPr>
          <w:rFonts w:ascii="Calibri" w:eastAsia="Times New Roman" w:hAnsi="Calibri" w:cs="Calibri"/>
          <w:b/>
          <w:color w:val="002060"/>
          <w:sz w:val="36"/>
          <w:szCs w:val="24"/>
          <w:lang w:eastAsia="en-GB"/>
        </w:rPr>
      </w:pPr>
      <w:r w:rsidRPr="007B09D5">
        <w:rPr>
          <w:rFonts w:ascii="Calibri" w:eastAsia="Times New Roman" w:hAnsi="Calibri" w:cs="Calibri"/>
          <w:b/>
          <w:color w:val="002060"/>
          <w:sz w:val="36"/>
          <w:szCs w:val="24"/>
          <w:lang w:eastAsia="en-GB"/>
        </w:rPr>
        <w:lastRenderedPageBreak/>
        <w:t>Privacy Notice (How we use school workforce information)</w:t>
      </w:r>
    </w:p>
    <w:p w14:paraId="08BA7AF1"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lang w:eastAsia="en-GB"/>
        </w:rPr>
      </w:pPr>
      <w:r w:rsidRPr="007B09D5">
        <w:rPr>
          <w:rFonts w:ascii="Calibri" w:eastAsia="Times New Roman" w:hAnsi="Calibri" w:cs="Calibri"/>
          <w:sz w:val="24"/>
          <w:szCs w:val="20"/>
          <w:lang w:eastAsia="en-GB"/>
        </w:rPr>
        <w:t xml:space="preserve">This notice details how we collect and use information about members of the school’s staff. </w:t>
      </w:r>
    </w:p>
    <w:p w14:paraId="750B2B44" w14:textId="77777777" w:rsidR="007B09D5" w:rsidRPr="007B09D5" w:rsidRDefault="007B09D5" w:rsidP="007B09D5">
      <w:pPr>
        <w:keepNext/>
        <w:suppressAutoHyphens/>
        <w:autoSpaceDN w:val="0"/>
        <w:spacing w:before="240" w:after="0" w:line="240" w:lineRule="auto"/>
        <w:jc w:val="both"/>
        <w:outlineLvl w:val="1"/>
        <w:rPr>
          <w:rFonts w:ascii="Arial" w:eastAsia="Times New Roman" w:hAnsi="Arial" w:cs="Times New Roman"/>
          <w:b/>
          <w:color w:val="002060"/>
          <w:kern w:val="3"/>
          <w:sz w:val="24"/>
          <w:szCs w:val="20"/>
        </w:rPr>
      </w:pPr>
      <w:r w:rsidRPr="007B09D5">
        <w:rPr>
          <w:rFonts w:ascii="Calibri" w:eastAsia="Times New Roman" w:hAnsi="Calibri" w:cs="Calibri"/>
          <w:b/>
          <w:color w:val="002060"/>
          <w:sz w:val="32"/>
          <w:szCs w:val="32"/>
          <w:lang w:eastAsia="en-GB"/>
        </w:rPr>
        <w:t>The categories of school workforce information that we collect, process, hold and share include (not exhaustive):</w:t>
      </w:r>
    </w:p>
    <w:p w14:paraId="4887C6FD"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Personal information (such as name, employee or teacher number, national insurance number, home address, personal telephone contact details and next of kin/emergency contact)</w:t>
      </w:r>
    </w:p>
    <w:p w14:paraId="1BE9B858"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Special categories of data including characteristics information such as gender, age, ethnic group</w:t>
      </w:r>
    </w:p>
    <w:p w14:paraId="7051D90A"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Relevant medical and disability information</w:t>
      </w:r>
    </w:p>
    <w:p w14:paraId="0F004301"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 xml:space="preserve">Contract information (such as start dates, hours worked, post, roles, </w:t>
      </w:r>
      <w:proofErr w:type="gramStart"/>
      <w:r w:rsidRPr="007B09D5">
        <w:rPr>
          <w:rFonts w:ascii="Calibri" w:eastAsia="Times New Roman" w:hAnsi="Calibri" w:cs="Calibri"/>
          <w:sz w:val="24"/>
          <w:szCs w:val="20"/>
        </w:rPr>
        <w:t>salary</w:t>
      </w:r>
      <w:proofErr w:type="gramEnd"/>
      <w:r w:rsidRPr="007B09D5">
        <w:rPr>
          <w:rFonts w:ascii="Calibri" w:eastAsia="Times New Roman" w:hAnsi="Calibri" w:cs="Calibri"/>
          <w:sz w:val="24"/>
          <w:szCs w:val="20"/>
        </w:rPr>
        <w:t xml:space="preserve"> and pension information)  </w:t>
      </w:r>
    </w:p>
    <w:p w14:paraId="18174645"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 xml:space="preserve">Work absence information (such as number of absences and reasons such as sickness and maternity, </w:t>
      </w:r>
      <w:proofErr w:type="gramStart"/>
      <w:r w:rsidRPr="007B09D5">
        <w:rPr>
          <w:rFonts w:ascii="Calibri" w:eastAsia="Times New Roman" w:hAnsi="Calibri" w:cs="Calibri"/>
          <w:sz w:val="24"/>
          <w:szCs w:val="20"/>
        </w:rPr>
        <w:t>adoption</w:t>
      </w:r>
      <w:proofErr w:type="gramEnd"/>
      <w:r w:rsidRPr="007B09D5">
        <w:rPr>
          <w:rFonts w:ascii="Calibri" w:eastAsia="Times New Roman" w:hAnsi="Calibri" w:cs="Calibri"/>
          <w:sz w:val="24"/>
          <w:szCs w:val="20"/>
        </w:rPr>
        <w:t xml:space="preserve"> and paternity leave)</w:t>
      </w:r>
    </w:p>
    <w:p w14:paraId="4FEF94CA"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Qualifications (and, where relevant, subjects taught)</w:t>
      </w:r>
    </w:p>
    <w:p w14:paraId="352BED6A"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Discipline, grievance, performance management, monitoring of teaching standards and absence management information</w:t>
      </w:r>
    </w:p>
    <w:p w14:paraId="713FC1CA"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Calibri" w:eastAsia="Times New Roman" w:hAnsi="Calibri" w:cs="Calibri"/>
          <w:sz w:val="24"/>
          <w:szCs w:val="20"/>
        </w:rPr>
      </w:pPr>
      <w:r w:rsidRPr="007B09D5">
        <w:rPr>
          <w:rFonts w:ascii="Calibri" w:eastAsia="Times New Roman" w:hAnsi="Calibri" w:cs="Calibri"/>
          <w:sz w:val="24"/>
          <w:szCs w:val="20"/>
        </w:rPr>
        <w:t xml:space="preserve">Evidence of the right to work in the UK </w:t>
      </w:r>
    </w:p>
    <w:p w14:paraId="35FA4AC2"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7B09D5">
        <w:rPr>
          <w:rFonts w:ascii="Calibri" w:eastAsia="Times New Roman" w:hAnsi="Calibri" w:cs="Calibri"/>
          <w:sz w:val="24"/>
          <w:szCs w:val="20"/>
        </w:rPr>
        <w:t>Signing in/out register</w:t>
      </w:r>
    </w:p>
    <w:p w14:paraId="5E12CF5D"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7B09D5">
        <w:rPr>
          <w:rFonts w:ascii="Calibri" w:eastAsia="Times New Roman" w:hAnsi="Calibri" w:cs="Calibri"/>
          <w:sz w:val="24"/>
          <w:szCs w:val="20"/>
        </w:rPr>
        <w:t>Images on CCTV</w:t>
      </w:r>
    </w:p>
    <w:p w14:paraId="12AA094A" w14:textId="77777777" w:rsidR="007B09D5" w:rsidRPr="007B09D5" w:rsidRDefault="007B09D5" w:rsidP="007B09D5">
      <w:pPr>
        <w:widowControl w:val="0"/>
        <w:numPr>
          <w:ilvl w:val="0"/>
          <w:numId w:val="1"/>
        </w:numPr>
        <w:suppressAutoHyphens/>
        <w:overflowPunct w:val="0"/>
        <w:autoSpaceDE w:val="0"/>
        <w:autoSpaceDN w:val="0"/>
        <w:spacing w:after="0" w:line="240" w:lineRule="auto"/>
        <w:jc w:val="both"/>
        <w:textAlignment w:val="baseline"/>
        <w:rPr>
          <w:rFonts w:ascii="Arial" w:eastAsia="Times New Roman" w:hAnsi="Arial" w:cs="Times New Roman"/>
          <w:sz w:val="24"/>
          <w:szCs w:val="24"/>
        </w:rPr>
      </w:pPr>
      <w:r w:rsidRPr="007B09D5">
        <w:rPr>
          <w:rFonts w:ascii="Calibri" w:eastAsia="Times New Roman" w:hAnsi="Calibri" w:cs="Calibri"/>
          <w:sz w:val="24"/>
          <w:szCs w:val="20"/>
        </w:rPr>
        <w:t xml:space="preserve">Involvement in school trips. </w:t>
      </w:r>
    </w:p>
    <w:p w14:paraId="203321F1" w14:textId="77777777" w:rsidR="007B09D5" w:rsidRPr="007B09D5" w:rsidRDefault="007B09D5" w:rsidP="007B09D5">
      <w:pPr>
        <w:keepNext/>
        <w:suppressAutoHyphens/>
        <w:autoSpaceDN w:val="0"/>
        <w:spacing w:before="240" w:after="0" w:line="240" w:lineRule="auto"/>
        <w:jc w:val="both"/>
        <w:outlineLvl w:val="1"/>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Why we collect and use this information</w:t>
      </w:r>
    </w:p>
    <w:p w14:paraId="64A9EE05"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rPr>
        <w:t>We use school workforce data to:</w:t>
      </w:r>
    </w:p>
    <w:p w14:paraId="661D1CFE"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Enable the development of a comprehensive picture of the workforce and how it is deployed</w:t>
      </w:r>
    </w:p>
    <w:p w14:paraId="05EE1AB0"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Inform the development of recruitment and retention policies</w:t>
      </w:r>
    </w:p>
    <w:p w14:paraId="1A828052"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Enable individuals to be paid</w:t>
      </w:r>
    </w:p>
    <w:p w14:paraId="1B818DFA"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To meet the requirements of the Keeping Children Safe in Education regulations and safeguarding our pupils</w:t>
      </w:r>
    </w:p>
    <w:p w14:paraId="54306E89"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 xml:space="preserve">To contact staff and other nominated person in the event of an emergency or unforeseen urgent circumstance. </w:t>
      </w:r>
    </w:p>
    <w:p w14:paraId="610D58E1"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color w:val="FF0000"/>
          <w:sz w:val="24"/>
          <w:lang w:val="en-US"/>
        </w:rPr>
      </w:pPr>
      <w:r w:rsidRPr="007B09D5">
        <w:rPr>
          <w:rFonts w:ascii="Calibri" w:eastAsia="Times New Roman" w:hAnsi="Calibri" w:cs="Calibri"/>
          <w:color w:val="FF0000"/>
          <w:sz w:val="24"/>
          <w:lang w:val="en-US"/>
        </w:rPr>
        <w:t xml:space="preserve">To enable school to provide access to school systems – </w:t>
      </w:r>
      <w:proofErr w:type="gramStart"/>
      <w:r w:rsidRPr="007B09D5">
        <w:rPr>
          <w:rFonts w:ascii="Calibri" w:eastAsia="Times New Roman" w:hAnsi="Calibri" w:cs="Calibri"/>
          <w:color w:val="FF0000"/>
          <w:sz w:val="24"/>
          <w:lang w:val="en-US"/>
        </w:rPr>
        <w:t>e.g.</w:t>
      </w:r>
      <w:proofErr w:type="gramEnd"/>
      <w:r w:rsidRPr="007B09D5">
        <w:rPr>
          <w:rFonts w:ascii="Calibri" w:eastAsia="Times New Roman" w:hAnsi="Calibri" w:cs="Calibri"/>
          <w:color w:val="FF0000"/>
          <w:sz w:val="24"/>
          <w:lang w:val="en-US"/>
        </w:rPr>
        <w:t xml:space="preserve"> SIMS and educational tools</w:t>
      </w:r>
    </w:p>
    <w:p w14:paraId="5817AB25"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Defense of legal claims</w:t>
      </w:r>
    </w:p>
    <w:p w14:paraId="1F0D8A80"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To comply with the Department for Education regulations</w:t>
      </w:r>
    </w:p>
    <w:p w14:paraId="65872518"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To plan and monitor expenditure on staff salaries within the school’s budget</w:t>
      </w:r>
    </w:p>
    <w:p w14:paraId="0CA6E655" w14:textId="77777777" w:rsidR="007B09D5" w:rsidRPr="007B09D5" w:rsidRDefault="007B09D5" w:rsidP="007B09D5">
      <w:pPr>
        <w:widowControl w:val="0"/>
        <w:numPr>
          <w:ilvl w:val="0"/>
          <w:numId w:val="2"/>
        </w:numPr>
        <w:suppressAutoHyphens/>
        <w:overflowPunct w:val="0"/>
        <w:autoSpaceDE w:val="0"/>
        <w:autoSpaceDN w:val="0"/>
        <w:spacing w:after="0" w:line="240" w:lineRule="auto"/>
        <w:jc w:val="both"/>
        <w:textAlignment w:val="baseline"/>
        <w:rPr>
          <w:rFonts w:ascii="Calibri" w:eastAsia="Times New Roman" w:hAnsi="Calibri" w:cs="Calibri"/>
          <w:sz w:val="24"/>
          <w:lang w:val="en-US"/>
        </w:rPr>
      </w:pPr>
      <w:r w:rsidRPr="007B09D5">
        <w:rPr>
          <w:rFonts w:ascii="Calibri" w:eastAsia="Times New Roman" w:hAnsi="Calibri" w:cs="Calibri"/>
          <w:sz w:val="24"/>
          <w:lang w:val="en-US"/>
        </w:rPr>
        <w:t>To comply with legislation in relation to data sharing</w:t>
      </w:r>
    </w:p>
    <w:p w14:paraId="79DF11D5" w14:textId="77777777" w:rsidR="007B09D5" w:rsidRPr="007B09D5" w:rsidRDefault="007B09D5" w:rsidP="007B09D5">
      <w:pPr>
        <w:keepNext/>
        <w:suppressAutoHyphens/>
        <w:autoSpaceDN w:val="0"/>
        <w:spacing w:before="240" w:after="0" w:line="240" w:lineRule="auto"/>
        <w:jc w:val="both"/>
        <w:outlineLvl w:val="1"/>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The lawful basis on which we process this information</w:t>
      </w:r>
    </w:p>
    <w:p w14:paraId="7DBC191A" w14:textId="77777777" w:rsidR="007B09D5" w:rsidRPr="007B09D5" w:rsidRDefault="007B09D5" w:rsidP="007B09D5">
      <w:pPr>
        <w:suppressAutoHyphens/>
        <w:autoSpaceDN w:val="0"/>
        <w:spacing w:after="0" w:line="240" w:lineRule="auto"/>
        <w:jc w:val="both"/>
        <w:textAlignment w:val="baseline"/>
        <w:rPr>
          <w:rFonts w:ascii="Arial" w:eastAsia="Times New Roman" w:hAnsi="Arial" w:cs="Times New Roman"/>
          <w:sz w:val="24"/>
          <w:szCs w:val="20"/>
        </w:rPr>
      </w:pPr>
      <w:r w:rsidRPr="007B09D5">
        <w:rPr>
          <w:rFonts w:ascii="Calibri" w:eastAsia="Calibri" w:hAnsi="Calibri" w:cs="Calibri"/>
          <w:sz w:val="24"/>
          <w:szCs w:val="24"/>
        </w:rPr>
        <w:t xml:space="preserve">School collects and processes this information under the powers given to schools and local authorities for the legitimate interests of the controller or third party, where applicable.  </w:t>
      </w:r>
    </w:p>
    <w:p w14:paraId="341BFD0C" w14:textId="77777777" w:rsidR="007B09D5" w:rsidRPr="007B09D5" w:rsidRDefault="007B09D5" w:rsidP="007B09D5">
      <w:pPr>
        <w:autoSpaceDN w:val="0"/>
        <w:spacing w:after="0" w:line="240" w:lineRule="auto"/>
        <w:jc w:val="both"/>
        <w:textAlignment w:val="baseline"/>
        <w:rPr>
          <w:rFonts w:ascii="Calibri" w:eastAsia="Calibri" w:hAnsi="Calibri" w:cs="Calibri"/>
          <w:sz w:val="24"/>
          <w:szCs w:val="24"/>
        </w:rPr>
      </w:pPr>
    </w:p>
    <w:p w14:paraId="30C77FEA" w14:textId="77777777" w:rsidR="007B09D5" w:rsidRPr="007B09D5" w:rsidRDefault="007B09D5" w:rsidP="007B09D5">
      <w:pPr>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The following categories of lawfulness apply:</w:t>
      </w:r>
    </w:p>
    <w:p w14:paraId="70830394" w14:textId="77777777" w:rsidR="007B09D5" w:rsidRPr="007B09D5" w:rsidRDefault="007B09D5" w:rsidP="007B09D5">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 xml:space="preserve">Processing is necessary for the performance of a contract with the data subject or to </w:t>
      </w:r>
      <w:r w:rsidRPr="007B09D5">
        <w:rPr>
          <w:rFonts w:ascii="Calibri" w:eastAsia="Calibri" w:hAnsi="Calibri" w:cs="Calibri"/>
          <w:sz w:val="24"/>
          <w:szCs w:val="24"/>
        </w:rPr>
        <w:lastRenderedPageBreak/>
        <w:t xml:space="preserve">take steps to </w:t>
      </w:r>
      <w:proofErr w:type="gramStart"/>
      <w:r w:rsidRPr="007B09D5">
        <w:rPr>
          <w:rFonts w:ascii="Calibri" w:eastAsia="Calibri" w:hAnsi="Calibri" w:cs="Calibri"/>
          <w:sz w:val="24"/>
          <w:szCs w:val="24"/>
        </w:rPr>
        <w:t>enter into</w:t>
      </w:r>
      <w:proofErr w:type="gramEnd"/>
      <w:r w:rsidRPr="007B09D5">
        <w:rPr>
          <w:rFonts w:ascii="Calibri" w:eastAsia="Calibri" w:hAnsi="Calibri" w:cs="Calibri"/>
          <w:sz w:val="24"/>
          <w:szCs w:val="24"/>
        </w:rPr>
        <w:t xml:space="preserve"> a contract</w:t>
      </w:r>
    </w:p>
    <w:p w14:paraId="6D2D4138" w14:textId="77777777" w:rsidR="007B09D5" w:rsidRPr="007B09D5" w:rsidRDefault="007B09D5" w:rsidP="007B09D5">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Processing is necessary for compliance with a legal obligation</w:t>
      </w:r>
    </w:p>
    <w:p w14:paraId="7C2BF64E" w14:textId="77777777" w:rsidR="007B09D5" w:rsidRPr="007B09D5" w:rsidRDefault="007B09D5" w:rsidP="007B09D5">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Processing is necessary to protect the vital interests of a data subject or another person</w:t>
      </w:r>
    </w:p>
    <w:p w14:paraId="3D94FD01" w14:textId="77777777" w:rsidR="007B09D5" w:rsidRPr="007B09D5" w:rsidRDefault="007B09D5" w:rsidP="007B09D5">
      <w:pPr>
        <w:widowControl w:val="0"/>
        <w:numPr>
          <w:ilvl w:val="0"/>
          <w:numId w:val="3"/>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7B09D5">
        <w:rPr>
          <w:rFonts w:ascii="Calibri" w:eastAsia="Calibri" w:hAnsi="Calibri" w:cs="Calibri"/>
          <w:sz w:val="24"/>
          <w:szCs w:val="24"/>
        </w:rPr>
        <w:t>Processing is necessary for carrying out obligation under employment, social security or social protection law, or a collective agreement.</w:t>
      </w:r>
    </w:p>
    <w:p w14:paraId="17BAF425" w14:textId="77777777" w:rsidR="007B09D5" w:rsidRPr="007B09D5" w:rsidRDefault="007B09D5" w:rsidP="007B09D5">
      <w:pPr>
        <w:widowControl w:val="0"/>
        <w:numPr>
          <w:ilvl w:val="0"/>
          <w:numId w:val="3"/>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 xml:space="preserve">Processing is necessary for the establishment, </w:t>
      </w:r>
      <w:proofErr w:type="gramStart"/>
      <w:r w:rsidRPr="007B09D5">
        <w:rPr>
          <w:rFonts w:ascii="Calibri" w:eastAsia="Calibri" w:hAnsi="Calibri" w:cs="Calibri"/>
          <w:sz w:val="24"/>
          <w:szCs w:val="24"/>
        </w:rPr>
        <w:t>exercise</w:t>
      </w:r>
      <w:proofErr w:type="gramEnd"/>
      <w:r w:rsidRPr="007B09D5">
        <w:rPr>
          <w:rFonts w:ascii="Calibri" w:eastAsia="Calibri" w:hAnsi="Calibri" w:cs="Calibri"/>
          <w:sz w:val="24"/>
          <w:szCs w:val="24"/>
        </w:rPr>
        <w:t xml:space="preserve"> or defence of legal claims or where courts are acting in their judicial capacity</w:t>
      </w:r>
    </w:p>
    <w:p w14:paraId="7A34EEAD" w14:textId="77777777" w:rsidR="007B09D5" w:rsidRPr="007B09D5" w:rsidRDefault="007B09D5" w:rsidP="007B09D5">
      <w:pPr>
        <w:widowControl w:val="0"/>
        <w:numPr>
          <w:ilvl w:val="0"/>
          <w:numId w:val="4"/>
        </w:numPr>
        <w:suppressAutoHyphens/>
        <w:overflowPunct w:val="0"/>
        <w:autoSpaceDE w:val="0"/>
        <w:autoSpaceDN w:val="0"/>
        <w:spacing w:after="0" w:line="240" w:lineRule="auto"/>
        <w:ind w:left="714" w:hanging="357"/>
        <w:jc w:val="both"/>
        <w:textAlignment w:val="baseline"/>
        <w:rPr>
          <w:rFonts w:ascii="Arial" w:eastAsia="Times New Roman" w:hAnsi="Arial" w:cs="Times New Roman"/>
          <w:sz w:val="24"/>
          <w:szCs w:val="20"/>
        </w:rPr>
      </w:pPr>
      <w:r w:rsidRPr="007B09D5">
        <w:rPr>
          <w:rFonts w:ascii="Calibri" w:eastAsia="Calibri" w:hAnsi="Calibri" w:cs="Calibri"/>
          <w:sz w:val="24"/>
          <w:szCs w:val="24"/>
        </w:rPr>
        <w:t>Processing is necessary for the purposes of preventative or occupational medicine, for assessing the working capacity of the employee, medical diagnosis, the provision of health or social care or treatment or management of health or social care systems</w:t>
      </w:r>
    </w:p>
    <w:p w14:paraId="5BB56EBD" w14:textId="77777777" w:rsidR="007B09D5" w:rsidRPr="007B09D5" w:rsidRDefault="007B09D5" w:rsidP="007B09D5">
      <w:pPr>
        <w:autoSpaceDN w:val="0"/>
        <w:spacing w:after="0" w:line="240" w:lineRule="auto"/>
        <w:jc w:val="both"/>
        <w:textAlignment w:val="baseline"/>
        <w:rPr>
          <w:rFonts w:ascii="Calibri" w:eastAsia="Calibri" w:hAnsi="Calibri" w:cs="Calibri"/>
          <w:sz w:val="24"/>
          <w:szCs w:val="24"/>
        </w:rPr>
      </w:pPr>
    </w:p>
    <w:p w14:paraId="5A66274B"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lang w:eastAsia="en-GB"/>
        </w:rPr>
        <w:t>An example of a legal obligation for data collection purposes (Departmental Censuses) is the Education Act 1996 – this information can be found in the guide documents on the following website</w:t>
      </w:r>
      <w:r w:rsidRPr="007B09D5">
        <w:rPr>
          <w:rFonts w:ascii="Calibri" w:eastAsia="Times New Roman" w:hAnsi="Calibri" w:cs="Calibri"/>
          <w:sz w:val="24"/>
          <w:szCs w:val="24"/>
        </w:rPr>
        <w:t xml:space="preserve"> </w:t>
      </w:r>
      <w:hyperlink r:id="rId8" w:history="1">
        <w:r w:rsidRPr="007B09D5">
          <w:rPr>
            <w:rFonts w:ascii="Calibri" w:eastAsia="Times New Roman" w:hAnsi="Calibri" w:cs="Calibri"/>
            <w:sz w:val="24"/>
            <w:szCs w:val="24"/>
            <w:u w:val="single"/>
          </w:rPr>
          <w:t>https://www.gov.uk/education/data-collection-and-censuses-for-schools</w:t>
        </w:r>
      </w:hyperlink>
    </w:p>
    <w:p w14:paraId="1BFE51E6"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color w:val="FF0000"/>
        </w:rPr>
      </w:pPr>
    </w:p>
    <w:p w14:paraId="06989C61" w14:textId="77777777" w:rsidR="007B09D5" w:rsidRPr="007B09D5" w:rsidRDefault="007B09D5" w:rsidP="007B09D5">
      <w:pPr>
        <w:suppressAutoHyphens/>
        <w:autoSpaceDN w:val="0"/>
        <w:spacing w:after="0" w:line="240" w:lineRule="auto"/>
        <w:jc w:val="both"/>
        <w:textAlignment w:val="baseline"/>
        <w:rPr>
          <w:rFonts w:ascii="Arial" w:eastAsia="Times New Roman" w:hAnsi="Arial" w:cs="Times New Roman"/>
          <w:sz w:val="24"/>
          <w:szCs w:val="20"/>
        </w:rPr>
      </w:pPr>
      <w:r w:rsidRPr="007B09D5">
        <w:rPr>
          <w:rFonts w:ascii="Calibri" w:eastAsia="Calibri" w:hAnsi="Calibri" w:cs="Calibri"/>
          <w:sz w:val="24"/>
          <w:szCs w:val="24"/>
        </w:rPr>
        <w:t xml:space="preserve">In the rare circumstances that we </w:t>
      </w:r>
      <w:proofErr w:type="gramStart"/>
      <w:r w:rsidRPr="007B09D5">
        <w:rPr>
          <w:rFonts w:ascii="Calibri" w:eastAsia="Calibri" w:hAnsi="Calibri" w:cs="Calibri"/>
          <w:sz w:val="24"/>
          <w:szCs w:val="24"/>
        </w:rPr>
        <w:t>can’t</w:t>
      </w:r>
      <w:proofErr w:type="gramEnd"/>
      <w:r w:rsidRPr="007B09D5">
        <w:rPr>
          <w:rFonts w:ascii="Calibri" w:eastAsia="Calibri" w:hAnsi="Calibri" w:cs="Calibri"/>
          <w:sz w:val="24"/>
          <w:szCs w:val="24"/>
        </w:rPr>
        <w:t xml:space="preserve"> rely on a specified legal authority to process your information, we will obtain your express consent first.</w:t>
      </w:r>
    </w:p>
    <w:p w14:paraId="27B3F514" w14:textId="77777777" w:rsidR="007B09D5" w:rsidRPr="007B09D5" w:rsidRDefault="007B09D5" w:rsidP="007B09D5">
      <w:pPr>
        <w:keepNext/>
        <w:suppressAutoHyphens/>
        <w:autoSpaceDN w:val="0"/>
        <w:spacing w:before="240" w:after="0" w:line="240" w:lineRule="auto"/>
        <w:jc w:val="both"/>
        <w:outlineLvl w:val="1"/>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Collecting this information</w:t>
      </w:r>
    </w:p>
    <w:p w14:paraId="3DCDD0D0"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rPr>
      </w:pPr>
      <w:r w:rsidRPr="007B09D5">
        <w:rPr>
          <w:rFonts w:ascii="Calibri" w:eastAsia="Times New Roman" w:hAnsi="Calibri" w:cs="Calibri"/>
          <w:sz w:val="24"/>
        </w:rPr>
        <w:t xml:space="preserve">Whilst </w:t>
      </w:r>
      <w:proofErr w:type="gramStart"/>
      <w:r w:rsidRPr="007B09D5">
        <w:rPr>
          <w:rFonts w:ascii="Calibri" w:eastAsia="Times New Roman" w:hAnsi="Calibri" w:cs="Calibri"/>
          <w:sz w:val="24"/>
        </w:rPr>
        <w:t>the majority of</w:t>
      </w:r>
      <w:proofErr w:type="gramEnd"/>
      <w:r w:rsidRPr="007B09D5">
        <w:rPr>
          <w:rFonts w:ascii="Calibri" w:eastAsia="Times New Roman" w:hAnsi="Calibri" w:cs="Calibri"/>
          <w:sz w:val="24"/>
        </w:rPr>
        <w:t xml:space="preserve"> information you provide to us is mandatory, some of it is provided to us on a voluntary basis. </w:t>
      </w:r>
      <w:proofErr w:type="gramStart"/>
      <w:r w:rsidRPr="007B09D5">
        <w:rPr>
          <w:rFonts w:ascii="Calibri" w:eastAsia="Times New Roman" w:hAnsi="Calibri" w:cs="Calibri"/>
          <w:sz w:val="24"/>
        </w:rPr>
        <w:t>In order to</w:t>
      </w:r>
      <w:proofErr w:type="gramEnd"/>
      <w:r w:rsidRPr="007B09D5">
        <w:rPr>
          <w:rFonts w:ascii="Calibri" w:eastAsia="Times New Roman" w:hAnsi="Calibri" w:cs="Calibri"/>
          <w:sz w:val="24"/>
        </w:rPr>
        <w:t xml:space="preserve"> comply with data protection legislation, we will inform you whether you are required to provide certain school workforce information to us or if you have a choice in this. </w:t>
      </w:r>
    </w:p>
    <w:p w14:paraId="1BD09F85" w14:textId="77777777" w:rsidR="007B09D5" w:rsidRPr="007B09D5" w:rsidRDefault="007B09D5" w:rsidP="007B09D5">
      <w:pPr>
        <w:keepNext/>
        <w:suppressAutoHyphens/>
        <w:autoSpaceDN w:val="0"/>
        <w:spacing w:before="240" w:after="0" w:line="240" w:lineRule="auto"/>
        <w:jc w:val="both"/>
        <w:outlineLvl w:val="1"/>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Storing this information</w:t>
      </w:r>
    </w:p>
    <w:p w14:paraId="2D8470A2" w14:textId="77777777" w:rsidR="007B09D5" w:rsidRPr="007B09D5" w:rsidRDefault="007B09D5" w:rsidP="007B09D5">
      <w:pPr>
        <w:autoSpaceDN w:val="0"/>
        <w:spacing w:after="0" w:line="240" w:lineRule="auto"/>
        <w:jc w:val="both"/>
        <w:textAlignment w:val="baseline"/>
        <w:rPr>
          <w:rFonts w:ascii="Arial" w:eastAsia="Times New Roman" w:hAnsi="Arial" w:cs="Times New Roman"/>
          <w:sz w:val="24"/>
          <w:szCs w:val="20"/>
        </w:rPr>
      </w:pPr>
      <w:r w:rsidRPr="007B09D5">
        <w:rPr>
          <w:rFonts w:ascii="Calibri" w:eastAsia="Calibri" w:hAnsi="Calibri" w:cs="Calibri"/>
          <w:sz w:val="24"/>
          <w:szCs w:val="24"/>
        </w:rPr>
        <w:t xml:space="preserve">We hold school workforce data in line with the Information Records Management Society. </w:t>
      </w:r>
      <w:hyperlink r:id="rId9" w:history="1">
        <w:r w:rsidRPr="007B09D5">
          <w:rPr>
            <w:rFonts w:ascii="Calibri" w:eastAsia="Calibri" w:hAnsi="Calibri" w:cs="Calibri"/>
            <w:color w:val="0000FF"/>
            <w:sz w:val="24"/>
            <w:szCs w:val="24"/>
            <w:u w:val="single"/>
          </w:rPr>
          <w:t>http://irms.org.uk</w:t>
        </w:r>
      </w:hyperlink>
      <w:r w:rsidRPr="007B09D5">
        <w:rPr>
          <w:rFonts w:ascii="Calibri" w:eastAsia="Calibri" w:hAnsi="Calibri" w:cs="Calibri"/>
          <w:sz w:val="24"/>
          <w:szCs w:val="24"/>
        </w:rPr>
        <w:t xml:space="preserve">. </w:t>
      </w:r>
    </w:p>
    <w:p w14:paraId="4CE1BCFC"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0B1BE9FD" w14:textId="77777777" w:rsidR="007B09D5" w:rsidRPr="007B09D5" w:rsidRDefault="007B09D5" w:rsidP="007B09D5">
      <w:pPr>
        <w:suppressAutoHyphens/>
        <w:autoSpaceDN w:val="0"/>
        <w:spacing w:after="0" w:line="240" w:lineRule="auto"/>
        <w:jc w:val="both"/>
        <w:outlineLvl w:val="0"/>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 xml:space="preserve">Who we share this information </w:t>
      </w:r>
      <w:proofErr w:type="gramStart"/>
      <w:r w:rsidRPr="007B09D5">
        <w:rPr>
          <w:rFonts w:ascii="Calibri" w:eastAsia="Times New Roman" w:hAnsi="Calibri" w:cs="Calibri"/>
          <w:b/>
          <w:color w:val="002060"/>
          <w:sz w:val="32"/>
          <w:szCs w:val="32"/>
          <w:lang w:eastAsia="en-GB"/>
        </w:rPr>
        <w:t>with</w:t>
      </w:r>
      <w:proofErr w:type="gramEnd"/>
    </w:p>
    <w:p w14:paraId="48EC4B9A"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rPr>
      </w:pPr>
      <w:r w:rsidRPr="007B09D5">
        <w:rPr>
          <w:rFonts w:ascii="Calibri" w:eastAsia="Times New Roman" w:hAnsi="Calibri" w:cs="Calibri"/>
          <w:sz w:val="24"/>
        </w:rPr>
        <w:t>We routinely share this information with:</w:t>
      </w:r>
    </w:p>
    <w:p w14:paraId="2C1D31BB"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rPr>
      </w:pPr>
      <w:r w:rsidRPr="007B09D5">
        <w:rPr>
          <w:rFonts w:ascii="Calibri" w:eastAsia="Times New Roman" w:hAnsi="Calibri" w:cs="Calibri"/>
          <w:sz w:val="24"/>
        </w:rPr>
        <w:t>Our local authority</w:t>
      </w:r>
    </w:p>
    <w:p w14:paraId="7709A427"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Times New Roman" w:hAnsi="Calibri" w:cs="Calibri"/>
          <w:sz w:val="24"/>
        </w:rPr>
      </w:pPr>
      <w:r w:rsidRPr="007B09D5">
        <w:rPr>
          <w:rFonts w:ascii="Calibri" w:eastAsia="Times New Roman" w:hAnsi="Calibri" w:cs="Calibri"/>
          <w:sz w:val="24"/>
        </w:rPr>
        <w:t xml:space="preserve">The Department for Education (DfE) </w:t>
      </w:r>
    </w:p>
    <w:p w14:paraId="47EB6879"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The school’s insurance company</w:t>
      </w:r>
    </w:p>
    <w:p w14:paraId="2D13D0FC"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Payroll and personnel administration service</w:t>
      </w:r>
    </w:p>
    <w:p w14:paraId="6C452404"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Human Resources service</w:t>
      </w:r>
    </w:p>
    <w:p w14:paraId="3383B0CE"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Our text messenger service</w:t>
      </w:r>
    </w:p>
    <w:p w14:paraId="5E229258" w14:textId="77777777" w:rsidR="007B09D5" w:rsidRPr="007B09D5" w:rsidRDefault="007B09D5" w:rsidP="007B09D5">
      <w:pPr>
        <w:widowControl w:val="0"/>
        <w:numPr>
          <w:ilvl w:val="0"/>
          <w:numId w:val="5"/>
        </w:numPr>
        <w:suppressAutoHyphens/>
        <w:overflowPunct w:val="0"/>
        <w:autoSpaceDE w:val="0"/>
        <w:autoSpaceDN w:val="0"/>
        <w:spacing w:after="0" w:line="240" w:lineRule="auto"/>
        <w:jc w:val="both"/>
        <w:textAlignment w:val="baseline"/>
        <w:rPr>
          <w:rFonts w:ascii="Calibri" w:eastAsia="Calibri" w:hAnsi="Calibri" w:cs="Calibri"/>
          <w:color w:val="FF0000"/>
          <w:sz w:val="24"/>
          <w:szCs w:val="24"/>
        </w:rPr>
      </w:pPr>
      <w:r w:rsidRPr="007B09D5">
        <w:rPr>
          <w:rFonts w:ascii="Calibri" w:eastAsia="Calibri" w:hAnsi="Calibri" w:cs="Calibri"/>
          <w:color w:val="FF0000"/>
          <w:sz w:val="24"/>
          <w:szCs w:val="24"/>
        </w:rPr>
        <w:t xml:space="preserve">Other software providers, so that you can carry out your duties, for example CPOMS, Evolve etc. </w:t>
      </w:r>
    </w:p>
    <w:p w14:paraId="6F552D0E" w14:textId="77777777" w:rsidR="007B09D5" w:rsidRPr="007B09D5" w:rsidRDefault="007B09D5" w:rsidP="007B09D5">
      <w:pPr>
        <w:autoSpaceDN w:val="0"/>
        <w:spacing w:after="0" w:line="240" w:lineRule="auto"/>
        <w:jc w:val="both"/>
        <w:textAlignment w:val="baseline"/>
        <w:rPr>
          <w:rFonts w:ascii="Arial" w:eastAsia="Times New Roman" w:hAnsi="Arial" w:cs="Times New Roman"/>
          <w:sz w:val="24"/>
          <w:szCs w:val="20"/>
        </w:rPr>
      </w:pPr>
      <w:r w:rsidRPr="007B09D5">
        <w:rPr>
          <w:rFonts w:ascii="Calibri" w:eastAsia="Calibri" w:hAnsi="Calibri" w:cs="Calibri"/>
          <w:sz w:val="24"/>
          <w:szCs w:val="24"/>
        </w:rPr>
        <w:t xml:space="preserve">We will share your information with third parties with whom the school </w:t>
      </w:r>
      <w:proofErr w:type="gramStart"/>
      <w:r w:rsidRPr="007B09D5">
        <w:rPr>
          <w:rFonts w:ascii="Calibri" w:eastAsia="Calibri" w:hAnsi="Calibri" w:cs="Calibri"/>
          <w:sz w:val="24"/>
          <w:szCs w:val="24"/>
        </w:rPr>
        <w:t>enters into</w:t>
      </w:r>
      <w:proofErr w:type="gramEnd"/>
      <w:r w:rsidRPr="007B09D5">
        <w:rPr>
          <w:rFonts w:ascii="Calibri" w:eastAsia="Calibri" w:hAnsi="Calibri" w:cs="Calibri"/>
          <w:sz w:val="24"/>
          <w:szCs w:val="24"/>
        </w:rPr>
        <w:t xml:space="preserve"> a contract for the delivery of services such as payroll and occupational health.  </w:t>
      </w:r>
    </w:p>
    <w:p w14:paraId="31AE724A"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b/>
        </w:rPr>
      </w:pPr>
    </w:p>
    <w:p w14:paraId="0C6352A2" w14:textId="77777777" w:rsidR="007B09D5" w:rsidRPr="007B09D5" w:rsidRDefault="007B09D5" w:rsidP="007B09D5">
      <w:pPr>
        <w:suppressAutoHyphens/>
        <w:autoSpaceDN w:val="0"/>
        <w:spacing w:after="0" w:line="240" w:lineRule="auto"/>
        <w:jc w:val="both"/>
        <w:outlineLvl w:val="0"/>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Why we share school workforce information</w:t>
      </w:r>
    </w:p>
    <w:p w14:paraId="5965CAD8"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We do not share information about workforce members with anyone without consent unless the law and our policies allow us to do so.</w:t>
      </w:r>
    </w:p>
    <w:p w14:paraId="3123B0F0"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4147B351"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rPr>
        <w:lastRenderedPageBreak/>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6B6F2E1"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color w:val="9BBB59"/>
          <w:sz w:val="24"/>
          <w:szCs w:val="24"/>
        </w:rPr>
      </w:pPr>
    </w:p>
    <w:p w14:paraId="63909460" w14:textId="77777777" w:rsidR="007B09D5" w:rsidRPr="007B09D5" w:rsidRDefault="007B09D5" w:rsidP="007B09D5">
      <w:pPr>
        <w:suppressAutoHyphens/>
        <w:autoSpaceDN w:val="0"/>
        <w:spacing w:after="0" w:line="240" w:lineRule="auto"/>
        <w:jc w:val="both"/>
        <w:outlineLvl w:val="0"/>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Data collection requirements</w:t>
      </w:r>
    </w:p>
    <w:p w14:paraId="3C9923C8"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Calibri" w:hAnsi="Calibri" w:cs="Calibri"/>
          <w:sz w:val="24"/>
          <w:szCs w:val="24"/>
        </w:rPr>
      </w:pPr>
      <w:r w:rsidRPr="007B09D5">
        <w:rPr>
          <w:rFonts w:ascii="Calibri" w:eastAsia="Calibri" w:hAnsi="Calibri" w:cs="Calibri"/>
          <w:sz w:val="24"/>
          <w:szCs w:val="24"/>
        </w:rPr>
        <w:t>The DfE collects and processes personal data relating to those employed by schools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59FE81A0"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13BFCC64"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0"/>
          <w:szCs w:val="20"/>
        </w:rPr>
      </w:pPr>
      <w:r w:rsidRPr="007B09D5">
        <w:rPr>
          <w:rFonts w:ascii="Calibri" w:eastAsia="Times New Roman" w:hAnsi="Calibri" w:cs="Calibri"/>
          <w:sz w:val="24"/>
          <w:szCs w:val="24"/>
        </w:rPr>
        <w:t xml:space="preserve">To find out more about the data collection requirements placed on us by the Department for Education including the data that we share with them, go to </w:t>
      </w:r>
      <w:hyperlink r:id="rId10" w:history="1">
        <w:r w:rsidRPr="007B09D5">
          <w:rPr>
            <w:rFonts w:ascii="Calibri" w:eastAsia="Times New Roman" w:hAnsi="Calibri" w:cs="Calibri"/>
            <w:color w:val="0000FF"/>
            <w:sz w:val="24"/>
            <w:szCs w:val="24"/>
            <w:u w:val="single"/>
          </w:rPr>
          <w:t>https://www.gov.uk/education/data-collection-and-censuses-for-schools</w:t>
        </w:r>
      </w:hyperlink>
      <w:r w:rsidRPr="007B09D5">
        <w:rPr>
          <w:rFonts w:ascii="Calibri" w:eastAsia="Times New Roman" w:hAnsi="Calibri" w:cs="Calibri"/>
          <w:sz w:val="24"/>
          <w:szCs w:val="24"/>
        </w:rPr>
        <w:t>.</w:t>
      </w:r>
    </w:p>
    <w:p w14:paraId="4010D612"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60F13DCA"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The department may share information about school employees with third parties who promote the education or well-being of children or the effective deployment of school staff in England by:</w:t>
      </w:r>
    </w:p>
    <w:p w14:paraId="21DC52A4" w14:textId="77777777" w:rsidR="007B09D5" w:rsidRPr="007B09D5" w:rsidRDefault="007B09D5" w:rsidP="007B09D5">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Conducting research or analysis</w:t>
      </w:r>
    </w:p>
    <w:p w14:paraId="1C5B1268" w14:textId="77777777" w:rsidR="007B09D5" w:rsidRPr="007B09D5" w:rsidRDefault="007B09D5" w:rsidP="007B09D5">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Producing statistics</w:t>
      </w:r>
    </w:p>
    <w:p w14:paraId="6CDDD56D" w14:textId="77777777" w:rsidR="007B09D5" w:rsidRPr="007B09D5" w:rsidRDefault="007B09D5" w:rsidP="007B09D5">
      <w:pPr>
        <w:widowControl w:val="0"/>
        <w:numPr>
          <w:ilvl w:val="0"/>
          <w:numId w:val="6"/>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Providing information, </w:t>
      </w:r>
      <w:proofErr w:type="gramStart"/>
      <w:r w:rsidRPr="007B09D5">
        <w:rPr>
          <w:rFonts w:ascii="Calibri" w:eastAsia="Times New Roman" w:hAnsi="Calibri" w:cs="Calibri"/>
          <w:sz w:val="24"/>
          <w:szCs w:val="24"/>
        </w:rPr>
        <w:t>advice</w:t>
      </w:r>
      <w:proofErr w:type="gramEnd"/>
      <w:r w:rsidRPr="007B09D5">
        <w:rPr>
          <w:rFonts w:ascii="Calibri" w:eastAsia="Times New Roman" w:hAnsi="Calibri" w:cs="Calibri"/>
          <w:sz w:val="24"/>
          <w:szCs w:val="24"/>
        </w:rPr>
        <w:t xml:space="preserve"> or guidance</w:t>
      </w:r>
    </w:p>
    <w:p w14:paraId="1551B8E7"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B2F2498"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5A9BE1A4" w14:textId="77777777" w:rsidR="007B09D5" w:rsidRPr="007B09D5" w:rsidRDefault="007B09D5" w:rsidP="007B09D5">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Who is requesting the </w:t>
      </w:r>
      <w:proofErr w:type="gramStart"/>
      <w:r w:rsidRPr="007B09D5">
        <w:rPr>
          <w:rFonts w:ascii="Calibri" w:eastAsia="Times New Roman" w:hAnsi="Calibri" w:cs="Calibri"/>
          <w:sz w:val="24"/>
          <w:szCs w:val="24"/>
        </w:rPr>
        <w:t>data</w:t>
      </w:r>
      <w:proofErr w:type="gramEnd"/>
    </w:p>
    <w:p w14:paraId="292C2553" w14:textId="77777777" w:rsidR="007B09D5" w:rsidRPr="007B09D5" w:rsidRDefault="007B09D5" w:rsidP="007B09D5">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The purpose for which it is required</w:t>
      </w:r>
    </w:p>
    <w:p w14:paraId="1DA0A557" w14:textId="77777777" w:rsidR="007B09D5" w:rsidRPr="007B09D5" w:rsidRDefault="007B09D5" w:rsidP="007B09D5">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The level and sensitivity of data requested; and </w:t>
      </w:r>
    </w:p>
    <w:p w14:paraId="36F3B952" w14:textId="77777777" w:rsidR="007B09D5" w:rsidRPr="007B09D5" w:rsidRDefault="007B09D5" w:rsidP="007B09D5">
      <w:pPr>
        <w:widowControl w:val="0"/>
        <w:numPr>
          <w:ilvl w:val="0"/>
          <w:numId w:val="7"/>
        </w:numPr>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The arrangements in place to securely store and handle the data </w:t>
      </w:r>
    </w:p>
    <w:p w14:paraId="3F1959E7"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shd w:val="clear" w:color="auto" w:fill="FFFF00"/>
        </w:rPr>
      </w:pPr>
    </w:p>
    <w:p w14:paraId="4A9AC7F6"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To be granted access to school workforce information, organisations must comply with its strict terms and conditions covering the confidentiality and handling of the data, security arrangements and retention and use of the data.</w:t>
      </w:r>
    </w:p>
    <w:p w14:paraId="2EF6086D"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2FAE1231"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For more information about the department’s data sharing process, please visit: </w:t>
      </w:r>
    </w:p>
    <w:p w14:paraId="43FCBE6A"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hyperlink r:id="rId11" w:tooltip="Data protection: how we collect and share research data" w:history="1">
        <w:r w:rsidRPr="007B09D5">
          <w:rPr>
            <w:rFonts w:ascii="Calibri" w:eastAsia="Times New Roman" w:hAnsi="Calibri" w:cs="Calibri"/>
            <w:color w:val="0000FF"/>
            <w:sz w:val="24"/>
            <w:szCs w:val="24"/>
            <w:u w:val="single"/>
          </w:rPr>
          <w:t>https://www.gov.uk/data-protection-how-we-collect-and-share-research-data</w:t>
        </w:r>
      </w:hyperlink>
      <w:r w:rsidRPr="007B09D5">
        <w:rPr>
          <w:rFonts w:ascii="Calibri" w:eastAsia="Times New Roman" w:hAnsi="Calibri" w:cs="Calibri"/>
          <w:sz w:val="24"/>
          <w:szCs w:val="24"/>
        </w:rPr>
        <w:t xml:space="preserve"> </w:t>
      </w:r>
    </w:p>
    <w:p w14:paraId="5221AF77"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p>
    <w:p w14:paraId="71554297"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rPr>
        <w:t xml:space="preserve">To contact the department: </w:t>
      </w:r>
      <w:hyperlink r:id="rId12" w:history="1">
        <w:r w:rsidRPr="007B09D5">
          <w:rPr>
            <w:rFonts w:ascii="Calibri" w:eastAsia="Times New Roman" w:hAnsi="Calibri" w:cs="Calibri"/>
            <w:color w:val="0000FF"/>
            <w:sz w:val="24"/>
            <w:szCs w:val="24"/>
            <w:u w:val="single"/>
          </w:rPr>
          <w:t>https://www.gov.uk/contact-dfe</w:t>
        </w:r>
      </w:hyperlink>
    </w:p>
    <w:p w14:paraId="6EE89D4E"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rPr>
      </w:pPr>
    </w:p>
    <w:p w14:paraId="6CE79C50" w14:textId="77777777" w:rsidR="007B09D5" w:rsidRPr="007B09D5" w:rsidRDefault="007B09D5" w:rsidP="007B09D5">
      <w:pPr>
        <w:suppressAutoHyphens/>
        <w:autoSpaceDN w:val="0"/>
        <w:spacing w:after="0" w:line="240" w:lineRule="auto"/>
        <w:jc w:val="both"/>
        <w:outlineLvl w:val="0"/>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Requesting access to your personal data</w:t>
      </w:r>
    </w:p>
    <w:p w14:paraId="0C64A752"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rPr>
        <w:t xml:space="preserve">Under data protection legislation, you have the right to request access to information about you that we hold. To make a request for your personal information, in the first instance contact the </w:t>
      </w:r>
      <w:r w:rsidRPr="007B09D5">
        <w:rPr>
          <w:rFonts w:ascii="Calibri" w:eastAsia="Times New Roman" w:hAnsi="Calibri" w:cs="Calibri"/>
          <w:b/>
          <w:sz w:val="24"/>
          <w:szCs w:val="24"/>
        </w:rPr>
        <w:t xml:space="preserve">Headteacher </w:t>
      </w:r>
      <w:r w:rsidRPr="007B09D5">
        <w:rPr>
          <w:rFonts w:ascii="Calibri" w:eastAsia="Times New Roman" w:hAnsi="Calibri" w:cs="Calibri"/>
          <w:b/>
          <w:sz w:val="24"/>
          <w:szCs w:val="24"/>
          <w:lang w:eastAsia="en-GB"/>
        </w:rPr>
        <w:t xml:space="preserve">/ Data Protection Officer. </w:t>
      </w:r>
    </w:p>
    <w:p w14:paraId="0C73AAD1" w14:textId="77777777" w:rsidR="007B09D5" w:rsidRPr="007B09D5" w:rsidRDefault="007B09D5" w:rsidP="007B09D5">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4C6CC5FA"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You also have the right to:</w:t>
      </w:r>
    </w:p>
    <w:p w14:paraId="03F3EE8D" w14:textId="77777777" w:rsidR="007B09D5" w:rsidRPr="007B09D5" w:rsidRDefault="007B09D5" w:rsidP="007B09D5">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lastRenderedPageBreak/>
        <w:t>Object to processing of personal data that is likely to cause, or is causing, damage or distress</w:t>
      </w:r>
    </w:p>
    <w:p w14:paraId="40134BD3" w14:textId="77777777" w:rsidR="007B09D5" w:rsidRPr="007B09D5" w:rsidRDefault="007B09D5" w:rsidP="007B09D5">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Prevent processing for the purpose of direct marketing</w:t>
      </w:r>
    </w:p>
    <w:p w14:paraId="3F50A4C2" w14:textId="77777777" w:rsidR="007B09D5" w:rsidRPr="007B09D5" w:rsidRDefault="007B09D5" w:rsidP="007B09D5">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Object to decisions being taken by automated means</w:t>
      </w:r>
    </w:p>
    <w:p w14:paraId="13CD8EC8" w14:textId="77777777" w:rsidR="007B09D5" w:rsidRPr="007B09D5" w:rsidRDefault="007B09D5" w:rsidP="007B09D5">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In certain circumstances, have inaccurate personal data rectified, blocked, </w:t>
      </w:r>
      <w:proofErr w:type="gramStart"/>
      <w:r w:rsidRPr="007B09D5">
        <w:rPr>
          <w:rFonts w:ascii="Calibri" w:eastAsia="Times New Roman" w:hAnsi="Calibri" w:cs="Calibri"/>
          <w:sz w:val="24"/>
          <w:szCs w:val="24"/>
        </w:rPr>
        <w:t>erased</w:t>
      </w:r>
      <w:proofErr w:type="gramEnd"/>
      <w:r w:rsidRPr="007B09D5">
        <w:rPr>
          <w:rFonts w:ascii="Calibri" w:eastAsia="Times New Roman" w:hAnsi="Calibri" w:cs="Calibri"/>
          <w:sz w:val="24"/>
          <w:szCs w:val="24"/>
        </w:rPr>
        <w:t xml:space="preserve"> or destroyed; and</w:t>
      </w:r>
    </w:p>
    <w:p w14:paraId="4FEB3C23" w14:textId="77777777" w:rsidR="007B09D5" w:rsidRPr="007B09D5" w:rsidRDefault="007B09D5" w:rsidP="007B09D5">
      <w:pPr>
        <w:widowControl w:val="0"/>
        <w:numPr>
          <w:ilvl w:val="0"/>
          <w:numId w:val="8"/>
        </w:numPr>
        <w:suppressAutoHyphens/>
        <w:overflowPunct w:val="0"/>
        <w:autoSpaceDE w:val="0"/>
        <w:autoSpaceDN w:val="0"/>
        <w:spacing w:after="0" w:line="240" w:lineRule="auto"/>
        <w:ind w:left="714" w:hanging="357"/>
        <w:jc w:val="both"/>
        <w:textAlignment w:val="baseline"/>
        <w:rPr>
          <w:rFonts w:ascii="Calibri" w:eastAsia="Times New Roman" w:hAnsi="Calibri" w:cs="Calibri"/>
          <w:sz w:val="24"/>
          <w:szCs w:val="24"/>
        </w:rPr>
      </w:pPr>
      <w:r w:rsidRPr="007B09D5">
        <w:rPr>
          <w:rFonts w:ascii="Calibri" w:eastAsia="Times New Roman" w:hAnsi="Calibri" w:cs="Calibri"/>
          <w:sz w:val="24"/>
          <w:szCs w:val="24"/>
        </w:rPr>
        <w:t xml:space="preserve">Claim compensation for damages caused by a breach of the Data Protection regulations </w:t>
      </w:r>
    </w:p>
    <w:p w14:paraId="0E6EEE5F" w14:textId="77777777" w:rsidR="007B09D5" w:rsidRPr="007B09D5" w:rsidRDefault="007B09D5" w:rsidP="007B09D5">
      <w:pPr>
        <w:widowControl w:val="0"/>
        <w:suppressAutoHyphens/>
        <w:overflowPunct w:val="0"/>
        <w:autoSpaceDE w:val="0"/>
        <w:autoSpaceDN w:val="0"/>
        <w:spacing w:after="0" w:line="240" w:lineRule="auto"/>
        <w:ind w:left="720"/>
        <w:jc w:val="both"/>
        <w:textAlignment w:val="baseline"/>
        <w:rPr>
          <w:rFonts w:ascii="Calibri" w:eastAsia="Times New Roman" w:hAnsi="Calibri" w:cs="Calibri"/>
          <w:sz w:val="24"/>
          <w:szCs w:val="24"/>
        </w:rPr>
      </w:pPr>
    </w:p>
    <w:p w14:paraId="50BB7C51"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7B09D5">
          <w:rPr>
            <w:rFonts w:ascii="Calibri" w:eastAsia="Times New Roman" w:hAnsi="Calibri" w:cs="Calibri"/>
            <w:color w:val="0000FF"/>
            <w:sz w:val="24"/>
            <w:szCs w:val="24"/>
            <w:u w:val="single"/>
          </w:rPr>
          <w:t>https://ico.org.uk/concerns/</w:t>
        </w:r>
      </w:hyperlink>
    </w:p>
    <w:p w14:paraId="439D060B"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p>
    <w:p w14:paraId="79FDACEF"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0"/>
        </w:rPr>
      </w:pPr>
    </w:p>
    <w:p w14:paraId="13E03DF8" w14:textId="77777777" w:rsidR="007B09D5" w:rsidRPr="007B09D5" w:rsidRDefault="007B09D5" w:rsidP="007B09D5">
      <w:pPr>
        <w:suppressAutoHyphens/>
        <w:autoSpaceDN w:val="0"/>
        <w:spacing w:after="0" w:line="240" w:lineRule="auto"/>
        <w:jc w:val="both"/>
        <w:outlineLvl w:val="0"/>
        <w:rPr>
          <w:rFonts w:ascii="Calibri" w:eastAsia="Times New Roman" w:hAnsi="Calibri" w:cs="Calibri"/>
          <w:b/>
          <w:color w:val="002060"/>
          <w:sz w:val="32"/>
          <w:szCs w:val="32"/>
          <w:lang w:eastAsia="en-GB"/>
        </w:rPr>
      </w:pPr>
      <w:r w:rsidRPr="007B09D5">
        <w:rPr>
          <w:rFonts w:ascii="Calibri" w:eastAsia="Times New Roman" w:hAnsi="Calibri" w:cs="Calibri"/>
          <w:b/>
          <w:color w:val="002060"/>
          <w:sz w:val="32"/>
          <w:szCs w:val="32"/>
          <w:lang w:eastAsia="en-GB"/>
        </w:rPr>
        <w:t>Further information</w:t>
      </w:r>
    </w:p>
    <w:p w14:paraId="1CB6115D"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rPr>
        <w:t>If you would like to discuss anything in this privacy notice, please</w:t>
      </w:r>
      <w:r w:rsidRPr="007B09D5">
        <w:rPr>
          <w:rFonts w:ascii="Calibri" w:eastAsia="Times New Roman" w:hAnsi="Calibri" w:cs="Calibri"/>
          <w:color w:val="FF0000"/>
          <w:sz w:val="24"/>
          <w:szCs w:val="24"/>
        </w:rPr>
        <w:t xml:space="preserve"> </w:t>
      </w:r>
      <w:r w:rsidRPr="007B09D5">
        <w:rPr>
          <w:rFonts w:ascii="Calibri" w:eastAsia="Times New Roman" w:hAnsi="Calibri" w:cs="Calibri"/>
          <w:sz w:val="24"/>
          <w:szCs w:val="24"/>
        </w:rPr>
        <w:t>contact:</w:t>
      </w:r>
    </w:p>
    <w:p w14:paraId="0FC4CE17"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Calibri" w:eastAsia="Times New Roman" w:hAnsi="Calibri" w:cs="Calibri"/>
          <w:sz w:val="24"/>
          <w:szCs w:val="24"/>
          <w:lang w:eastAsia="en-GB"/>
        </w:rPr>
      </w:pPr>
      <w:r w:rsidRPr="007B09D5">
        <w:rPr>
          <w:rFonts w:ascii="Calibri" w:eastAsia="Times New Roman" w:hAnsi="Calibri" w:cs="Calibri"/>
          <w:sz w:val="24"/>
          <w:szCs w:val="24"/>
          <w:lang w:eastAsia="en-GB"/>
        </w:rPr>
        <w:t xml:space="preserve">Richard Lewis-Ogden – Data Protection Officer   </w:t>
      </w:r>
    </w:p>
    <w:p w14:paraId="0C230FC4" w14:textId="77777777" w:rsidR="007B09D5" w:rsidRPr="007B09D5" w:rsidRDefault="007B09D5" w:rsidP="007B09D5">
      <w:pPr>
        <w:widowControl w:val="0"/>
        <w:suppressAutoHyphens/>
        <w:overflowPunct w:val="0"/>
        <w:autoSpaceDE w:val="0"/>
        <w:autoSpaceDN w:val="0"/>
        <w:spacing w:after="0" w:line="240" w:lineRule="auto"/>
        <w:jc w:val="both"/>
        <w:textAlignment w:val="baseline"/>
        <w:rPr>
          <w:rFonts w:ascii="Arial" w:eastAsia="Times New Roman" w:hAnsi="Arial" w:cs="Times New Roman"/>
          <w:sz w:val="24"/>
          <w:szCs w:val="20"/>
        </w:rPr>
      </w:pPr>
      <w:r w:rsidRPr="007B09D5">
        <w:rPr>
          <w:rFonts w:ascii="Calibri" w:eastAsia="Times New Roman" w:hAnsi="Calibri" w:cs="Calibri"/>
          <w:sz w:val="24"/>
          <w:szCs w:val="24"/>
          <w:lang w:eastAsia="en-GB"/>
        </w:rPr>
        <w:t xml:space="preserve">Email: dataprotection@carrmanor.org.uk </w:t>
      </w:r>
      <w:r w:rsidRPr="007B09D5">
        <w:rPr>
          <w:rFonts w:ascii="Calibri" w:eastAsia="Times New Roman" w:hAnsi="Calibri" w:cs="Calibri"/>
        </w:rPr>
        <w:t xml:space="preserve"> </w:t>
      </w:r>
    </w:p>
    <w:p w14:paraId="0E330FEB" w14:textId="77777777" w:rsidR="006C559F" w:rsidRDefault="006C559F" w:rsidP="00B356EF"/>
    <w:sectPr w:rsidR="006C559F" w:rsidSect="00B356E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A481" w14:textId="77777777" w:rsidR="004A0DE1" w:rsidRDefault="004A0DE1" w:rsidP="00B356EF">
      <w:pPr>
        <w:spacing w:after="0" w:line="240" w:lineRule="auto"/>
      </w:pPr>
      <w:r>
        <w:separator/>
      </w:r>
    </w:p>
  </w:endnote>
  <w:endnote w:type="continuationSeparator" w:id="0">
    <w:p w14:paraId="779DDA45" w14:textId="77777777" w:rsidR="004A0DE1" w:rsidRDefault="004A0DE1" w:rsidP="00B35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04AA" w14:textId="77777777" w:rsidR="00B356EF" w:rsidRDefault="00B3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2C3D8" w14:textId="77777777" w:rsidR="00B356EF" w:rsidRDefault="00B35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1B8DC" w14:textId="77777777" w:rsidR="00B356EF" w:rsidRDefault="00B3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A39F2" w14:textId="77777777" w:rsidR="004A0DE1" w:rsidRDefault="004A0DE1" w:rsidP="00B356EF">
      <w:pPr>
        <w:spacing w:after="0" w:line="240" w:lineRule="auto"/>
      </w:pPr>
      <w:r>
        <w:separator/>
      </w:r>
    </w:p>
  </w:footnote>
  <w:footnote w:type="continuationSeparator" w:id="0">
    <w:p w14:paraId="4AA68304" w14:textId="77777777" w:rsidR="004A0DE1" w:rsidRDefault="004A0DE1" w:rsidP="00B35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1AB7" w14:textId="438BFD9A" w:rsidR="00B356EF" w:rsidRDefault="007B09D5">
    <w:pPr>
      <w:pStyle w:val="Header"/>
    </w:pPr>
    <w:r>
      <w:rPr>
        <w:noProof/>
      </w:rPr>
      <w:pict w14:anchorId="6C8CDB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2" o:spid="_x0000_s2050" type="#_x0000_t75" style="position:absolute;margin-left:0;margin-top:0;width:451.25pt;height:457.25pt;z-index:-251657216;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9B3C" w14:textId="72D0A669" w:rsidR="00B356EF" w:rsidRDefault="007B09D5">
    <w:pPr>
      <w:pStyle w:val="Header"/>
    </w:pPr>
    <w:r>
      <w:rPr>
        <w:noProof/>
      </w:rPr>
      <w:pict w14:anchorId="498D0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3" o:spid="_x0000_s2051" type="#_x0000_t75" style="position:absolute;margin-left:0;margin-top:0;width:451.25pt;height:457.25pt;z-index:-251656192;mso-position-horizontal:center;mso-position-horizontal-relative:margin;mso-position-vertical:center;mso-position-vertical-relative:margin" o:allowincell="f">
          <v:imagedata r:id="rId1" o:title="Unifor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5CF" w14:textId="5DADC40F" w:rsidR="00B356EF" w:rsidRDefault="007B09D5">
    <w:pPr>
      <w:pStyle w:val="Header"/>
    </w:pPr>
    <w:r>
      <w:rPr>
        <w:noProof/>
      </w:rPr>
      <w:pict w14:anchorId="6E4762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12921" o:spid="_x0000_s2049" type="#_x0000_t75" style="position:absolute;margin-left:0;margin-top:0;width:451.25pt;height:457.25pt;z-index:-251658240;mso-position-horizontal:center;mso-position-horizontal-relative:margin;mso-position-vertical:center;mso-position-vertical-relative:margin" o:allowincell="f">
          <v:imagedata r:id="rId1" o:title="Unifor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557B3"/>
    <w:multiLevelType w:val="multilevel"/>
    <w:tmpl w:val="49E6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D8024E"/>
    <w:multiLevelType w:val="multilevel"/>
    <w:tmpl w:val="1CECF9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FA26818"/>
    <w:multiLevelType w:val="multilevel"/>
    <w:tmpl w:val="7ECAB0F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 w15:restartNumberingAfterBreak="0">
    <w:nsid w:val="44A066DD"/>
    <w:multiLevelType w:val="multilevel"/>
    <w:tmpl w:val="109480AA"/>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3031871"/>
    <w:multiLevelType w:val="multilevel"/>
    <w:tmpl w:val="B85E856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79980539"/>
    <w:multiLevelType w:val="multilevel"/>
    <w:tmpl w:val="0EB0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9B97A25"/>
    <w:multiLevelType w:val="multilevel"/>
    <w:tmpl w:val="4E741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B333664"/>
    <w:multiLevelType w:val="multilevel"/>
    <w:tmpl w:val="B6A0C7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EF"/>
    <w:rsid w:val="003650C2"/>
    <w:rsid w:val="004A0DE1"/>
    <w:rsid w:val="006C559F"/>
    <w:rsid w:val="007B09D5"/>
    <w:rsid w:val="00B3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2B336D"/>
  <w15:chartTrackingRefBased/>
  <w15:docId w15:val="{F82A83DD-EF8E-49E3-9972-C42B5EC6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EF"/>
  </w:style>
  <w:style w:type="paragraph" w:styleId="Footer">
    <w:name w:val="footer"/>
    <w:basedOn w:val="Normal"/>
    <w:link w:val="FooterChar"/>
    <w:uiPriority w:val="99"/>
    <w:unhideWhenUsed/>
    <w:rsid w:val="00B35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yperlink" Target="https://ico.org.uk/concer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contact-df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education/data-collection-and-censuses-for-school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rm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Jill Midgley</cp:lastModifiedBy>
  <cp:revision>2</cp:revision>
  <dcterms:created xsi:type="dcterms:W3CDTF">2021-02-11T12:15:00Z</dcterms:created>
  <dcterms:modified xsi:type="dcterms:W3CDTF">2021-02-11T12:15:00Z</dcterms:modified>
</cp:coreProperties>
</file>