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8F" w:rsidRDefault="00AB0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23"/>
        <w:gridCol w:w="2330"/>
        <w:gridCol w:w="2322"/>
        <w:gridCol w:w="2322"/>
        <w:gridCol w:w="2323"/>
      </w:tblGrid>
      <w:tr w:rsidR="000C5A6F" w:rsidTr="000C5A6F"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362" w:type="dxa"/>
          </w:tcPr>
          <w:p w:rsidR="000C5A6F" w:rsidRDefault="00D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Premium Budget</w:t>
            </w:r>
            <w:r w:rsidR="00152DC5">
              <w:rPr>
                <w:rFonts w:ascii="Times New Roman" w:hAnsi="Times New Roman" w:cs="Times New Roman"/>
                <w:sz w:val="24"/>
                <w:szCs w:val="24"/>
              </w:rPr>
              <w:t xml:space="preserve"> Allocation</w:t>
            </w:r>
            <w:r w:rsidR="00DA182F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</w:p>
        </w:tc>
        <w:tc>
          <w:tcPr>
            <w:tcW w:w="2362" w:type="dxa"/>
          </w:tcPr>
          <w:p w:rsidR="000C5A6F" w:rsidRDefault="00E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£13,450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PP Review</w:t>
            </w:r>
          </w:p>
        </w:tc>
        <w:tc>
          <w:tcPr>
            <w:tcW w:w="2363" w:type="dxa"/>
          </w:tcPr>
          <w:p w:rsidR="000C5A6F" w:rsidRDefault="00D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2020</w:t>
            </w:r>
          </w:p>
        </w:tc>
      </w:tr>
      <w:tr w:rsidR="000C5A6F" w:rsidTr="000C5A6F"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Pupils in School</w:t>
            </w:r>
          </w:p>
        </w:tc>
        <w:tc>
          <w:tcPr>
            <w:tcW w:w="2362" w:type="dxa"/>
          </w:tcPr>
          <w:p w:rsidR="00AB0B8F" w:rsidRDefault="00E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(this in</w:t>
            </w:r>
            <w:r w:rsidR="004B13C9">
              <w:rPr>
                <w:rFonts w:ascii="Times New Roman" w:hAnsi="Times New Roman" w:cs="Times New Roman"/>
                <w:sz w:val="24"/>
                <w:szCs w:val="24"/>
              </w:rPr>
              <w:t>cludes nursery)</w:t>
            </w:r>
          </w:p>
          <w:p w:rsidR="00AB0B8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Pupils Eligible for Pupil Premium Funding</w:t>
            </w:r>
          </w:p>
        </w:tc>
        <w:tc>
          <w:tcPr>
            <w:tcW w:w="2362" w:type="dxa"/>
          </w:tcPr>
          <w:p w:rsidR="00AB0B8F" w:rsidRDefault="00E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0B8F">
              <w:rPr>
                <w:rFonts w:ascii="Times New Roman" w:hAnsi="Times New Roman" w:cs="Times New Roman"/>
                <w:sz w:val="24"/>
                <w:szCs w:val="24"/>
              </w:rPr>
              <w:t>% PP</w:t>
            </w:r>
          </w:p>
          <w:p w:rsidR="000C5A6F" w:rsidRDefault="004B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B8F">
              <w:rPr>
                <w:rFonts w:ascii="Times New Roman" w:hAnsi="Times New Roman" w:cs="Times New Roman"/>
                <w:sz w:val="24"/>
                <w:szCs w:val="24"/>
              </w:rPr>
              <w:t>% Post LAC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Review Date</w:t>
            </w:r>
          </w:p>
        </w:tc>
        <w:tc>
          <w:tcPr>
            <w:tcW w:w="2363" w:type="dxa"/>
          </w:tcPr>
          <w:p w:rsidR="000C5A6F" w:rsidRDefault="00D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2021</w:t>
            </w:r>
          </w:p>
        </w:tc>
      </w:tr>
    </w:tbl>
    <w:p w:rsidR="004670AE" w:rsidRDefault="00467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57"/>
        <w:gridCol w:w="4644"/>
      </w:tblGrid>
      <w:tr w:rsidR="00123607" w:rsidTr="00123607">
        <w:tc>
          <w:tcPr>
            <w:tcW w:w="4724" w:type="dxa"/>
          </w:tcPr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KS2 Attainment </w:t>
            </w:r>
            <w:r w:rsidR="00C950C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ED1B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123607" w:rsidRDefault="00D870DA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Eligible for PP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Crosscanonby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John’s</w:t>
            </w:r>
            <w:r w:rsidR="00123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182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725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Not Eligible for PP (national average)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reading</w:t>
            </w:r>
          </w:p>
        </w:tc>
        <w:tc>
          <w:tcPr>
            <w:tcW w:w="4725" w:type="dxa"/>
          </w:tcPr>
          <w:p w:rsidR="00123607" w:rsidRDefault="00ED1B83" w:rsidP="00E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DA182F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maths</w:t>
            </w:r>
          </w:p>
        </w:tc>
        <w:tc>
          <w:tcPr>
            <w:tcW w:w="4725" w:type="dxa"/>
          </w:tcPr>
          <w:p w:rsidR="00123607" w:rsidRDefault="00ED1B83" w:rsidP="00E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DA182F" w:rsidP="00E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writing</w:t>
            </w:r>
          </w:p>
        </w:tc>
        <w:tc>
          <w:tcPr>
            <w:tcW w:w="4725" w:type="dxa"/>
          </w:tcPr>
          <w:p w:rsidR="00123607" w:rsidRDefault="00ED1B83" w:rsidP="00E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DA182F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DA182F" w:rsidTr="00123607">
        <w:tc>
          <w:tcPr>
            <w:tcW w:w="4724" w:type="dxa"/>
          </w:tcPr>
          <w:p w:rsidR="00DA182F" w:rsidRDefault="00D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all subjects combined</w:t>
            </w:r>
          </w:p>
        </w:tc>
        <w:tc>
          <w:tcPr>
            <w:tcW w:w="4725" w:type="dxa"/>
          </w:tcPr>
          <w:p w:rsidR="00DA182F" w:rsidRDefault="00DA182F" w:rsidP="00E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DA182F" w:rsidRDefault="00DA182F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AB0B8F" w:rsidRDefault="009C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small cohort sizes mean that percentages are not</w:t>
      </w:r>
      <w:r w:rsidR="00ED1B83">
        <w:rPr>
          <w:rFonts w:ascii="Times New Roman" w:hAnsi="Times New Roman" w:cs="Times New Roman"/>
          <w:sz w:val="24"/>
          <w:szCs w:val="24"/>
        </w:rPr>
        <w:t xml:space="preserve"> always</w:t>
      </w:r>
      <w:r>
        <w:rPr>
          <w:rFonts w:ascii="Times New Roman" w:hAnsi="Times New Roman" w:cs="Times New Roman"/>
          <w:sz w:val="24"/>
          <w:szCs w:val="24"/>
        </w:rPr>
        <w:t xml:space="preserve"> an accurate reflection of pupil achievement. </w:t>
      </w:r>
    </w:p>
    <w:p w:rsidR="00DA182F" w:rsidRDefault="00DA1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has no data for the 2020 cohort as no external tests were taken due to Covid 19.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1"/>
        <w:gridCol w:w="6977"/>
      </w:tblGrid>
      <w:tr w:rsidR="00B469E1" w:rsidTr="00B469E1"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</w:tr>
      <w:tr w:rsidR="00B469E1" w:rsidTr="00B469E1">
        <w:tc>
          <w:tcPr>
            <w:tcW w:w="7087" w:type="dxa"/>
          </w:tcPr>
          <w:p w:rsidR="00B469E1" w:rsidRDefault="00AD1949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identified learning difficulties.</w:t>
            </w:r>
          </w:p>
          <w:p w:rsidR="00AD1949" w:rsidRDefault="00726794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self-esteem.</w:t>
            </w:r>
          </w:p>
          <w:p w:rsidR="00D870DA" w:rsidRDefault="00D870DA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motivation</w:t>
            </w:r>
          </w:p>
          <w:p w:rsidR="00150812" w:rsidRDefault="00150812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Low on-entry data</w:t>
            </w:r>
          </w:p>
          <w:p w:rsidR="00ED1B83" w:rsidRPr="00ED1B83" w:rsidRDefault="00ED1B83" w:rsidP="00ED1B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12" w:rsidRDefault="00150812" w:rsidP="001508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51" w:rsidRPr="00AD1949" w:rsidRDefault="00EB2351" w:rsidP="00EB23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27B62" w:rsidRPr="00D870DA" w:rsidRDefault="00C22B51" w:rsidP="00D870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Assessment framework with no allowance for specific learning difficulties.</w:t>
            </w:r>
          </w:p>
          <w:p w:rsidR="00C22B51" w:rsidRDefault="00C22B51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accessing full range of curriculum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 xml:space="preserve"> enrichment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 xml:space="preserve"> that are offered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B51" w:rsidRDefault="00C22B51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83">
              <w:rPr>
                <w:rFonts w:ascii="Times New Roman" w:hAnsi="Times New Roman" w:cs="Times New Roman"/>
                <w:sz w:val="24"/>
                <w:szCs w:val="24"/>
              </w:rPr>
              <w:t>Pupils’ self-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>esteem</w:t>
            </w:r>
            <w:r w:rsidR="00ED1B83">
              <w:rPr>
                <w:rFonts w:ascii="Times New Roman" w:hAnsi="Times New Roman" w:cs="Times New Roman"/>
                <w:sz w:val="24"/>
                <w:szCs w:val="24"/>
              </w:rPr>
              <w:t xml:space="preserve"> and/or motivation</w:t>
            </w:r>
          </w:p>
          <w:p w:rsidR="00927B62" w:rsidRDefault="00927B62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Cohort/pupil specific difficulties. </w:t>
            </w:r>
          </w:p>
          <w:p w:rsidR="00D870DA" w:rsidRDefault="00D870DA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:rsidR="00D870DA" w:rsidRDefault="00D870DA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Parental support</w:t>
            </w:r>
          </w:p>
          <w:p w:rsidR="00ED1B83" w:rsidRDefault="00ED1B83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circumstances</w:t>
            </w:r>
          </w:p>
          <w:p w:rsidR="00D870DA" w:rsidRPr="00C22B51" w:rsidRDefault="00D870DA" w:rsidP="00B566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69E1" w:rsidTr="00B469E1"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Outcomes</w:t>
            </w:r>
          </w:p>
        </w:tc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</w:tr>
      <w:tr w:rsidR="00B469E1" w:rsidTr="00B469E1"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enjoyment and engagement.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of year and key stage scores in line with other pupils. 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in line with other groups of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levels.</w:t>
            </w:r>
          </w:p>
        </w:tc>
      </w:tr>
    </w:tbl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DA182F" w:rsidRDefault="00DA182F">
      <w:pPr>
        <w:rPr>
          <w:rFonts w:ascii="Times New Roman" w:hAnsi="Times New Roman" w:cs="Times New Roman"/>
          <w:sz w:val="24"/>
          <w:szCs w:val="24"/>
        </w:rPr>
      </w:pPr>
    </w:p>
    <w:p w:rsidR="00DA182F" w:rsidRDefault="00DA182F">
      <w:pPr>
        <w:rPr>
          <w:rFonts w:ascii="Times New Roman" w:hAnsi="Times New Roman" w:cs="Times New Roman"/>
          <w:sz w:val="24"/>
          <w:szCs w:val="24"/>
        </w:rPr>
      </w:pPr>
    </w:p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School Will Use Funding to Achieve Desired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812"/>
        <w:gridCol w:w="3717"/>
        <w:gridCol w:w="1853"/>
        <w:gridCol w:w="2780"/>
      </w:tblGrid>
      <w:tr w:rsidR="00B469E1" w:rsidTr="00B469E1">
        <w:tc>
          <w:tcPr>
            <w:tcW w:w="2834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Actions/Approaches</w:t>
            </w:r>
          </w:p>
        </w:tc>
        <w:tc>
          <w:tcPr>
            <w:tcW w:w="379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  <w:tc>
          <w:tcPr>
            <w:tcW w:w="187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Lead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Review</w:t>
            </w:r>
          </w:p>
        </w:tc>
      </w:tr>
      <w:tr w:rsidR="00B469E1" w:rsidTr="00B469E1">
        <w:tc>
          <w:tcPr>
            <w:tcW w:w="2834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class 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>teacher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Areas of weakness identified and small group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or one-one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reinforcement work provided. </w:t>
            </w:r>
          </w:p>
        </w:tc>
        <w:tc>
          <w:tcPr>
            <w:tcW w:w="379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as expected and targets met.</w:t>
            </w:r>
          </w:p>
        </w:tc>
        <w:tc>
          <w:tcPr>
            <w:tcW w:w="1875" w:type="dxa"/>
          </w:tcPr>
          <w:p w:rsidR="00B469E1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reviews every half term.</w:t>
            </w:r>
          </w:p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£3655</w:t>
            </w:r>
          </w:p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3F" w:rsidRDefault="00367A3F" w:rsidP="0036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to be encouraged to attend after school clubs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>, theatre trips, residential trips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take part in music activities.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attendance and enjoyment.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835" w:type="dxa"/>
          </w:tcPr>
          <w:p w:rsidR="00367A3F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on activity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637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and senior teacher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to work with small groups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or individuals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to provide support in and out of class.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at least in line with other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falling behind.</w:t>
            </w:r>
          </w:p>
        </w:tc>
        <w:tc>
          <w:tcPr>
            <w:tcW w:w="1875" w:type="dxa"/>
          </w:tcPr>
          <w:p w:rsidR="005D5DA5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KB/JD</w:t>
            </w:r>
          </w:p>
        </w:tc>
        <w:tc>
          <w:tcPr>
            <w:tcW w:w="2835" w:type="dxa"/>
          </w:tcPr>
          <w:p w:rsidR="005D5DA5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£6740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progress tracked</w:t>
            </w:r>
            <w:r w:rsidR="00880788">
              <w:rPr>
                <w:rFonts w:ascii="Times New Roman" w:hAnsi="Times New Roman" w:cs="Times New Roman"/>
                <w:sz w:val="24"/>
                <w:szCs w:val="24"/>
              </w:rPr>
              <w:t xml:space="preserve"> through termly data 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areas of concern identified and interventions put in place.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impact of interventions.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80788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and attainment at least in line with other pupils nationally.</w:t>
            </w:r>
          </w:p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 in achievement lessened.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5D5DA5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r w:rsidR="00880788">
              <w:rPr>
                <w:rFonts w:ascii="Times New Roman" w:hAnsi="Times New Roman" w:cs="Times New Roman"/>
                <w:sz w:val="24"/>
                <w:szCs w:val="24"/>
              </w:rPr>
              <w:t>/AP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termly pupil reviews.</w:t>
            </w:r>
          </w:p>
          <w:p w:rsidR="00B56637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to peer</w:t>
            </w:r>
            <w:r w:rsidR="00B5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637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£2500</w:t>
            </w: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AC" w:rsidTr="00B469E1">
        <w:tc>
          <w:tcPr>
            <w:tcW w:w="2834" w:type="dxa"/>
          </w:tcPr>
          <w:p w:rsidR="002761AC" w:rsidRDefault="002761AC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interventions provided.</w:t>
            </w:r>
          </w:p>
        </w:tc>
        <w:tc>
          <w:tcPr>
            <w:tcW w:w="2835" w:type="dxa"/>
          </w:tcPr>
          <w:p w:rsidR="002761AC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impact of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additional resources for spelling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phonics.</w:t>
            </w:r>
          </w:p>
          <w:p w:rsidR="00474C5F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Purchase resources for social, emotional aspects of learning.</w:t>
            </w:r>
          </w:p>
          <w:p w:rsidR="00474C5F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resources for writing.</w:t>
            </w:r>
          </w:p>
          <w:p w:rsidR="00474C5F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with external providers to develop individual learning plans. </w:t>
            </w:r>
          </w:p>
        </w:tc>
        <w:tc>
          <w:tcPr>
            <w:tcW w:w="379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5D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 using</w:t>
            </w:r>
            <w:r w:rsidR="00474C5F">
              <w:rPr>
                <w:rFonts w:ascii="Times New Roman" w:hAnsi="Times New Roman" w:cs="Times New Roman"/>
                <w:sz w:val="24"/>
                <w:szCs w:val="24"/>
              </w:rPr>
              <w:t xml:space="preserve"> spelling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strategies independently and evidence in books and end of year tests.</w:t>
            </w:r>
          </w:p>
          <w:p w:rsidR="00474C5F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groups set up and intervention games having a positive impact on pupils’ self-esteem and well-being.  </w:t>
            </w:r>
          </w:p>
        </w:tc>
        <w:tc>
          <w:tcPr>
            <w:tcW w:w="1875" w:type="dxa"/>
          </w:tcPr>
          <w:p w:rsidR="002761AC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AP/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>KB/JD</w:t>
            </w:r>
          </w:p>
        </w:tc>
        <w:tc>
          <w:tcPr>
            <w:tcW w:w="2835" w:type="dxa"/>
          </w:tcPr>
          <w:p w:rsidR="002761AC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£3500</w:t>
            </w:r>
          </w:p>
        </w:tc>
      </w:tr>
      <w:tr w:rsidR="00DA182F" w:rsidTr="00B469E1">
        <w:tc>
          <w:tcPr>
            <w:tcW w:w="2834" w:type="dxa"/>
          </w:tcPr>
          <w:p w:rsidR="00DA182F" w:rsidRDefault="0062104A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working regularly with small groups on Talk Boost sessions.</w:t>
            </w:r>
          </w:p>
        </w:tc>
        <w:tc>
          <w:tcPr>
            <w:tcW w:w="2835" w:type="dxa"/>
          </w:tcPr>
          <w:p w:rsidR="00DA182F" w:rsidRDefault="0062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and training in Talk Boost sessions</w:t>
            </w:r>
          </w:p>
        </w:tc>
        <w:tc>
          <w:tcPr>
            <w:tcW w:w="3795" w:type="dxa"/>
          </w:tcPr>
          <w:p w:rsidR="00DA182F" w:rsidRDefault="0062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more able to access all areas of the curriculum and making progress in line with their peers.</w:t>
            </w:r>
          </w:p>
        </w:tc>
        <w:tc>
          <w:tcPr>
            <w:tcW w:w="1875" w:type="dxa"/>
          </w:tcPr>
          <w:p w:rsidR="00DA182F" w:rsidRDefault="0062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KB/CM</w:t>
            </w:r>
          </w:p>
        </w:tc>
        <w:tc>
          <w:tcPr>
            <w:tcW w:w="2835" w:type="dxa"/>
          </w:tcPr>
          <w:p w:rsidR="00DA182F" w:rsidRDefault="00DA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2F" w:rsidTr="00B469E1">
        <w:tc>
          <w:tcPr>
            <w:tcW w:w="2834" w:type="dxa"/>
          </w:tcPr>
          <w:p w:rsidR="00DA182F" w:rsidRDefault="0062104A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of staff trained in effective pupil premium strategies. </w:t>
            </w:r>
          </w:p>
        </w:tc>
        <w:tc>
          <w:tcPr>
            <w:tcW w:w="2835" w:type="dxa"/>
          </w:tcPr>
          <w:p w:rsidR="00DA182F" w:rsidRDefault="0062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member to take part in WELL projects.</w:t>
            </w:r>
          </w:p>
        </w:tc>
        <w:tc>
          <w:tcPr>
            <w:tcW w:w="3795" w:type="dxa"/>
          </w:tcPr>
          <w:p w:rsidR="00DA182F" w:rsidRDefault="0062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identified and intervention matched to need. High quality interventions.</w:t>
            </w:r>
          </w:p>
        </w:tc>
        <w:tc>
          <w:tcPr>
            <w:tcW w:w="1875" w:type="dxa"/>
          </w:tcPr>
          <w:p w:rsidR="00DA182F" w:rsidRDefault="0062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2835" w:type="dxa"/>
          </w:tcPr>
          <w:p w:rsidR="00DA182F" w:rsidRDefault="0062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£2000</w:t>
            </w:r>
          </w:p>
        </w:tc>
      </w:tr>
    </w:tbl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</w:p>
    <w:p w:rsidR="00F524DC" w:rsidRDefault="00F5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19 Catch Up</w:t>
      </w:r>
    </w:p>
    <w:p w:rsidR="00F524DC" w:rsidRDefault="00F524DC" w:rsidP="00F5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>
        <w:rPr>
          <w:rFonts w:ascii="Times New Roman" w:hAnsi="Times New Roman" w:cs="Times New Roman"/>
          <w:sz w:val="24"/>
          <w:szCs w:val="24"/>
        </w:rPr>
        <w:t>far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2020- 2021 we have received £1920</w:t>
      </w:r>
      <w:r>
        <w:rPr>
          <w:rFonts w:ascii="Times New Roman" w:hAnsi="Times New Roman" w:cs="Times New Roman"/>
          <w:sz w:val="24"/>
          <w:szCs w:val="24"/>
        </w:rPr>
        <w:t xml:space="preserve"> catch up premium to help us respond to the impact of school closures during the lockdown period. During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majority of our pupils engaged with home learning, but for so</w:t>
      </w:r>
      <w:r>
        <w:rPr>
          <w:rFonts w:ascii="Times New Roman" w:hAnsi="Times New Roman" w:cs="Times New Roman"/>
          <w:sz w:val="24"/>
          <w:szCs w:val="24"/>
        </w:rPr>
        <w:t>me children additional support 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still</w:t>
      </w:r>
      <w:r>
        <w:rPr>
          <w:rFonts w:ascii="Times New Roman" w:hAnsi="Times New Roman" w:cs="Times New Roman"/>
          <w:sz w:val="24"/>
          <w:szCs w:val="24"/>
        </w:rPr>
        <w:t xml:space="preserve"> necessary to help fill in the gaps in both academic and social aspects of learning.</w:t>
      </w:r>
    </w:p>
    <w:p w:rsidR="00F524DC" w:rsidRDefault="00F524DC" w:rsidP="00F5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additional funding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provide specific targeted activities to help individual pupils in areas identified by staff.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3"/>
        <w:gridCol w:w="2805"/>
        <w:gridCol w:w="2784"/>
        <w:gridCol w:w="2778"/>
      </w:tblGrid>
      <w:tr w:rsidR="00F524DC" w:rsidTr="00341417">
        <w:tc>
          <w:tcPr>
            <w:tcW w:w="2834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Area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Lead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F524DC" w:rsidTr="00341417">
        <w:tc>
          <w:tcPr>
            <w:tcW w:w="2834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Aspects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Small nurture group activities. </w:t>
            </w: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Some 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one support for some pupils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class and during play sessions.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 more resilient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increased confidence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higher self-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 more confident and able to access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less anxiety. 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LM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£600</w:t>
            </w:r>
          </w:p>
        </w:tc>
      </w:tr>
      <w:tr w:rsidR="00F524DC" w:rsidTr="00341417">
        <w:tc>
          <w:tcPr>
            <w:tcW w:w="2834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Targeted support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 one with teacher for pupils in core subject areas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sessions for small group of pupils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to identify gaps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 skills and staff to deliver one to one as necessary.</w:t>
            </w:r>
            <w:r w:rsidR="004E4948">
              <w:rPr>
                <w:rFonts w:ascii="Times New Roman" w:hAnsi="Times New Roman" w:cs="Times New Roman"/>
                <w:sz w:val="24"/>
                <w:szCs w:val="24"/>
              </w:rPr>
              <w:t xml:space="preserve"> Additional TAs in each class to work alongside class teachers.</w:t>
            </w:r>
            <w:bookmarkStart w:id="0" w:name="_GoBack"/>
            <w:bookmarkEnd w:id="0"/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 Boost sessions for group of Early Years pupils.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working in line with expectations based on previous assessment results and targets set.</w:t>
            </w: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Gaps in knowledge filled.</w:t>
            </w:r>
          </w:p>
          <w:p w:rsidR="004E4948" w:rsidRDefault="004E4948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48" w:rsidRDefault="004E4948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48" w:rsidRDefault="004E4948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48" w:rsidRDefault="004E4948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48" w:rsidRDefault="004E4948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skills developed.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KB/AP</w:t>
            </w: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2835" w:type="dxa"/>
          </w:tcPr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£960</w:t>
            </w: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3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£360</w:t>
            </w:r>
          </w:p>
        </w:tc>
      </w:tr>
    </w:tbl>
    <w:p w:rsidR="00F524DC" w:rsidRPr="000C5A6F" w:rsidRDefault="00F524DC">
      <w:pPr>
        <w:rPr>
          <w:rFonts w:ascii="Times New Roman" w:hAnsi="Times New Roman" w:cs="Times New Roman"/>
          <w:sz w:val="24"/>
          <w:szCs w:val="24"/>
        </w:rPr>
      </w:pPr>
    </w:p>
    <w:sectPr w:rsidR="00F524DC" w:rsidRPr="000C5A6F" w:rsidSect="000C5A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6F" w:rsidRDefault="000C5A6F" w:rsidP="000C5A6F">
      <w:pPr>
        <w:spacing w:after="0" w:line="240" w:lineRule="auto"/>
      </w:pPr>
      <w:r>
        <w:separator/>
      </w:r>
    </w:p>
  </w:endnote>
  <w:end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6F" w:rsidRDefault="000C5A6F" w:rsidP="000C5A6F">
      <w:pPr>
        <w:spacing w:after="0" w:line="240" w:lineRule="auto"/>
      </w:pPr>
      <w:r>
        <w:separator/>
      </w:r>
    </w:p>
  </w:footnote>
  <w:foot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6F" w:rsidRPr="000C5A6F" w:rsidRDefault="00D870DA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CROSSCANONBY ST JOHN’S</w:t>
    </w:r>
    <w:r w:rsidR="000C5A6F" w:rsidRPr="000C5A6F">
      <w:rPr>
        <w:rFonts w:ascii="Times New Roman" w:hAnsi="Times New Roman" w:cs="Times New Roman"/>
        <w:b/>
        <w:sz w:val="32"/>
        <w:szCs w:val="32"/>
      </w:rPr>
      <w:t xml:space="preserve"> C OF E PRIMARY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C5A6F">
      <w:rPr>
        <w:rFonts w:ascii="Times New Roman" w:hAnsi="Times New Roman" w:cs="Times New Roman"/>
        <w:b/>
        <w:sz w:val="32"/>
        <w:szCs w:val="32"/>
      </w:rPr>
      <w:t xml:space="preserve">PUPIL PREMIUM STRATEGY </w:t>
    </w:r>
    <w:r w:rsidR="00E1337E">
      <w:rPr>
        <w:rFonts w:ascii="Times New Roman" w:hAnsi="Times New Roman" w:cs="Times New Roman"/>
        <w:b/>
        <w:sz w:val="32"/>
        <w:szCs w:val="32"/>
      </w:rPr>
      <w:t>2020-2021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P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307F"/>
    <w:multiLevelType w:val="hybridMultilevel"/>
    <w:tmpl w:val="2866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6F"/>
    <w:rsid w:val="000C5A6F"/>
    <w:rsid w:val="00121571"/>
    <w:rsid w:val="00123607"/>
    <w:rsid w:val="00150812"/>
    <w:rsid w:val="00152DC5"/>
    <w:rsid w:val="002761AC"/>
    <w:rsid w:val="00367A3F"/>
    <w:rsid w:val="003755A5"/>
    <w:rsid w:val="004670AE"/>
    <w:rsid w:val="00474C5F"/>
    <w:rsid w:val="004B13C9"/>
    <w:rsid w:val="004E4948"/>
    <w:rsid w:val="005D5DA5"/>
    <w:rsid w:val="0062104A"/>
    <w:rsid w:val="00726794"/>
    <w:rsid w:val="00880788"/>
    <w:rsid w:val="00927B62"/>
    <w:rsid w:val="009705B4"/>
    <w:rsid w:val="009C3957"/>
    <w:rsid w:val="00A513CF"/>
    <w:rsid w:val="00AB0B8F"/>
    <w:rsid w:val="00AD1949"/>
    <w:rsid w:val="00B469E1"/>
    <w:rsid w:val="00B56637"/>
    <w:rsid w:val="00C22B51"/>
    <w:rsid w:val="00C950CD"/>
    <w:rsid w:val="00D870DA"/>
    <w:rsid w:val="00DA182F"/>
    <w:rsid w:val="00E1337E"/>
    <w:rsid w:val="00EB2351"/>
    <w:rsid w:val="00ED1B83"/>
    <w:rsid w:val="00F524DC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28DD"/>
  <w15:docId w15:val="{3ED8EF9D-16AE-4FB5-9FE1-788372F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6F"/>
  </w:style>
  <w:style w:type="paragraph" w:styleId="Footer">
    <w:name w:val="footer"/>
    <w:basedOn w:val="Normal"/>
    <w:link w:val="Foot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F"/>
  </w:style>
  <w:style w:type="table" w:styleId="TableGrid">
    <w:name w:val="Table Grid"/>
    <w:basedOn w:val="TableNormal"/>
    <w:uiPriority w:val="59"/>
    <w:rsid w:val="000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Amanda Pitcher</cp:lastModifiedBy>
  <cp:revision>4</cp:revision>
  <dcterms:created xsi:type="dcterms:W3CDTF">2020-12-07T13:49:00Z</dcterms:created>
  <dcterms:modified xsi:type="dcterms:W3CDTF">2021-05-19T08:54:00Z</dcterms:modified>
</cp:coreProperties>
</file>