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91" w:rsidRPr="00563DC1" w:rsidRDefault="00563DC1">
      <w:pPr>
        <w:pStyle w:val="Heading2"/>
        <w:rPr>
          <w:color w:val="1F4E79" w:themeColor="accent1" w:themeShade="80"/>
          <w:sz w:val="24"/>
          <w:szCs w:val="24"/>
          <w:u w:val="single"/>
        </w:rPr>
      </w:pPr>
      <w:bookmarkStart w:id="0" w:name="_Toc385406061"/>
      <w:r w:rsidRPr="00563DC1">
        <w:rPr>
          <w:color w:val="1F4E79" w:themeColor="accent1" w:themeShade="80"/>
          <w:sz w:val="24"/>
          <w:szCs w:val="24"/>
          <w:u w:val="single"/>
        </w:rPr>
        <w:t>School ove</w:t>
      </w:r>
      <w:bookmarkStart w:id="1" w:name="_GoBack"/>
      <w:bookmarkEnd w:id="1"/>
      <w:r w:rsidRPr="00563DC1">
        <w:rPr>
          <w:color w:val="1F4E79" w:themeColor="accent1" w:themeShade="80"/>
          <w:sz w:val="24"/>
          <w:szCs w:val="24"/>
          <w:u w:val="single"/>
        </w:rPr>
        <w:t>rview</w:t>
      </w:r>
    </w:p>
    <w:tbl>
      <w:tblPr>
        <w:tblW w:w="92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3895"/>
      </w:tblGrid>
      <w:tr w:rsidR="00F21191" w:rsidTr="00655701">
        <w:trPr>
          <w:trHeight w:val="381"/>
        </w:trPr>
        <w:tc>
          <w:tcPr>
            <w:tcW w:w="5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563DC1" w:rsidP="00655701">
            <w:pPr>
              <w:pStyle w:val="TableRow"/>
              <w:jc w:val="center"/>
              <w:rPr>
                <w:b/>
                <w:sz w:val="28"/>
                <w:szCs w:val="28"/>
              </w:rPr>
            </w:pPr>
            <w:r w:rsidRPr="00655701">
              <w:rPr>
                <w:b/>
                <w:sz w:val="28"/>
                <w:szCs w:val="28"/>
              </w:rPr>
              <w:t>Metric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563DC1" w:rsidP="00655701">
            <w:pPr>
              <w:pStyle w:val="TableRow"/>
              <w:jc w:val="center"/>
              <w:rPr>
                <w:b/>
                <w:sz w:val="28"/>
                <w:szCs w:val="28"/>
              </w:rPr>
            </w:pPr>
            <w:r w:rsidRPr="00655701">
              <w:rPr>
                <w:b/>
                <w:sz w:val="28"/>
                <w:szCs w:val="28"/>
              </w:rPr>
              <w:t>Data</w:t>
            </w:r>
          </w:p>
        </w:tc>
      </w:tr>
      <w:tr w:rsidR="00F21191" w:rsidTr="00655701">
        <w:trPr>
          <w:trHeight w:val="381"/>
        </w:trPr>
        <w:tc>
          <w:tcPr>
            <w:tcW w:w="5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563DC1">
            <w:pPr>
              <w:pStyle w:val="TableRow"/>
              <w:ind w:left="0"/>
              <w:rPr>
                <w:color w:val="0070C0"/>
              </w:rPr>
            </w:pPr>
            <w:r w:rsidRPr="00655701">
              <w:rPr>
                <w:color w:val="0070C0"/>
              </w:rPr>
              <w:t xml:space="preserve"> School name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F06DD6">
            <w:pPr>
              <w:pStyle w:val="TableRow"/>
              <w:rPr>
                <w:color w:val="000000" w:themeColor="text1"/>
              </w:rPr>
            </w:pPr>
            <w:r w:rsidRPr="00655701">
              <w:rPr>
                <w:rStyle w:val="PlaceholderText"/>
                <w:color w:val="000000" w:themeColor="text1"/>
              </w:rPr>
              <w:t>Cumbria Academy for Autism</w:t>
            </w:r>
          </w:p>
        </w:tc>
      </w:tr>
      <w:tr w:rsidR="00F21191" w:rsidTr="00655701">
        <w:trPr>
          <w:trHeight w:val="381"/>
        </w:trPr>
        <w:tc>
          <w:tcPr>
            <w:tcW w:w="5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563DC1">
            <w:pPr>
              <w:pStyle w:val="TableRow"/>
              <w:rPr>
                <w:color w:val="0070C0"/>
              </w:rPr>
            </w:pPr>
            <w:r w:rsidRPr="00655701">
              <w:rPr>
                <w:color w:val="0070C0"/>
              </w:rPr>
              <w:t>Pupils in school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200DF8">
            <w:pPr>
              <w:pStyle w:val="TableRow"/>
              <w:rPr>
                <w:color w:val="000000" w:themeColor="text1"/>
              </w:rPr>
            </w:pPr>
            <w:r>
              <w:rPr>
                <w:rStyle w:val="PlaceholderText"/>
                <w:color w:val="000000" w:themeColor="text1"/>
              </w:rPr>
              <w:t>40</w:t>
            </w:r>
            <w:r w:rsidR="00F06DD6" w:rsidRPr="00655701">
              <w:rPr>
                <w:rStyle w:val="PlaceholderText"/>
                <w:color w:val="000000" w:themeColor="text1"/>
              </w:rPr>
              <w:t xml:space="preserve"> Children</w:t>
            </w:r>
          </w:p>
        </w:tc>
      </w:tr>
      <w:tr w:rsidR="00F21191" w:rsidTr="00655701">
        <w:trPr>
          <w:trHeight w:val="381"/>
        </w:trPr>
        <w:tc>
          <w:tcPr>
            <w:tcW w:w="5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563DC1">
            <w:pPr>
              <w:pStyle w:val="TableRow"/>
              <w:rPr>
                <w:color w:val="0070C0"/>
              </w:rPr>
            </w:pPr>
            <w:r w:rsidRPr="00655701">
              <w:rPr>
                <w:color w:val="0070C0"/>
              </w:rPr>
              <w:t>Proportion of disadvantaged pupils</w:t>
            </w:r>
            <w:r w:rsidR="002E4966">
              <w:rPr>
                <w:color w:val="0070C0"/>
              </w:rPr>
              <w:t xml:space="preserve"> (or those classed as LAC or Service Children)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966" w:rsidRPr="00655701" w:rsidRDefault="00D001AF" w:rsidP="002E4966">
            <w:pPr>
              <w:pStyle w:val="TableRow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28% </w:t>
            </w:r>
            <w:r w:rsidR="002E4966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11</w:t>
            </w:r>
            <w:r w:rsidR="002E4966">
              <w:rPr>
                <w:color w:val="000000" w:themeColor="text1"/>
              </w:rPr>
              <w:t xml:space="preserve"> Children)</w:t>
            </w:r>
          </w:p>
        </w:tc>
      </w:tr>
      <w:tr w:rsidR="00F21191" w:rsidTr="00655701">
        <w:trPr>
          <w:trHeight w:val="381"/>
        </w:trPr>
        <w:tc>
          <w:tcPr>
            <w:tcW w:w="5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563DC1">
            <w:pPr>
              <w:pStyle w:val="TableRow"/>
              <w:rPr>
                <w:color w:val="0070C0"/>
              </w:rPr>
            </w:pPr>
            <w:r w:rsidRPr="00655701">
              <w:rPr>
                <w:color w:val="0070C0"/>
              </w:rPr>
              <w:t>Pupil premium allocation this academic year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F06DD6" w:rsidP="00200DF8">
            <w:pPr>
              <w:pStyle w:val="TableRow"/>
              <w:rPr>
                <w:color w:val="000000" w:themeColor="text1"/>
              </w:rPr>
            </w:pPr>
            <w:r w:rsidRPr="00655701">
              <w:rPr>
                <w:color w:val="000000" w:themeColor="text1"/>
              </w:rPr>
              <w:t>£</w:t>
            </w:r>
            <w:r w:rsidR="00684FCA">
              <w:rPr>
                <w:color w:val="000000" w:themeColor="text1"/>
              </w:rPr>
              <w:t>10,155</w:t>
            </w:r>
          </w:p>
        </w:tc>
      </w:tr>
      <w:tr w:rsidR="00F21191" w:rsidTr="00655701">
        <w:trPr>
          <w:trHeight w:val="381"/>
        </w:trPr>
        <w:tc>
          <w:tcPr>
            <w:tcW w:w="5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563DC1">
            <w:pPr>
              <w:pStyle w:val="TableRow"/>
              <w:rPr>
                <w:color w:val="0070C0"/>
              </w:rPr>
            </w:pPr>
            <w:r w:rsidRPr="00655701">
              <w:rPr>
                <w:color w:val="0070C0"/>
              </w:rPr>
              <w:t>Academic year or years covered by statement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200DF8">
            <w:pPr>
              <w:pStyle w:val="TableRow"/>
              <w:rPr>
                <w:color w:val="000000" w:themeColor="text1"/>
              </w:rPr>
            </w:pPr>
            <w:r>
              <w:rPr>
                <w:rStyle w:val="PlaceholderText"/>
              </w:rPr>
              <w:t>2020-21</w:t>
            </w:r>
          </w:p>
        </w:tc>
      </w:tr>
      <w:tr w:rsidR="00F21191" w:rsidTr="00655701">
        <w:trPr>
          <w:trHeight w:val="381"/>
        </w:trPr>
        <w:tc>
          <w:tcPr>
            <w:tcW w:w="5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563DC1">
            <w:pPr>
              <w:pStyle w:val="TableRow"/>
              <w:rPr>
                <w:color w:val="0070C0"/>
              </w:rPr>
            </w:pPr>
            <w:r w:rsidRPr="00655701">
              <w:rPr>
                <w:color w:val="0070C0"/>
              </w:rPr>
              <w:t>Publish date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2E4966">
            <w:pPr>
              <w:pStyle w:val="TableRow"/>
              <w:rPr>
                <w:color w:val="000000" w:themeColor="text1"/>
              </w:rPr>
            </w:pPr>
            <w:r>
              <w:rPr>
                <w:rStyle w:val="PlaceholderText"/>
              </w:rPr>
              <w:t>November 2020</w:t>
            </w:r>
          </w:p>
        </w:tc>
      </w:tr>
      <w:tr w:rsidR="00F21191" w:rsidTr="00655701">
        <w:trPr>
          <w:trHeight w:val="381"/>
        </w:trPr>
        <w:tc>
          <w:tcPr>
            <w:tcW w:w="5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563DC1">
            <w:pPr>
              <w:pStyle w:val="TableRow"/>
              <w:rPr>
                <w:color w:val="0070C0"/>
              </w:rPr>
            </w:pPr>
            <w:r w:rsidRPr="00655701">
              <w:rPr>
                <w:color w:val="0070C0"/>
              </w:rPr>
              <w:t>Review date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200DF8">
            <w:pPr>
              <w:pStyle w:val="TableRow"/>
              <w:rPr>
                <w:color w:val="000000" w:themeColor="text1"/>
              </w:rPr>
            </w:pPr>
            <w:r>
              <w:rPr>
                <w:rStyle w:val="PlaceholderText"/>
              </w:rPr>
              <w:t>October 2021</w:t>
            </w:r>
          </w:p>
        </w:tc>
      </w:tr>
      <w:tr w:rsidR="00F21191" w:rsidTr="00655701">
        <w:trPr>
          <w:trHeight w:val="381"/>
        </w:trPr>
        <w:tc>
          <w:tcPr>
            <w:tcW w:w="5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563DC1">
            <w:pPr>
              <w:pStyle w:val="TableRow"/>
              <w:rPr>
                <w:color w:val="0070C0"/>
              </w:rPr>
            </w:pPr>
            <w:r w:rsidRPr="00655701">
              <w:rPr>
                <w:color w:val="0070C0"/>
              </w:rPr>
              <w:t>Statement authorised by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F06DD6">
            <w:pPr>
              <w:pStyle w:val="TableRow"/>
              <w:rPr>
                <w:color w:val="000000" w:themeColor="text1"/>
              </w:rPr>
            </w:pPr>
            <w:r w:rsidRPr="00655701">
              <w:rPr>
                <w:rStyle w:val="PlaceholderText"/>
                <w:color w:val="000000" w:themeColor="text1"/>
              </w:rPr>
              <w:t xml:space="preserve">Richard </w:t>
            </w:r>
            <w:proofErr w:type="spellStart"/>
            <w:r w:rsidRPr="00655701">
              <w:rPr>
                <w:rStyle w:val="PlaceholderText"/>
                <w:color w:val="000000" w:themeColor="text1"/>
              </w:rPr>
              <w:t>Aindow</w:t>
            </w:r>
            <w:proofErr w:type="spellEnd"/>
          </w:p>
        </w:tc>
      </w:tr>
      <w:tr w:rsidR="00F21191" w:rsidTr="00655701">
        <w:trPr>
          <w:trHeight w:val="381"/>
        </w:trPr>
        <w:tc>
          <w:tcPr>
            <w:tcW w:w="5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563DC1">
            <w:pPr>
              <w:pStyle w:val="TableRow"/>
              <w:rPr>
                <w:color w:val="0070C0"/>
              </w:rPr>
            </w:pPr>
            <w:r w:rsidRPr="00655701">
              <w:rPr>
                <w:color w:val="0070C0"/>
              </w:rPr>
              <w:t>Pupil premium lead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F06DD6">
            <w:pPr>
              <w:pStyle w:val="TableRow"/>
              <w:rPr>
                <w:color w:val="000000" w:themeColor="text1"/>
              </w:rPr>
            </w:pPr>
            <w:r w:rsidRPr="00655701">
              <w:rPr>
                <w:rStyle w:val="PlaceholderText"/>
                <w:color w:val="000000" w:themeColor="text1"/>
              </w:rPr>
              <w:t>Sarah Kirkbride</w:t>
            </w:r>
          </w:p>
        </w:tc>
      </w:tr>
      <w:tr w:rsidR="00F21191" w:rsidTr="00655701">
        <w:trPr>
          <w:trHeight w:val="381"/>
        </w:trPr>
        <w:tc>
          <w:tcPr>
            <w:tcW w:w="5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563DC1">
            <w:pPr>
              <w:pStyle w:val="TableRow"/>
              <w:rPr>
                <w:color w:val="0070C0"/>
              </w:rPr>
            </w:pPr>
            <w:r w:rsidRPr="00655701">
              <w:rPr>
                <w:color w:val="0070C0"/>
              </w:rPr>
              <w:t>Governor lead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Pr="00655701" w:rsidRDefault="00F06DD6">
            <w:pPr>
              <w:pStyle w:val="TableRow"/>
              <w:rPr>
                <w:color w:val="000000" w:themeColor="text1"/>
              </w:rPr>
            </w:pPr>
            <w:r w:rsidRPr="00655701">
              <w:rPr>
                <w:rStyle w:val="PlaceholderText"/>
                <w:color w:val="000000" w:themeColor="text1"/>
              </w:rPr>
              <w:t>Lynne Thornton</w:t>
            </w:r>
          </w:p>
        </w:tc>
      </w:tr>
    </w:tbl>
    <w:p w:rsidR="00F50998" w:rsidRPr="00F50998" w:rsidRDefault="00F50998" w:rsidP="00F50998">
      <w:pPr>
        <w:pStyle w:val="Heading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Class Breakdown </w:t>
      </w:r>
      <w:r w:rsidRPr="00F50998">
        <w:rPr>
          <w:sz w:val="24"/>
          <w:szCs w:val="24"/>
          <w:u w:val="single"/>
        </w:rPr>
        <w:t xml:space="preserve">of PP Children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1309"/>
        <w:gridCol w:w="1425"/>
        <w:gridCol w:w="1267"/>
        <w:gridCol w:w="1063"/>
        <w:gridCol w:w="1063"/>
        <w:gridCol w:w="1195"/>
        <w:gridCol w:w="998"/>
      </w:tblGrid>
      <w:tr w:rsidR="002E4966" w:rsidTr="002E4966">
        <w:trPr>
          <w:trHeight w:val="650"/>
        </w:trPr>
        <w:tc>
          <w:tcPr>
            <w:tcW w:w="1166" w:type="dxa"/>
          </w:tcPr>
          <w:p w:rsidR="002E4966" w:rsidRPr="00DA0B50" w:rsidRDefault="002E4966" w:rsidP="004D707E">
            <w:pPr>
              <w:jc w:val="center"/>
              <w:rPr>
                <w:b/>
              </w:rPr>
            </w:pPr>
            <w:r w:rsidRPr="00DA0B50">
              <w:rPr>
                <w:b/>
              </w:rPr>
              <w:t>Class</w:t>
            </w:r>
          </w:p>
        </w:tc>
        <w:tc>
          <w:tcPr>
            <w:tcW w:w="1309" w:type="dxa"/>
          </w:tcPr>
          <w:p w:rsidR="002E4966" w:rsidRPr="004D707E" w:rsidRDefault="002E4966" w:rsidP="004D707E">
            <w:pPr>
              <w:jc w:val="center"/>
              <w:rPr>
                <w:b/>
                <w:sz w:val="20"/>
              </w:rPr>
            </w:pPr>
            <w:r w:rsidRPr="004D707E">
              <w:rPr>
                <w:b/>
                <w:sz w:val="20"/>
              </w:rPr>
              <w:t>Number of children in class</w:t>
            </w:r>
          </w:p>
        </w:tc>
        <w:tc>
          <w:tcPr>
            <w:tcW w:w="1425" w:type="dxa"/>
          </w:tcPr>
          <w:p w:rsidR="002E4966" w:rsidRPr="004D707E" w:rsidRDefault="002E4966" w:rsidP="004D707E">
            <w:pPr>
              <w:jc w:val="center"/>
              <w:rPr>
                <w:b/>
                <w:sz w:val="20"/>
              </w:rPr>
            </w:pPr>
            <w:r w:rsidRPr="004D707E">
              <w:rPr>
                <w:b/>
                <w:sz w:val="20"/>
              </w:rPr>
              <w:t>Number of PP eligible children</w:t>
            </w:r>
          </w:p>
        </w:tc>
        <w:tc>
          <w:tcPr>
            <w:tcW w:w="1267" w:type="dxa"/>
          </w:tcPr>
          <w:p w:rsidR="002E4966" w:rsidRPr="004D707E" w:rsidRDefault="002E4966" w:rsidP="004D707E">
            <w:pPr>
              <w:jc w:val="center"/>
              <w:rPr>
                <w:b/>
                <w:sz w:val="20"/>
              </w:rPr>
            </w:pPr>
            <w:r w:rsidRPr="004D707E">
              <w:rPr>
                <w:b/>
                <w:sz w:val="20"/>
              </w:rPr>
              <w:t>Number of eligible service children</w:t>
            </w:r>
          </w:p>
        </w:tc>
        <w:tc>
          <w:tcPr>
            <w:tcW w:w="1063" w:type="dxa"/>
          </w:tcPr>
          <w:p w:rsidR="002E4966" w:rsidRPr="004D707E" w:rsidRDefault="002E4966" w:rsidP="004D70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LAC</w:t>
            </w:r>
          </w:p>
        </w:tc>
        <w:tc>
          <w:tcPr>
            <w:tcW w:w="1063" w:type="dxa"/>
          </w:tcPr>
          <w:p w:rsidR="002E4966" w:rsidRPr="004D707E" w:rsidRDefault="002E4966" w:rsidP="004D707E">
            <w:pPr>
              <w:jc w:val="center"/>
              <w:rPr>
                <w:b/>
                <w:sz w:val="20"/>
              </w:rPr>
            </w:pPr>
            <w:r w:rsidRPr="004D707E">
              <w:rPr>
                <w:b/>
                <w:sz w:val="20"/>
              </w:rPr>
              <w:t>% of Class PP</w:t>
            </w:r>
          </w:p>
        </w:tc>
        <w:tc>
          <w:tcPr>
            <w:tcW w:w="1195" w:type="dxa"/>
          </w:tcPr>
          <w:p w:rsidR="002E4966" w:rsidRPr="004D707E" w:rsidRDefault="002E4966" w:rsidP="004D707E">
            <w:pPr>
              <w:jc w:val="center"/>
              <w:rPr>
                <w:b/>
                <w:sz w:val="20"/>
              </w:rPr>
            </w:pPr>
            <w:r w:rsidRPr="004D707E">
              <w:rPr>
                <w:b/>
                <w:sz w:val="20"/>
              </w:rPr>
              <w:t xml:space="preserve">% of Class Service Children </w:t>
            </w:r>
          </w:p>
        </w:tc>
        <w:tc>
          <w:tcPr>
            <w:tcW w:w="998" w:type="dxa"/>
          </w:tcPr>
          <w:p w:rsidR="002E4966" w:rsidRPr="004D707E" w:rsidRDefault="002E4966" w:rsidP="004D70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of </w:t>
            </w:r>
            <w:r w:rsidR="00D001AF">
              <w:rPr>
                <w:b/>
                <w:sz w:val="20"/>
              </w:rPr>
              <w:t xml:space="preserve">Class </w:t>
            </w:r>
            <w:r>
              <w:rPr>
                <w:b/>
                <w:sz w:val="20"/>
              </w:rPr>
              <w:t>LAC</w:t>
            </w:r>
          </w:p>
        </w:tc>
      </w:tr>
      <w:tr w:rsidR="002E4966" w:rsidTr="002E4966">
        <w:trPr>
          <w:trHeight w:val="614"/>
        </w:trPr>
        <w:tc>
          <w:tcPr>
            <w:tcW w:w="1166" w:type="dxa"/>
          </w:tcPr>
          <w:p w:rsidR="002E4966" w:rsidRPr="00DA0B50" w:rsidRDefault="002E4966" w:rsidP="004D707E">
            <w:pPr>
              <w:jc w:val="center"/>
              <w:rPr>
                <w:b/>
              </w:rPr>
            </w:pPr>
            <w:r w:rsidRPr="00DA0B50">
              <w:rPr>
                <w:b/>
              </w:rPr>
              <w:t>Group 1</w:t>
            </w:r>
          </w:p>
        </w:tc>
        <w:tc>
          <w:tcPr>
            <w:tcW w:w="1309" w:type="dxa"/>
          </w:tcPr>
          <w:p w:rsidR="002E4966" w:rsidRPr="00DA0B50" w:rsidRDefault="002E4966" w:rsidP="004D707E">
            <w:pPr>
              <w:jc w:val="center"/>
            </w:pPr>
            <w:r w:rsidRPr="00DA0B50">
              <w:t>7</w:t>
            </w:r>
          </w:p>
        </w:tc>
        <w:tc>
          <w:tcPr>
            <w:tcW w:w="1425" w:type="dxa"/>
          </w:tcPr>
          <w:p w:rsidR="002E4966" w:rsidRPr="00DA0B50" w:rsidRDefault="002E4966" w:rsidP="004D707E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E4966" w:rsidRPr="00DA0B50" w:rsidRDefault="002E4966" w:rsidP="004D707E">
            <w:pPr>
              <w:jc w:val="center"/>
            </w:pPr>
            <w:r>
              <w:t>0</w:t>
            </w:r>
          </w:p>
        </w:tc>
        <w:tc>
          <w:tcPr>
            <w:tcW w:w="1063" w:type="dxa"/>
          </w:tcPr>
          <w:p w:rsidR="002E4966" w:rsidRDefault="002E4966" w:rsidP="004D707E">
            <w:pPr>
              <w:jc w:val="center"/>
            </w:pPr>
            <w:r>
              <w:t>0</w:t>
            </w:r>
          </w:p>
        </w:tc>
        <w:tc>
          <w:tcPr>
            <w:tcW w:w="1063" w:type="dxa"/>
          </w:tcPr>
          <w:p w:rsidR="002E4966" w:rsidRPr="00DA0B50" w:rsidRDefault="00D001AF" w:rsidP="004D707E">
            <w:pPr>
              <w:jc w:val="center"/>
            </w:pPr>
            <w:r>
              <w:t>14%</w:t>
            </w:r>
          </w:p>
        </w:tc>
        <w:tc>
          <w:tcPr>
            <w:tcW w:w="1195" w:type="dxa"/>
          </w:tcPr>
          <w:p w:rsidR="002E4966" w:rsidRPr="00DA0B50" w:rsidRDefault="00D001AF" w:rsidP="004D707E">
            <w:pPr>
              <w:jc w:val="center"/>
            </w:pPr>
            <w:r>
              <w:t>0%</w:t>
            </w:r>
          </w:p>
        </w:tc>
        <w:tc>
          <w:tcPr>
            <w:tcW w:w="998" w:type="dxa"/>
          </w:tcPr>
          <w:p w:rsidR="002E4966" w:rsidRDefault="002E4966" w:rsidP="004D707E">
            <w:pPr>
              <w:jc w:val="center"/>
            </w:pPr>
            <w:r>
              <w:t>0%</w:t>
            </w:r>
          </w:p>
        </w:tc>
      </w:tr>
      <w:tr w:rsidR="002E4966" w:rsidTr="002E4966">
        <w:trPr>
          <w:trHeight w:val="650"/>
        </w:trPr>
        <w:tc>
          <w:tcPr>
            <w:tcW w:w="1166" w:type="dxa"/>
          </w:tcPr>
          <w:p w:rsidR="002E4966" w:rsidRPr="00DA0B50" w:rsidRDefault="002E4966" w:rsidP="004D707E">
            <w:pPr>
              <w:jc w:val="center"/>
              <w:rPr>
                <w:b/>
              </w:rPr>
            </w:pPr>
            <w:r w:rsidRPr="00DA0B50">
              <w:rPr>
                <w:b/>
              </w:rPr>
              <w:t>Group 2</w:t>
            </w:r>
          </w:p>
        </w:tc>
        <w:tc>
          <w:tcPr>
            <w:tcW w:w="1309" w:type="dxa"/>
          </w:tcPr>
          <w:p w:rsidR="002E4966" w:rsidRPr="00DA0B50" w:rsidRDefault="002E4966" w:rsidP="004D707E">
            <w:pPr>
              <w:jc w:val="center"/>
            </w:pPr>
            <w:r>
              <w:t>6</w:t>
            </w:r>
          </w:p>
        </w:tc>
        <w:tc>
          <w:tcPr>
            <w:tcW w:w="1425" w:type="dxa"/>
          </w:tcPr>
          <w:p w:rsidR="002E4966" w:rsidRPr="00DA0B50" w:rsidRDefault="002E4966" w:rsidP="004D707E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E4966" w:rsidRPr="00DA0B50" w:rsidRDefault="002E4966" w:rsidP="004D707E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2E4966" w:rsidRDefault="002E4966" w:rsidP="004D707E">
            <w:pPr>
              <w:jc w:val="center"/>
            </w:pPr>
            <w:r>
              <w:t>0</w:t>
            </w:r>
          </w:p>
        </w:tc>
        <w:tc>
          <w:tcPr>
            <w:tcW w:w="1063" w:type="dxa"/>
          </w:tcPr>
          <w:p w:rsidR="002E4966" w:rsidRPr="00DA0B50" w:rsidRDefault="00D001AF" w:rsidP="004D707E">
            <w:pPr>
              <w:jc w:val="center"/>
            </w:pPr>
            <w:r>
              <w:t>17%</w:t>
            </w:r>
          </w:p>
        </w:tc>
        <w:tc>
          <w:tcPr>
            <w:tcW w:w="1195" w:type="dxa"/>
          </w:tcPr>
          <w:p w:rsidR="002E4966" w:rsidRPr="00DA0B50" w:rsidRDefault="00D001AF" w:rsidP="004D707E">
            <w:pPr>
              <w:jc w:val="center"/>
            </w:pPr>
            <w:r>
              <w:t>17%</w:t>
            </w:r>
          </w:p>
        </w:tc>
        <w:tc>
          <w:tcPr>
            <w:tcW w:w="998" w:type="dxa"/>
          </w:tcPr>
          <w:p w:rsidR="002E4966" w:rsidRDefault="002E4966" w:rsidP="004D707E">
            <w:pPr>
              <w:jc w:val="center"/>
            </w:pPr>
            <w:r>
              <w:t>0%</w:t>
            </w:r>
          </w:p>
        </w:tc>
      </w:tr>
      <w:tr w:rsidR="002E4966" w:rsidTr="002E4966">
        <w:trPr>
          <w:trHeight w:val="614"/>
        </w:trPr>
        <w:tc>
          <w:tcPr>
            <w:tcW w:w="1166" w:type="dxa"/>
          </w:tcPr>
          <w:p w:rsidR="002E4966" w:rsidRPr="00DA0B50" w:rsidRDefault="002E4966" w:rsidP="004D707E">
            <w:pPr>
              <w:jc w:val="center"/>
              <w:rPr>
                <w:b/>
              </w:rPr>
            </w:pPr>
            <w:r w:rsidRPr="00DA0B50">
              <w:rPr>
                <w:b/>
              </w:rPr>
              <w:t>Group 3</w:t>
            </w:r>
          </w:p>
        </w:tc>
        <w:tc>
          <w:tcPr>
            <w:tcW w:w="1309" w:type="dxa"/>
          </w:tcPr>
          <w:p w:rsidR="002E4966" w:rsidRPr="00DA0B50" w:rsidRDefault="002E4966" w:rsidP="004D707E">
            <w:pPr>
              <w:jc w:val="center"/>
            </w:pPr>
            <w:r>
              <w:t>5</w:t>
            </w:r>
          </w:p>
        </w:tc>
        <w:tc>
          <w:tcPr>
            <w:tcW w:w="1425" w:type="dxa"/>
          </w:tcPr>
          <w:p w:rsidR="002E4966" w:rsidRPr="00DA0B50" w:rsidRDefault="002E4966" w:rsidP="004D707E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2E4966" w:rsidRPr="00DA0B50" w:rsidRDefault="002E4966" w:rsidP="004D707E">
            <w:pPr>
              <w:jc w:val="center"/>
            </w:pPr>
            <w:r>
              <w:t>0</w:t>
            </w:r>
          </w:p>
        </w:tc>
        <w:tc>
          <w:tcPr>
            <w:tcW w:w="1063" w:type="dxa"/>
          </w:tcPr>
          <w:p w:rsidR="002E4966" w:rsidRDefault="002E4966" w:rsidP="004D707E">
            <w:pPr>
              <w:jc w:val="center"/>
            </w:pPr>
            <w:r>
              <w:t>0</w:t>
            </w:r>
          </w:p>
        </w:tc>
        <w:tc>
          <w:tcPr>
            <w:tcW w:w="1063" w:type="dxa"/>
          </w:tcPr>
          <w:p w:rsidR="002E4966" w:rsidRPr="00DA0B50" w:rsidRDefault="00D001AF" w:rsidP="004D707E">
            <w:pPr>
              <w:jc w:val="center"/>
            </w:pPr>
            <w:r>
              <w:t>20%</w:t>
            </w:r>
          </w:p>
        </w:tc>
        <w:tc>
          <w:tcPr>
            <w:tcW w:w="1195" w:type="dxa"/>
          </w:tcPr>
          <w:p w:rsidR="002E4966" w:rsidRPr="00DA0B50" w:rsidRDefault="00D001AF" w:rsidP="004D707E">
            <w:pPr>
              <w:jc w:val="center"/>
            </w:pPr>
            <w:r>
              <w:t>0%</w:t>
            </w:r>
          </w:p>
        </w:tc>
        <w:tc>
          <w:tcPr>
            <w:tcW w:w="998" w:type="dxa"/>
          </w:tcPr>
          <w:p w:rsidR="002E4966" w:rsidRDefault="002E4966" w:rsidP="004D707E">
            <w:pPr>
              <w:jc w:val="center"/>
            </w:pPr>
            <w:r>
              <w:t>0%</w:t>
            </w:r>
          </w:p>
        </w:tc>
      </w:tr>
      <w:tr w:rsidR="002E4966" w:rsidTr="002E4966">
        <w:trPr>
          <w:trHeight w:val="650"/>
        </w:trPr>
        <w:tc>
          <w:tcPr>
            <w:tcW w:w="1166" w:type="dxa"/>
          </w:tcPr>
          <w:p w:rsidR="002E4966" w:rsidRPr="00DA0B50" w:rsidRDefault="002E4966" w:rsidP="004D707E">
            <w:pPr>
              <w:jc w:val="center"/>
              <w:rPr>
                <w:b/>
              </w:rPr>
            </w:pPr>
            <w:r w:rsidRPr="00DA0B50">
              <w:rPr>
                <w:b/>
              </w:rPr>
              <w:t>Group 4</w:t>
            </w:r>
          </w:p>
        </w:tc>
        <w:tc>
          <w:tcPr>
            <w:tcW w:w="1309" w:type="dxa"/>
          </w:tcPr>
          <w:p w:rsidR="002E4966" w:rsidRPr="00DA0B50" w:rsidRDefault="002E4966" w:rsidP="004D707E">
            <w:pPr>
              <w:jc w:val="center"/>
            </w:pPr>
            <w:r>
              <w:t>6</w:t>
            </w:r>
          </w:p>
        </w:tc>
        <w:tc>
          <w:tcPr>
            <w:tcW w:w="1425" w:type="dxa"/>
          </w:tcPr>
          <w:p w:rsidR="002E4966" w:rsidRPr="00DA0B50" w:rsidRDefault="002E4966" w:rsidP="004D707E">
            <w:pPr>
              <w:jc w:val="center"/>
            </w:pPr>
            <w:r>
              <w:t>0</w:t>
            </w:r>
          </w:p>
        </w:tc>
        <w:tc>
          <w:tcPr>
            <w:tcW w:w="1267" w:type="dxa"/>
          </w:tcPr>
          <w:p w:rsidR="002E4966" w:rsidRPr="00DA0B50" w:rsidRDefault="002E4966" w:rsidP="004D707E">
            <w:pPr>
              <w:jc w:val="center"/>
            </w:pPr>
            <w:r>
              <w:t>0</w:t>
            </w:r>
          </w:p>
        </w:tc>
        <w:tc>
          <w:tcPr>
            <w:tcW w:w="1063" w:type="dxa"/>
          </w:tcPr>
          <w:p w:rsidR="002E4966" w:rsidRDefault="002E4966" w:rsidP="004D707E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2E4966" w:rsidRPr="00DA0B50" w:rsidRDefault="00D001AF" w:rsidP="004D707E">
            <w:pPr>
              <w:jc w:val="center"/>
            </w:pPr>
            <w:r>
              <w:t>0%</w:t>
            </w:r>
          </w:p>
        </w:tc>
        <w:tc>
          <w:tcPr>
            <w:tcW w:w="1195" w:type="dxa"/>
          </w:tcPr>
          <w:p w:rsidR="002E4966" w:rsidRPr="00DA0B50" w:rsidRDefault="00D001AF" w:rsidP="004D707E">
            <w:pPr>
              <w:jc w:val="center"/>
            </w:pPr>
            <w:r>
              <w:t>0%</w:t>
            </w:r>
          </w:p>
        </w:tc>
        <w:tc>
          <w:tcPr>
            <w:tcW w:w="998" w:type="dxa"/>
          </w:tcPr>
          <w:p w:rsidR="002E4966" w:rsidRDefault="00D001AF" w:rsidP="004D707E">
            <w:pPr>
              <w:jc w:val="center"/>
            </w:pPr>
            <w:r>
              <w:t>17%</w:t>
            </w:r>
          </w:p>
        </w:tc>
      </w:tr>
      <w:tr w:rsidR="002E4966" w:rsidTr="002E4966">
        <w:trPr>
          <w:trHeight w:val="614"/>
        </w:trPr>
        <w:tc>
          <w:tcPr>
            <w:tcW w:w="1166" w:type="dxa"/>
          </w:tcPr>
          <w:p w:rsidR="002E4966" w:rsidRPr="00DA0B50" w:rsidRDefault="002E4966" w:rsidP="004D707E">
            <w:pPr>
              <w:jc w:val="center"/>
              <w:rPr>
                <w:b/>
              </w:rPr>
            </w:pPr>
            <w:r w:rsidRPr="00DA0B50">
              <w:rPr>
                <w:b/>
              </w:rPr>
              <w:t>Group 5</w:t>
            </w:r>
          </w:p>
        </w:tc>
        <w:tc>
          <w:tcPr>
            <w:tcW w:w="1309" w:type="dxa"/>
          </w:tcPr>
          <w:p w:rsidR="002E4966" w:rsidRPr="00DA0B50" w:rsidRDefault="002E4966" w:rsidP="004D707E">
            <w:pPr>
              <w:jc w:val="center"/>
            </w:pPr>
            <w:r>
              <w:t>8</w:t>
            </w:r>
          </w:p>
        </w:tc>
        <w:tc>
          <w:tcPr>
            <w:tcW w:w="1425" w:type="dxa"/>
          </w:tcPr>
          <w:p w:rsidR="002E4966" w:rsidRPr="00DA0B50" w:rsidRDefault="002E4966" w:rsidP="004D707E">
            <w:pPr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2E4966" w:rsidRPr="00DA0B50" w:rsidRDefault="002E4966" w:rsidP="004D707E">
            <w:pPr>
              <w:jc w:val="center"/>
            </w:pPr>
            <w:r>
              <w:t>0</w:t>
            </w:r>
          </w:p>
        </w:tc>
        <w:tc>
          <w:tcPr>
            <w:tcW w:w="1063" w:type="dxa"/>
          </w:tcPr>
          <w:p w:rsidR="002E4966" w:rsidRDefault="002E4966" w:rsidP="004D707E">
            <w:pPr>
              <w:jc w:val="center"/>
            </w:pPr>
            <w:r>
              <w:t>0</w:t>
            </w:r>
          </w:p>
        </w:tc>
        <w:tc>
          <w:tcPr>
            <w:tcW w:w="1063" w:type="dxa"/>
          </w:tcPr>
          <w:p w:rsidR="002E4966" w:rsidRPr="00DA0B50" w:rsidRDefault="00D001AF" w:rsidP="004D707E">
            <w:pPr>
              <w:jc w:val="center"/>
            </w:pPr>
            <w:r>
              <w:t>38%</w:t>
            </w:r>
          </w:p>
        </w:tc>
        <w:tc>
          <w:tcPr>
            <w:tcW w:w="1195" w:type="dxa"/>
          </w:tcPr>
          <w:p w:rsidR="002E4966" w:rsidRPr="00DA0B50" w:rsidRDefault="00D001AF" w:rsidP="004D707E">
            <w:pPr>
              <w:jc w:val="center"/>
            </w:pPr>
            <w:r>
              <w:t>0%</w:t>
            </w:r>
          </w:p>
        </w:tc>
        <w:tc>
          <w:tcPr>
            <w:tcW w:w="998" w:type="dxa"/>
          </w:tcPr>
          <w:p w:rsidR="002E4966" w:rsidRDefault="002E4966" w:rsidP="004D707E">
            <w:pPr>
              <w:jc w:val="center"/>
            </w:pPr>
            <w:r>
              <w:t>0%</w:t>
            </w:r>
          </w:p>
        </w:tc>
      </w:tr>
      <w:tr w:rsidR="002E4966" w:rsidTr="002E4966">
        <w:trPr>
          <w:trHeight w:val="614"/>
        </w:trPr>
        <w:tc>
          <w:tcPr>
            <w:tcW w:w="1166" w:type="dxa"/>
          </w:tcPr>
          <w:p w:rsidR="002E4966" w:rsidRPr="00DA0B50" w:rsidRDefault="002E4966" w:rsidP="004D707E">
            <w:pPr>
              <w:jc w:val="center"/>
              <w:rPr>
                <w:b/>
              </w:rPr>
            </w:pPr>
            <w:r>
              <w:rPr>
                <w:b/>
              </w:rPr>
              <w:t>Group 6</w:t>
            </w:r>
          </w:p>
        </w:tc>
        <w:tc>
          <w:tcPr>
            <w:tcW w:w="1309" w:type="dxa"/>
          </w:tcPr>
          <w:p w:rsidR="002E4966" w:rsidRPr="00DA0B50" w:rsidRDefault="002E4966" w:rsidP="004D707E">
            <w:pPr>
              <w:jc w:val="center"/>
            </w:pPr>
            <w:r>
              <w:t>8</w:t>
            </w:r>
          </w:p>
        </w:tc>
        <w:tc>
          <w:tcPr>
            <w:tcW w:w="1425" w:type="dxa"/>
          </w:tcPr>
          <w:p w:rsidR="002E4966" w:rsidRPr="00DA0B50" w:rsidRDefault="002E4966" w:rsidP="004D707E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E4966" w:rsidRPr="00DA0B50" w:rsidRDefault="002E4966" w:rsidP="004D707E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2E4966" w:rsidRDefault="002E4966" w:rsidP="004D707E">
            <w:pPr>
              <w:jc w:val="center"/>
            </w:pPr>
            <w:r>
              <w:t>0</w:t>
            </w:r>
          </w:p>
        </w:tc>
        <w:tc>
          <w:tcPr>
            <w:tcW w:w="1063" w:type="dxa"/>
          </w:tcPr>
          <w:p w:rsidR="002E4966" w:rsidRPr="00DA0B50" w:rsidRDefault="00D001AF" w:rsidP="004D707E">
            <w:pPr>
              <w:jc w:val="center"/>
            </w:pPr>
            <w:r>
              <w:t>13%</w:t>
            </w:r>
          </w:p>
        </w:tc>
        <w:tc>
          <w:tcPr>
            <w:tcW w:w="1195" w:type="dxa"/>
          </w:tcPr>
          <w:p w:rsidR="002E4966" w:rsidRPr="00DA0B50" w:rsidRDefault="00D001AF" w:rsidP="004D707E">
            <w:pPr>
              <w:jc w:val="center"/>
            </w:pPr>
            <w:r>
              <w:t>13%</w:t>
            </w:r>
          </w:p>
        </w:tc>
        <w:tc>
          <w:tcPr>
            <w:tcW w:w="998" w:type="dxa"/>
          </w:tcPr>
          <w:p w:rsidR="002E4966" w:rsidRDefault="002E4966" w:rsidP="004D707E">
            <w:pPr>
              <w:jc w:val="center"/>
            </w:pPr>
            <w:r>
              <w:t>0%</w:t>
            </w:r>
          </w:p>
        </w:tc>
      </w:tr>
    </w:tbl>
    <w:p w:rsidR="00F50998" w:rsidRDefault="00F50998" w:rsidP="001E417D">
      <w:pPr>
        <w:pStyle w:val="Heading2"/>
        <w:rPr>
          <w:sz w:val="24"/>
          <w:szCs w:val="24"/>
        </w:rPr>
      </w:pPr>
    </w:p>
    <w:p w:rsidR="001E417D" w:rsidRPr="001E417D" w:rsidRDefault="00563DC1" w:rsidP="001E417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Disadvantaged pupil barriers to success </w:t>
      </w:r>
    </w:p>
    <w:tbl>
      <w:tblPr>
        <w:tblW w:w="93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3"/>
      </w:tblGrid>
      <w:tr w:rsidR="00F21191">
        <w:trPr>
          <w:trHeight w:val="381"/>
        </w:trPr>
        <w:tc>
          <w:tcPr>
            <w:tcW w:w="9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563DC1">
            <w:pPr>
              <w:pStyle w:val="TableRow"/>
            </w:pPr>
            <w:r>
              <w:rPr>
                <w:rStyle w:val="PlaceholderText"/>
              </w:rPr>
              <w:t xml:space="preserve">Generally poor attendance due to school avoidance, anxiety issues, </w:t>
            </w:r>
            <w:r w:rsidR="006E2835">
              <w:rPr>
                <w:rStyle w:val="PlaceholderText"/>
              </w:rPr>
              <w:t xml:space="preserve">health issues. </w:t>
            </w:r>
          </w:p>
        </w:tc>
      </w:tr>
      <w:tr w:rsidR="00F21191">
        <w:trPr>
          <w:trHeight w:val="381"/>
        </w:trPr>
        <w:tc>
          <w:tcPr>
            <w:tcW w:w="9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F50998" w:rsidP="006E2835">
            <w:pPr>
              <w:pStyle w:val="TableRow"/>
            </w:pPr>
            <w:r>
              <w:rPr>
                <w:rStyle w:val="PlaceholderText"/>
              </w:rPr>
              <w:t xml:space="preserve">Outcomes and progress can be significantly related to issues that children may encounter as a result of their ASC. These may be </w:t>
            </w:r>
            <w:r w:rsidR="006E2835">
              <w:rPr>
                <w:rStyle w:val="PlaceholderText"/>
              </w:rPr>
              <w:t xml:space="preserve">behaviours that challenge, anxiety issues, communication issues or sensory aversions.  </w:t>
            </w:r>
          </w:p>
        </w:tc>
      </w:tr>
      <w:tr w:rsidR="00F21191">
        <w:trPr>
          <w:trHeight w:val="381"/>
        </w:trPr>
        <w:tc>
          <w:tcPr>
            <w:tcW w:w="9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6E2835">
            <w:pPr>
              <w:pStyle w:val="TableRow"/>
            </w:pPr>
            <w:r>
              <w:rPr>
                <w:rStyle w:val="PlaceholderText"/>
              </w:rPr>
              <w:t xml:space="preserve">Low self-esteem and self-confidence, low aspirations and low expectations as a result of ASC diagnosis and previous experiences in school or in social situations. </w:t>
            </w:r>
          </w:p>
        </w:tc>
      </w:tr>
      <w:tr w:rsidR="002506F2">
        <w:trPr>
          <w:trHeight w:val="381"/>
        </w:trPr>
        <w:tc>
          <w:tcPr>
            <w:tcW w:w="9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6F2" w:rsidRDefault="002506F2">
            <w:pPr>
              <w:pStyle w:val="TableRow"/>
              <w:rPr>
                <w:rStyle w:val="PlaceholderText"/>
              </w:rPr>
            </w:pPr>
            <w:r>
              <w:rPr>
                <w:rStyle w:val="PlaceholderText"/>
              </w:rPr>
              <w:t xml:space="preserve">The impact of the COVID 19 pandemic and how it has affected individuals and their families. </w:t>
            </w:r>
          </w:p>
        </w:tc>
      </w:tr>
    </w:tbl>
    <w:p w:rsidR="002506F2" w:rsidRDefault="002506F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Due to the COVID-19 pandemic, many of our priorities have stayed the same, with an emphasis shifting to the importance of supporting pupils and their families during the pandemic; ensuring those working from home had access to food and resources whilst ensuring Safeguarding and contact with pupils was a priority beyond all others. We also needed to ensure that thos</w:t>
      </w:r>
      <w:r w:rsidR="00C060B1">
        <w:rPr>
          <w:sz w:val="24"/>
          <w:szCs w:val="24"/>
        </w:rPr>
        <w:t xml:space="preserve">e still attending the school were challenged and that teaching and learning remained as consistent as possible under the circumstances we were presented with. </w:t>
      </w:r>
    </w:p>
    <w:p w:rsidR="00F21191" w:rsidRDefault="00563DC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Strategy aims for disadvantaged pupils - academic achievement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3827"/>
        <w:gridCol w:w="2120"/>
      </w:tblGrid>
      <w:tr w:rsidR="00F21191" w:rsidTr="00E50AB4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563DC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563DC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Evidence of impact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563DC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E50AB4" w:rsidTr="00E50AB4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B4" w:rsidRPr="00BE0D55" w:rsidRDefault="00E50AB4" w:rsidP="00E50AB4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To develop key literacy skills for those children who are behind ARE. 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B4" w:rsidRPr="00BE0D55" w:rsidRDefault="00E50AB4" w:rsidP="00E50AB4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BE0D55">
              <w:rPr>
                <w:rFonts w:asciiTheme="minorHAnsi" w:hAnsiTheme="minorHAnsi" w:cstheme="minorHAnsi"/>
                <w:color w:val="auto"/>
              </w:rPr>
              <w:t xml:space="preserve">Children will show progress (at their own level). </w:t>
            </w:r>
          </w:p>
          <w:p w:rsidR="00E50AB4" w:rsidRPr="00BE0D55" w:rsidRDefault="00E50AB4" w:rsidP="00E50AB4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BE0D55">
              <w:rPr>
                <w:rFonts w:asciiTheme="minorHAnsi" w:hAnsiTheme="minorHAnsi" w:cstheme="minorHAnsi"/>
                <w:color w:val="auto"/>
              </w:rPr>
              <w:t>Close the gaps between PP and non-PP students.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B4" w:rsidRPr="00BE0D55" w:rsidRDefault="00E50AB4" w:rsidP="00E50AB4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50AB4" w:rsidTr="00E50AB4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B4" w:rsidRPr="00BE0D55" w:rsidRDefault="00C060B1" w:rsidP="00C060B1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Continue to develop </w:t>
            </w:r>
            <w:r w:rsidR="00E50AB4"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the library and reading areas in school to ensure that children feel they have access to </w:t>
            </w:r>
            <w:r>
              <w:rPr>
                <w:rStyle w:val="PlaceholderText"/>
                <w:rFonts w:asciiTheme="minorHAnsi" w:hAnsiTheme="minorHAnsi" w:cstheme="minorHAnsi"/>
                <w:color w:val="auto"/>
              </w:rPr>
              <w:t>books that suit their interests and ability to engage.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B4" w:rsidRPr="00BE0D55" w:rsidRDefault="00E50AB4" w:rsidP="00E50AB4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Children will engage in home reading. </w:t>
            </w:r>
          </w:p>
          <w:p w:rsidR="00E50AB4" w:rsidRPr="00BE0D55" w:rsidRDefault="00E50AB4" w:rsidP="00E50AB4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Reading levels will be baselined and monitored showing progress. </w:t>
            </w:r>
          </w:p>
          <w:p w:rsidR="00E50AB4" w:rsidRPr="00BE0D55" w:rsidRDefault="00C060B1" w:rsidP="00E50AB4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Accelerated Reader will be used to monitor reading comprehension (quizzes) and progress.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B4" w:rsidRPr="00BE0D55" w:rsidRDefault="00E50AB4" w:rsidP="00E50AB4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50AB4" w:rsidTr="00E50AB4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B4" w:rsidRPr="00BE0D55" w:rsidRDefault="00E50AB4" w:rsidP="00E50AB4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Children will be more engaged with the writing and are able to access literacy using a range of equipment (through writing, tablets, computer software </w:t>
            </w:r>
            <w:proofErr w:type="spellStart"/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>etc</w:t>
            </w:r>
            <w:proofErr w:type="spellEnd"/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>)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B4" w:rsidRDefault="00E50AB4" w:rsidP="00E50AB4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>Use of Purple Mash to give alternative ways of working.</w:t>
            </w:r>
          </w:p>
          <w:p w:rsidR="00C060B1" w:rsidRPr="00BE0D55" w:rsidRDefault="00C060B1" w:rsidP="00E50AB4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Clicker and IDL cloud used to support literacy skills, particularly in low </w:t>
            </w:r>
            <w:proofErr w:type="spellStart"/>
            <w:r>
              <w:rPr>
                <w:rStyle w:val="PlaceholderText"/>
                <w:rFonts w:asciiTheme="minorHAnsi" w:hAnsiTheme="minorHAnsi" w:cstheme="minorHAnsi"/>
                <w:color w:val="auto"/>
              </w:rPr>
              <w:t>attainers</w:t>
            </w:r>
            <w:proofErr w:type="spellEnd"/>
            <w:r>
              <w:rPr>
                <w:rStyle w:val="PlaceholderText"/>
                <w:rFonts w:asciiTheme="minorHAnsi" w:hAnsiTheme="minorHAnsi" w:cstheme="minorHAnsi"/>
                <w:color w:val="auto"/>
              </w:rPr>
              <w:t>.</w:t>
            </w:r>
          </w:p>
          <w:p w:rsidR="00E50AB4" w:rsidRPr="00BE0D55" w:rsidRDefault="00E50AB4" w:rsidP="00E50AB4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Child engagement in work. </w:t>
            </w:r>
          </w:p>
          <w:p w:rsidR="00E50AB4" w:rsidRPr="00BE0D55" w:rsidRDefault="00E50AB4" w:rsidP="00E50AB4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>Develop key skills for PP children in Primary and lower secondary end of school.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B4" w:rsidRPr="00BE0D55" w:rsidRDefault="00E50AB4" w:rsidP="00E50AB4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50AB4" w:rsidTr="00E50AB4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B4" w:rsidRPr="00BE0D55" w:rsidRDefault="00E50AB4" w:rsidP="00C060B1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To develop </w:t>
            </w:r>
            <w:r w:rsidR="00C060B1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confidence and understanding through effective teaching and learning in all academic areas. 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B4" w:rsidRPr="00BE0D55" w:rsidRDefault="00E50AB4" w:rsidP="00E50AB4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BE0D55">
              <w:rPr>
                <w:rFonts w:asciiTheme="minorHAnsi" w:hAnsiTheme="minorHAnsi" w:cstheme="minorHAnsi"/>
                <w:color w:val="auto"/>
              </w:rPr>
              <w:t xml:space="preserve">Children will show progress (at their own level). </w:t>
            </w:r>
          </w:p>
          <w:p w:rsidR="00E50AB4" w:rsidRPr="00BE0D55" w:rsidRDefault="00E50AB4" w:rsidP="00E50AB4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BE0D55">
              <w:rPr>
                <w:rFonts w:asciiTheme="minorHAnsi" w:hAnsiTheme="minorHAnsi" w:cstheme="minorHAnsi"/>
                <w:color w:val="auto"/>
              </w:rPr>
              <w:t>Close the gaps between PP and non-PP students.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AB4" w:rsidRPr="00BE0D55" w:rsidRDefault="00E50AB4" w:rsidP="00E50AB4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060B1" w:rsidTr="00E50AB4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B1" w:rsidRPr="00BE0D55" w:rsidRDefault="00C060B1" w:rsidP="00C060B1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To ensure that learning environments and resources are fit for purpose and suit individual children and their needs.  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B1" w:rsidRDefault="00C060B1" w:rsidP="00E50AB4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Children are engaged in their learning. </w:t>
            </w:r>
          </w:p>
          <w:p w:rsidR="00C060B1" w:rsidRDefault="00C060B1" w:rsidP="00E50AB4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Behaviour is generally good for pupils. </w:t>
            </w:r>
          </w:p>
          <w:p w:rsidR="00C060B1" w:rsidRPr="00BE0D55" w:rsidRDefault="00C060B1" w:rsidP="00E50AB4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Individual attainment and progress to continue.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B1" w:rsidRPr="00BE0D55" w:rsidRDefault="00C060B1" w:rsidP="00E50AB4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bookmarkEnd w:id="0"/>
    <w:p w:rsidR="00F21191" w:rsidRDefault="00563DC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Strategy aims for disadvantaged pupils – wider outcomes (e.g. independence)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F21191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563DC1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563DC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674489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89" w:rsidRPr="00BE0D55" w:rsidRDefault="00674489" w:rsidP="00674489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 xml:space="preserve">To support the challenging behaviours of our children.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89" w:rsidRPr="00BE0D55" w:rsidRDefault="00674489" w:rsidP="00674489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Fewer behaviour incidents recorded in school. </w:t>
            </w:r>
          </w:p>
          <w:p w:rsidR="00674489" w:rsidRPr="00BE0D55" w:rsidRDefault="00674489" w:rsidP="00674489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BE0D55">
              <w:rPr>
                <w:rFonts w:asciiTheme="minorHAnsi" w:hAnsiTheme="minorHAnsi" w:cstheme="minorHAnsi"/>
                <w:color w:val="auto"/>
              </w:rPr>
              <w:t xml:space="preserve">All </w:t>
            </w:r>
            <w:r w:rsidR="00C060B1">
              <w:rPr>
                <w:rFonts w:asciiTheme="minorHAnsi" w:hAnsiTheme="minorHAnsi" w:cstheme="minorHAnsi"/>
                <w:color w:val="auto"/>
              </w:rPr>
              <w:t xml:space="preserve">new </w:t>
            </w:r>
            <w:r w:rsidRPr="00BE0D55">
              <w:rPr>
                <w:rFonts w:asciiTheme="minorHAnsi" w:hAnsiTheme="minorHAnsi" w:cstheme="minorHAnsi"/>
                <w:color w:val="auto"/>
              </w:rPr>
              <w:t>staff to be trained at Level 1 in Team Teach</w:t>
            </w:r>
            <w:r w:rsidR="00C060B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674489" w:rsidRPr="00BE0D55" w:rsidRDefault="00674489" w:rsidP="00674489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BE0D55">
              <w:rPr>
                <w:rFonts w:asciiTheme="minorHAnsi" w:hAnsiTheme="minorHAnsi" w:cstheme="minorHAnsi"/>
                <w:color w:val="auto"/>
              </w:rPr>
              <w:t>Interventions and support to be put in place to support positive behaviour.</w:t>
            </w:r>
          </w:p>
        </w:tc>
      </w:tr>
      <w:tr w:rsidR="00674489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89" w:rsidRPr="00BE0D55" w:rsidRDefault="00674489" w:rsidP="00674489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 xml:space="preserve">To provide children with experiences and opportunities beyond the classroom environment.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89" w:rsidRPr="00BE0D55" w:rsidRDefault="00674489" w:rsidP="00674489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>Use of immersion suite to prepare children for activities outside of the school grounds.</w:t>
            </w:r>
          </w:p>
          <w:p w:rsidR="00674489" w:rsidRPr="00BE0D55" w:rsidRDefault="00674489" w:rsidP="00674489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Children to visit other schools to develop social interaction opportunities. </w:t>
            </w:r>
          </w:p>
          <w:p w:rsidR="00674489" w:rsidRPr="00BE0D55" w:rsidRDefault="00674489" w:rsidP="00674489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Visits to places that support learning as well as social experiences to be sought. </w:t>
            </w:r>
          </w:p>
        </w:tc>
      </w:tr>
      <w:tr w:rsidR="00674489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89" w:rsidRPr="00BE0D55" w:rsidRDefault="00674489" w:rsidP="00674489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 xml:space="preserve">Improved attendance from that in previous settings.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89" w:rsidRPr="00BE0D55" w:rsidRDefault="00674489" w:rsidP="00674489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>Regular meetings with parents.</w:t>
            </w:r>
          </w:p>
          <w:p w:rsidR="00674489" w:rsidRPr="00BE0D55" w:rsidRDefault="00674489" w:rsidP="00674489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Ensuring children feel supported and understood. </w:t>
            </w:r>
          </w:p>
          <w:p w:rsidR="00674489" w:rsidRPr="00BE0D55" w:rsidRDefault="00674489" w:rsidP="00674489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Good communication strategies in place. </w:t>
            </w:r>
          </w:p>
        </w:tc>
      </w:tr>
      <w:tr w:rsidR="00C060B1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B1" w:rsidRPr="00BE0D55" w:rsidRDefault="00C060B1" w:rsidP="00674489">
            <w:pPr>
              <w:pStyle w:val="TableRo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Improved communication with parents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B1" w:rsidRDefault="00C060B1" w:rsidP="00674489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Style w:val="PlaceholderText"/>
                <w:rFonts w:asciiTheme="minorHAnsi" w:hAnsiTheme="minorHAnsi" w:cstheme="minorHAnsi"/>
                <w:color w:val="auto"/>
              </w:rPr>
              <w:t>SeeSaw</w:t>
            </w:r>
            <w:proofErr w:type="spellEnd"/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 to be set up as a whole school approach moving forward. </w:t>
            </w:r>
          </w:p>
          <w:p w:rsidR="00C060B1" w:rsidRPr="00BE0D55" w:rsidRDefault="00C060B1" w:rsidP="00674489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Regular emails, texts and </w:t>
            </w:r>
            <w:proofErr w:type="spellStart"/>
            <w:r>
              <w:rPr>
                <w:rStyle w:val="PlaceholderText"/>
                <w:rFonts w:asciiTheme="minorHAnsi" w:hAnsiTheme="minorHAnsi" w:cstheme="minorHAnsi"/>
                <w:color w:val="auto"/>
              </w:rPr>
              <w:t>phonecalls</w:t>
            </w:r>
            <w:proofErr w:type="spellEnd"/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 to keep parents informed regarding progress and behaviour.</w:t>
            </w:r>
          </w:p>
        </w:tc>
      </w:tr>
      <w:tr w:rsidR="00674489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89" w:rsidRPr="00BE0D55" w:rsidRDefault="00674489" w:rsidP="00674489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 xml:space="preserve">An environment that helps learning.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89" w:rsidRPr="00BE0D55" w:rsidRDefault="00674489" w:rsidP="00674489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Staff amend their practices and environments where appropriate to reduce over-stimulation and ensure children are best prepared for learning. </w:t>
            </w:r>
          </w:p>
          <w:p w:rsidR="00674489" w:rsidRPr="00BE0D55" w:rsidRDefault="00674489" w:rsidP="00674489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Develop Mental Health Training in school. </w:t>
            </w:r>
          </w:p>
        </w:tc>
      </w:tr>
      <w:tr w:rsidR="00674489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89" w:rsidRPr="00BE0D55" w:rsidRDefault="00674489" w:rsidP="00674489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>Ensure children are ready to learn.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489" w:rsidRPr="00BE0D55" w:rsidRDefault="00674489" w:rsidP="00674489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>Relevant materials accessible for learning.</w:t>
            </w:r>
          </w:p>
          <w:p w:rsidR="00674489" w:rsidRPr="00BE0D55" w:rsidRDefault="00674489" w:rsidP="00674489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Children provided with snacks / breakfast where needed on arrival to school. </w:t>
            </w:r>
          </w:p>
        </w:tc>
      </w:tr>
      <w:tr w:rsidR="00C060B1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B1" w:rsidRPr="00BE0D55" w:rsidRDefault="00C060B1" w:rsidP="00674489">
            <w:pPr>
              <w:pStyle w:val="TableRo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Reduce ratio of children to staff to improve outcomes.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B1" w:rsidRPr="00BE0D55" w:rsidRDefault="00C060B1" w:rsidP="00674489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Temporary employment of staff members to help close the academic, social and emotional gaps for our pupils. </w:t>
            </w:r>
          </w:p>
        </w:tc>
      </w:tr>
    </w:tbl>
    <w:p w:rsidR="00F21191" w:rsidRDefault="00563DC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Teaching priorities for current academic year</w:t>
      </w:r>
    </w:p>
    <w:tbl>
      <w:tblPr>
        <w:tblW w:w="94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4535"/>
        <w:gridCol w:w="1416"/>
      </w:tblGrid>
      <w:tr w:rsidR="00F21191" w:rsidTr="00DC6A05">
        <w:trPr>
          <w:trHeight w:val="381"/>
        </w:trPr>
        <w:tc>
          <w:tcPr>
            <w:tcW w:w="3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563DC1">
            <w:pPr>
              <w:pStyle w:val="TableRow"/>
              <w:rPr>
                <w:b/>
                <w:sz w:val="22"/>
                <w:szCs w:val="22"/>
              </w:rPr>
            </w:pPr>
            <w:bookmarkStart w:id="2" w:name="_Hlk22128843"/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563DC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Evidence of impact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563DC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DC6A05" w:rsidTr="00DC6A05">
        <w:trPr>
          <w:trHeight w:val="381"/>
        </w:trPr>
        <w:tc>
          <w:tcPr>
            <w:tcW w:w="3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>Literacy Interventions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numPr>
                <w:ilvl w:val="0"/>
                <w:numId w:val="10"/>
              </w:numPr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>1:1 Literacy Support</w:t>
            </w:r>
          </w:p>
          <w:p w:rsidR="00DC6A05" w:rsidRPr="00BE0D55" w:rsidRDefault="00DC6A05" w:rsidP="00DC6A05">
            <w:pPr>
              <w:pStyle w:val="TableRow"/>
              <w:numPr>
                <w:ilvl w:val="0"/>
                <w:numId w:val="10"/>
              </w:numPr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>Phonics Support</w:t>
            </w:r>
          </w:p>
          <w:p w:rsidR="00DC6A05" w:rsidRPr="00BE0D55" w:rsidRDefault="00DC6A05" w:rsidP="00DC6A05">
            <w:pPr>
              <w:pStyle w:val="TableRow"/>
              <w:numPr>
                <w:ilvl w:val="0"/>
                <w:numId w:val="10"/>
              </w:numPr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>Speech and Language Therapy</w:t>
            </w:r>
          </w:p>
          <w:p w:rsidR="00DC6A05" w:rsidRDefault="00DC6A05" w:rsidP="00DC6A05">
            <w:pPr>
              <w:pStyle w:val="TableRow"/>
              <w:numPr>
                <w:ilvl w:val="0"/>
                <w:numId w:val="10"/>
              </w:numPr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Support </w:t>
            </w:r>
            <w:r w:rsidR="00C060B1">
              <w:rPr>
                <w:rStyle w:val="PlaceholderText"/>
                <w:rFonts w:asciiTheme="minorHAnsi" w:hAnsiTheme="minorHAnsi" w:cstheme="minorHAnsi"/>
                <w:color w:val="auto"/>
              </w:rPr>
              <w:t>in place throughout the school where needed.</w:t>
            </w:r>
          </w:p>
          <w:p w:rsidR="00C060B1" w:rsidRDefault="00C060B1" w:rsidP="00DC6A05">
            <w:pPr>
              <w:pStyle w:val="TableRow"/>
              <w:numPr>
                <w:ilvl w:val="0"/>
                <w:numId w:val="10"/>
              </w:numPr>
              <w:rPr>
                <w:rStyle w:val="PlaceholderText"/>
                <w:rFonts w:asciiTheme="minorHAnsi" w:hAnsiTheme="minorHAnsi" w:cstheme="minorHAnsi"/>
                <w:color w:val="auto"/>
              </w:rPr>
            </w:pPr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Read Write </w:t>
            </w:r>
            <w:proofErr w:type="spellStart"/>
            <w:r>
              <w:rPr>
                <w:rStyle w:val="PlaceholderText"/>
                <w:rFonts w:asciiTheme="minorHAnsi" w:hAnsiTheme="minorHAnsi" w:cstheme="minorHAnsi"/>
                <w:color w:val="auto"/>
              </w:rPr>
              <w:t>Inc</w:t>
            </w:r>
            <w:proofErr w:type="spellEnd"/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 resources (some)</w:t>
            </w:r>
          </w:p>
          <w:p w:rsidR="00C060B1" w:rsidRDefault="00C060B1" w:rsidP="00DC6A05">
            <w:pPr>
              <w:pStyle w:val="TableRow"/>
              <w:numPr>
                <w:ilvl w:val="0"/>
                <w:numId w:val="10"/>
              </w:numPr>
              <w:rPr>
                <w:rStyle w:val="PlaceholderText"/>
                <w:rFonts w:asciiTheme="minorHAnsi" w:hAnsiTheme="minorHAnsi" w:cstheme="minorHAnsi"/>
                <w:color w:val="auto"/>
              </w:rPr>
            </w:pPr>
            <w:r>
              <w:rPr>
                <w:rStyle w:val="PlaceholderText"/>
                <w:rFonts w:asciiTheme="minorHAnsi" w:hAnsiTheme="minorHAnsi" w:cstheme="minorHAnsi"/>
                <w:color w:val="auto"/>
              </w:rPr>
              <w:t>Clicker Software</w:t>
            </w:r>
          </w:p>
          <w:p w:rsidR="00DC6A05" w:rsidRPr="00C060B1" w:rsidRDefault="00DC6A05" w:rsidP="00DC6A05">
            <w:pPr>
              <w:pStyle w:val="TableRow"/>
              <w:numPr>
                <w:ilvl w:val="0"/>
                <w:numId w:val="10"/>
              </w:numPr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DC6A05">
              <w:rPr>
                <w:rStyle w:val="PlaceholderText"/>
                <w:rFonts w:asciiTheme="minorHAnsi" w:hAnsiTheme="minorHAnsi" w:cstheme="minorHAnsi"/>
                <w:color w:val="auto"/>
                <w:sz w:val="22"/>
              </w:rPr>
              <w:t>IDL Cloud</w:t>
            </w:r>
          </w:p>
          <w:p w:rsidR="00C060B1" w:rsidRPr="00DC6A05" w:rsidRDefault="00C060B1" w:rsidP="00DC6A05">
            <w:pPr>
              <w:pStyle w:val="TableRow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Style w:val="PlaceholderText"/>
                <w:sz w:val="22"/>
              </w:rPr>
              <w:t>Accelerated Reader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Default="00DC6A05" w:rsidP="00DC6A05">
            <w:pPr>
              <w:pStyle w:val="TableRow"/>
            </w:pPr>
          </w:p>
        </w:tc>
      </w:tr>
      <w:tr w:rsidR="00C060B1" w:rsidTr="00DC6A05">
        <w:trPr>
          <w:trHeight w:val="381"/>
        </w:trPr>
        <w:tc>
          <w:tcPr>
            <w:tcW w:w="3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B1" w:rsidRPr="00BE0D55" w:rsidRDefault="00C060B1" w:rsidP="00DC6A05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>
              <w:rPr>
                <w:rStyle w:val="PlaceholderText"/>
                <w:rFonts w:asciiTheme="minorHAnsi" w:hAnsiTheme="minorHAnsi" w:cstheme="minorHAnsi"/>
                <w:color w:val="auto"/>
              </w:rPr>
              <w:t>Other academic interventions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B1" w:rsidRDefault="00C060B1" w:rsidP="00C060B1">
            <w:pPr>
              <w:pStyle w:val="TableRow"/>
              <w:numPr>
                <w:ilvl w:val="0"/>
                <w:numId w:val="10"/>
              </w:numPr>
              <w:rPr>
                <w:rStyle w:val="PlaceholderText"/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Style w:val="PlaceholderText"/>
                <w:rFonts w:asciiTheme="minorHAnsi" w:hAnsiTheme="minorHAnsi" w:cstheme="minorHAnsi"/>
                <w:color w:val="auto"/>
              </w:rPr>
              <w:t>Nisai</w:t>
            </w:r>
            <w:proofErr w:type="spellEnd"/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 History (GCSE)</w:t>
            </w:r>
          </w:p>
          <w:p w:rsidR="00C060B1" w:rsidRDefault="00C060B1" w:rsidP="00C060B1">
            <w:pPr>
              <w:pStyle w:val="TableRow"/>
              <w:numPr>
                <w:ilvl w:val="0"/>
                <w:numId w:val="10"/>
              </w:numPr>
              <w:rPr>
                <w:rStyle w:val="PlaceholderText"/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Style w:val="PlaceholderText"/>
                <w:rFonts w:asciiTheme="minorHAnsi" w:hAnsiTheme="minorHAnsi" w:cstheme="minorHAnsi"/>
                <w:color w:val="auto"/>
              </w:rPr>
              <w:t>Nisai</w:t>
            </w:r>
            <w:proofErr w:type="spellEnd"/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 English</w:t>
            </w:r>
          </w:p>
          <w:p w:rsidR="00C060B1" w:rsidRPr="00C060B1" w:rsidRDefault="00C060B1" w:rsidP="00C060B1">
            <w:pPr>
              <w:pStyle w:val="TableRow"/>
              <w:numPr>
                <w:ilvl w:val="0"/>
                <w:numId w:val="10"/>
              </w:numPr>
              <w:rPr>
                <w:rStyle w:val="PlaceholderText"/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Style w:val="PlaceholderText"/>
                <w:rFonts w:asciiTheme="minorHAnsi" w:hAnsiTheme="minorHAnsi" w:cstheme="minorHAnsi"/>
                <w:color w:val="auto"/>
              </w:rPr>
              <w:t>Nisai</w:t>
            </w:r>
            <w:proofErr w:type="spellEnd"/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 Maths 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B1" w:rsidRDefault="00C060B1" w:rsidP="00DC6A05">
            <w:pPr>
              <w:pStyle w:val="TableRow"/>
            </w:pPr>
          </w:p>
        </w:tc>
      </w:tr>
      <w:tr w:rsidR="00DC6A05" w:rsidTr="00DC6A05">
        <w:trPr>
          <w:trHeight w:val="381"/>
        </w:trPr>
        <w:tc>
          <w:tcPr>
            <w:tcW w:w="3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>Communication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Default="00DC6A05" w:rsidP="00DC6A05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>Use of Texting Service (</w:t>
            </w:r>
            <w:proofErr w:type="spellStart"/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>Arbor</w:t>
            </w:r>
            <w:proofErr w:type="spellEnd"/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>), Seesaw, Tapestry.</w:t>
            </w:r>
          </w:p>
          <w:p w:rsidR="00C060B1" w:rsidRDefault="00C060B1" w:rsidP="00DC6A05">
            <w:pPr>
              <w:pStyle w:val="TableRow"/>
              <w:rPr>
                <w:rStyle w:val="PlaceholderText"/>
              </w:rPr>
            </w:pPr>
            <w:r>
              <w:rPr>
                <w:rStyle w:val="PlaceholderText"/>
              </w:rPr>
              <w:t>Email</w:t>
            </w:r>
          </w:p>
          <w:p w:rsidR="00C060B1" w:rsidRPr="00BE0D55" w:rsidRDefault="00C060B1" w:rsidP="00DC6A05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Style w:val="PlaceholderText"/>
              </w:rPr>
              <w:t>Phonecalls</w:t>
            </w:r>
            <w:proofErr w:type="spellEnd"/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Default="00DC6A05" w:rsidP="00DC6A05">
            <w:pPr>
              <w:pStyle w:val="TableRow"/>
            </w:pPr>
          </w:p>
        </w:tc>
      </w:tr>
      <w:tr w:rsidR="00DC6A05" w:rsidTr="00DC6A05">
        <w:trPr>
          <w:trHeight w:val="381"/>
        </w:trPr>
        <w:tc>
          <w:tcPr>
            <w:tcW w:w="3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Projected Spending </w:t>
            </w:r>
          </w:p>
        </w:tc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Default="00DC6A05" w:rsidP="00DC6A05">
            <w:pPr>
              <w:pStyle w:val="TableRow"/>
            </w:pPr>
          </w:p>
        </w:tc>
      </w:tr>
    </w:tbl>
    <w:bookmarkEnd w:id="2"/>
    <w:p w:rsidR="00F21191" w:rsidRDefault="00563DC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Targeted academic support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F21191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563DC1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563DC1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DC6A05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>Ensure effective communication with parents to improve parental engagement throughout the school. (Working in partnership with one another)</w:t>
            </w:r>
          </w:p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Texting, Email, Tapestry and Seesaw. </w:t>
            </w:r>
          </w:p>
        </w:tc>
      </w:tr>
      <w:tr w:rsidR="00DC6A05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BE0D55">
              <w:rPr>
                <w:rFonts w:asciiTheme="minorHAnsi" w:hAnsiTheme="minorHAnsi" w:cstheme="minorHAnsi"/>
                <w:color w:val="auto"/>
              </w:rPr>
              <w:t>Develop opportunities to engage children in areas that they show particular talents / strengths.</w:t>
            </w:r>
          </w:p>
        </w:tc>
      </w:tr>
      <w:tr w:rsidR="00DC6A05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Style w:val="PlaceholderText"/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>Low self-esteem / confidence.</w:t>
            </w:r>
          </w:p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Reluctance to visit other places. </w:t>
            </w:r>
          </w:p>
        </w:tc>
      </w:tr>
      <w:tr w:rsidR="00DC6A05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4F2AE5" w:rsidRDefault="00DC6A05" w:rsidP="00DC6A05">
            <w:pPr>
              <w:pStyle w:val="TableRow"/>
              <w:rPr>
                <w:rFonts w:asciiTheme="minorHAnsi" w:hAnsiTheme="minorHAnsi" w:cstheme="minorHAnsi"/>
                <w:color w:val="0070C0"/>
              </w:rPr>
            </w:pPr>
            <w:r w:rsidRPr="004F2AE5">
              <w:rPr>
                <w:rFonts w:asciiTheme="minorHAnsi" w:hAnsiTheme="minorHAnsi" w:cstheme="minorHAnsi"/>
                <w:color w:val="0070C0"/>
              </w:rPr>
              <w:t>Tapestry – £99</w:t>
            </w:r>
          </w:p>
          <w:p w:rsidR="00DC6A05" w:rsidRPr="004F2AE5" w:rsidRDefault="00DC6A05" w:rsidP="00DC6A05">
            <w:pPr>
              <w:pStyle w:val="TableRow"/>
              <w:rPr>
                <w:rFonts w:asciiTheme="minorHAnsi" w:hAnsiTheme="minorHAnsi" w:cstheme="minorHAnsi"/>
                <w:color w:val="0070C0"/>
              </w:rPr>
            </w:pPr>
            <w:r w:rsidRPr="004F2AE5">
              <w:rPr>
                <w:rFonts w:asciiTheme="minorHAnsi" w:hAnsiTheme="minorHAnsi" w:cstheme="minorHAnsi"/>
                <w:color w:val="0070C0"/>
              </w:rPr>
              <w:t xml:space="preserve">Seesaw – </w:t>
            </w:r>
            <w:r w:rsidR="004F2AE5" w:rsidRPr="004F2AE5">
              <w:rPr>
                <w:rFonts w:asciiTheme="minorHAnsi" w:hAnsiTheme="minorHAnsi" w:cstheme="minorHAnsi"/>
                <w:color w:val="0070C0"/>
              </w:rPr>
              <w:t>Free</w:t>
            </w:r>
          </w:p>
          <w:p w:rsidR="00DC6A05" w:rsidRPr="004F2AE5" w:rsidRDefault="00DC6A05" w:rsidP="00DC6A05">
            <w:pPr>
              <w:pStyle w:val="TableRow"/>
              <w:rPr>
                <w:rFonts w:asciiTheme="minorHAnsi" w:hAnsiTheme="minorHAnsi" w:cstheme="minorHAnsi"/>
                <w:color w:val="0070C0"/>
              </w:rPr>
            </w:pPr>
            <w:r w:rsidRPr="004F2AE5">
              <w:rPr>
                <w:rFonts w:asciiTheme="minorHAnsi" w:hAnsiTheme="minorHAnsi" w:cstheme="minorHAnsi"/>
                <w:color w:val="0070C0"/>
              </w:rPr>
              <w:t xml:space="preserve">Texting allocation – </w:t>
            </w:r>
            <w:r w:rsidR="00C060B1" w:rsidRPr="004F2AE5">
              <w:rPr>
                <w:rFonts w:asciiTheme="minorHAnsi" w:hAnsiTheme="minorHAnsi" w:cstheme="minorHAnsi"/>
                <w:color w:val="0070C0"/>
              </w:rPr>
              <w:t>£200</w:t>
            </w:r>
          </w:p>
          <w:p w:rsidR="00DC6A05" w:rsidRPr="004F2AE5" w:rsidRDefault="00C060B1" w:rsidP="00DC6A05">
            <w:pPr>
              <w:pStyle w:val="TableRow"/>
              <w:ind w:left="0"/>
              <w:rPr>
                <w:rFonts w:asciiTheme="minorHAnsi" w:hAnsiTheme="minorHAnsi" w:cstheme="minorHAnsi"/>
                <w:color w:val="0070C0"/>
              </w:rPr>
            </w:pPr>
            <w:r w:rsidRPr="004F2AE5">
              <w:rPr>
                <w:rFonts w:asciiTheme="minorHAnsi" w:hAnsiTheme="minorHAnsi" w:cstheme="minorHAnsi"/>
                <w:color w:val="0070C0"/>
              </w:rPr>
              <w:t xml:space="preserve">Purchase of laptop for one child working from home. </w:t>
            </w:r>
            <w:r w:rsidR="004F2AE5" w:rsidRPr="004F2AE5">
              <w:rPr>
                <w:rFonts w:asciiTheme="minorHAnsi" w:hAnsiTheme="minorHAnsi" w:cstheme="minorHAnsi"/>
                <w:color w:val="0070C0"/>
              </w:rPr>
              <w:t>- £433.94</w:t>
            </w:r>
          </w:p>
          <w:p w:rsidR="004F2AE5" w:rsidRPr="004F2AE5" w:rsidRDefault="004F2AE5" w:rsidP="00DC6A05">
            <w:pPr>
              <w:pStyle w:val="TableRow"/>
              <w:ind w:left="0"/>
              <w:rPr>
                <w:rFonts w:asciiTheme="minorHAnsi" w:hAnsiTheme="minorHAnsi" w:cstheme="minorHAnsi"/>
                <w:color w:val="0070C0"/>
              </w:rPr>
            </w:pPr>
            <w:r w:rsidRPr="004F2AE5">
              <w:rPr>
                <w:rFonts w:asciiTheme="minorHAnsi" w:hAnsiTheme="minorHAnsi" w:cstheme="minorHAnsi"/>
                <w:color w:val="0070C0"/>
              </w:rPr>
              <w:t>Temporary employment of staff members – £8197.99</w:t>
            </w:r>
          </w:p>
          <w:p w:rsidR="004F2AE5" w:rsidRPr="004F2AE5" w:rsidRDefault="004F2AE5" w:rsidP="00DC6A05">
            <w:pPr>
              <w:pStyle w:val="TableRow"/>
              <w:ind w:left="0"/>
              <w:rPr>
                <w:rFonts w:asciiTheme="minorHAnsi" w:hAnsiTheme="minorHAnsi" w:cstheme="minorHAnsi"/>
                <w:color w:val="0070C0"/>
              </w:rPr>
            </w:pPr>
            <w:r w:rsidRPr="004F2AE5">
              <w:rPr>
                <w:rFonts w:asciiTheme="minorHAnsi" w:hAnsiTheme="minorHAnsi" w:cstheme="minorHAnsi"/>
                <w:color w:val="0070C0"/>
              </w:rPr>
              <w:t>Accelerated Reader - £1629.12</w:t>
            </w:r>
          </w:p>
          <w:p w:rsidR="004F2AE5" w:rsidRPr="004F2AE5" w:rsidRDefault="004F2AE5" w:rsidP="00DC6A05">
            <w:pPr>
              <w:pStyle w:val="TableRow"/>
              <w:ind w:left="0"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4F2AE5">
              <w:rPr>
                <w:rFonts w:asciiTheme="minorHAnsi" w:hAnsiTheme="minorHAnsi" w:cstheme="minorHAnsi"/>
                <w:color w:val="0070C0"/>
              </w:rPr>
              <w:t>Nisai</w:t>
            </w:r>
            <w:proofErr w:type="spellEnd"/>
            <w:r w:rsidRPr="004F2AE5">
              <w:rPr>
                <w:rFonts w:asciiTheme="minorHAnsi" w:hAnsiTheme="minorHAnsi" w:cstheme="minorHAnsi"/>
                <w:color w:val="0070C0"/>
              </w:rPr>
              <w:t xml:space="preserve"> History - £167.50</w:t>
            </w:r>
          </w:p>
          <w:p w:rsidR="004F2AE5" w:rsidRPr="004F2AE5" w:rsidRDefault="004F2AE5" w:rsidP="00DC6A05">
            <w:pPr>
              <w:pStyle w:val="TableRow"/>
              <w:ind w:left="0"/>
              <w:rPr>
                <w:rFonts w:asciiTheme="minorHAnsi" w:hAnsiTheme="minorHAnsi" w:cstheme="minorHAnsi"/>
                <w:color w:val="0070C0"/>
              </w:rPr>
            </w:pPr>
            <w:proofErr w:type="spellStart"/>
            <w:r w:rsidRPr="004F2AE5">
              <w:rPr>
                <w:rFonts w:asciiTheme="minorHAnsi" w:hAnsiTheme="minorHAnsi" w:cstheme="minorHAnsi"/>
                <w:color w:val="0070C0"/>
              </w:rPr>
              <w:t>Nisai</w:t>
            </w:r>
            <w:proofErr w:type="spellEnd"/>
            <w:r w:rsidRPr="004F2AE5">
              <w:rPr>
                <w:rFonts w:asciiTheme="minorHAnsi" w:hAnsiTheme="minorHAnsi" w:cstheme="minorHAnsi"/>
                <w:color w:val="0070C0"/>
              </w:rPr>
              <w:t xml:space="preserve"> English &amp; Maths GCSE - £955</w:t>
            </w:r>
          </w:p>
          <w:p w:rsidR="004F2AE5" w:rsidRPr="00BE0D55" w:rsidRDefault="004F2AE5" w:rsidP="00DC6A05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4F2AE5">
              <w:rPr>
                <w:rFonts w:asciiTheme="minorHAnsi" w:hAnsiTheme="minorHAnsi" w:cstheme="minorHAnsi"/>
                <w:color w:val="0070C0"/>
              </w:rPr>
              <w:t>Star Maths- £290.47</w:t>
            </w:r>
          </w:p>
        </w:tc>
      </w:tr>
    </w:tbl>
    <w:p w:rsidR="00F21191" w:rsidRDefault="00563DC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F21191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563DC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563DC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DC6A05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05" w:rsidRPr="00BE0D55" w:rsidRDefault="00DC6A05" w:rsidP="00DC6A05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Children to gain access to a range of external services, including SALT, Counselling, Nutritionist etc. </w:t>
            </w:r>
          </w:p>
        </w:tc>
      </w:tr>
      <w:tr w:rsidR="00DC6A05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05" w:rsidRPr="00BE0D55" w:rsidRDefault="00DC6A05" w:rsidP="00DC6A05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 xml:space="preserve">Social and Life Skills Opportunities. </w:t>
            </w:r>
          </w:p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 xml:space="preserve">Music Therapy, Trips, Experiences to enhance learning. </w:t>
            </w:r>
          </w:p>
        </w:tc>
      </w:tr>
      <w:tr w:rsidR="00DC6A05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05" w:rsidRPr="00BE0D55" w:rsidRDefault="00DC6A05" w:rsidP="00DC6A05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 xml:space="preserve">Poor self-confidence, Low levels of concentration to engage with programmes and strategies. </w:t>
            </w:r>
          </w:p>
        </w:tc>
      </w:tr>
      <w:tr w:rsidR="00DC6A05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05" w:rsidRPr="00BE0D55" w:rsidRDefault="00DC6A05" w:rsidP="00DC6A05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Style w:val="PlaceholderText"/>
                <w:rFonts w:asciiTheme="minorHAnsi" w:hAnsiTheme="minorHAnsi" w:cstheme="minorHAnsi"/>
                <w:b/>
                <w:color w:val="5B9BD5" w:themeColor="accent1"/>
                <w:u w:val="single"/>
              </w:rPr>
            </w:pPr>
            <w:r w:rsidRPr="00BE0D55">
              <w:rPr>
                <w:rStyle w:val="PlaceholderText"/>
                <w:rFonts w:asciiTheme="minorHAnsi" w:hAnsiTheme="minorHAnsi" w:cstheme="minorHAnsi"/>
                <w:b/>
                <w:color w:val="5B9BD5" w:themeColor="accent1"/>
                <w:u w:val="single"/>
              </w:rPr>
              <w:t>Mable</w:t>
            </w:r>
          </w:p>
          <w:p w:rsidR="00DC6A05" w:rsidRPr="004F2AE5" w:rsidRDefault="00DC6A05" w:rsidP="00C060B1">
            <w:pPr>
              <w:pStyle w:val="TableRow"/>
              <w:ind w:left="0"/>
              <w:rPr>
                <w:rFonts w:asciiTheme="minorHAnsi" w:hAnsiTheme="minorHAnsi" w:cstheme="minorHAnsi"/>
                <w:color w:val="0070C0"/>
              </w:rPr>
            </w:pPr>
            <w:r w:rsidRPr="004F2AE5">
              <w:rPr>
                <w:rStyle w:val="PlaceholderText"/>
                <w:rFonts w:asciiTheme="minorHAnsi" w:hAnsiTheme="minorHAnsi" w:cstheme="minorHAnsi"/>
                <w:color w:val="0070C0"/>
              </w:rPr>
              <w:t xml:space="preserve">SALT – 1 session per week (£40) x </w:t>
            </w:r>
            <w:r w:rsidR="00C060B1" w:rsidRPr="004F2AE5">
              <w:rPr>
                <w:rStyle w:val="PlaceholderText"/>
                <w:rFonts w:asciiTheme="minorHAnsi" w:hAnsiTheme="minorHAnsi" w:cstheme="minorHAnsi"/>
                <w:color w:val="0070C0"/>
              </w:rPr>
              <w:t>20 weeks for 3</w:t>
            </w:r>
            <w:r w:rsidRPr="004F2AE5">
              <w:rPr>
                <w:rStyle w:val="PlaceholderText"/>
                <w:rFonts w:asciiTheme="minorHAnsi" w:hAnsiTheme="minorHAnsi" w:cstheme="minorHAnsi"/>
                <w:color w:val="0070C0"/>
              </w:rPr>
              <w:t xml:space="preserve"> children. (£</w:t>
            </w:r>
            <w:r w:rsidR="00C060B1" w:rsidRPr="004F2AE5">
              <w:rPr>
                <w:rStyle w:val="PlaceholderText"/>
                <w:rFonts w:asciiTheme="minorHAnsi" w:hAnsiTheme="minorHAnsi" w:cstheme="minorHAnsi"/>
                <w:color w:val="0070C0"/>
              </w:rPr>
              <w:t>2400</w:t>
            </w:r>
            <w:r w:rsidRPr="004F2AE5">
              <w:rPr>
                <w:rStyle w:val="PlaceholderText"/>
                <w:rFonts w:asciiTheme="minorHAnsi" w:hAnsiTheme="minorHAnsi" w:cstheme="minorHAnsi"/>
                <w:color w:val="0070C0"/>
              </w:rPr>
              <w:t>)</w:t>
            </w:r>
            <w:r w:rsidR="004F2AE5">
              <w:rPr>
                <w:rStyle w:val="PlaceholderText"/>
                <w:rFonts w:asciiTheme="minorHAnsi" w:hAnsiTheme="minorHAnsi" w:cstheme="minorHAnsi"/>
                <w:color w:val="0070C0"/>
              </w:rPr>
              <w:t xml:space="preserve"> – </w:t>
            </w:r>
            <w:r w:rsidR="004F2AE5" w:rsidRPr="004F2AE5">
              <w:rPr>
                <w:rStyle w:val="PlaceholderText"/>
                <w:rFonts w:asciiTheme="minorHAnsi" w:hAnsiTheme="minorHAnsi" w:cstheme="minorHAnsi"/>
                <w:i/>
                <w:color w:val="0070C0"/>
              </w:rPr>
              <w:t>Therapy Budget</w:t>
            </w:r>
          </w:p>
          <w:p w:rsidR="00DC6A05" w:rsidRPr="004F2AE5" w:rsidRDefault="00DC6A05" w:rsidP="00DC6A05">
            <w:pPr>
              <w:pStyle w:val="TableRow"/>
              <w:rPr>
                <w:rFonts w:asciiTheme="minorHAnsi" w:hAnsiTheme="minorHAnsi" w:cstheme="minorHAnsi"/>
                <w:color w:val="0070C0"/>
              </w:rPr>
            </w:pPr>
            <w:r w:rsidRPr="004F2AE5">
              <w:rPr>
                <w:rFonts w:asciiTheme="minorHAnsi" w:hAnsiTheme="minorHAnsi" w:cstheme="minorHAnsi"/>
                <w:color w:val="0070C0"/>
              </w:rPr>
              <w:t>Music Therapy / Lessons - £1662.50</w:t>
            </w:r>
          </w:p>
          <w:p w:rsidR="00C060B1" w:rsidRPr="004F2AE5" w:rsidRDefault="00C060B1" w:rsidP="00DC6A05">
            <w:pPr>
              <w:pStyle w:val="TableRow"/>
              <w:rPr>
                <w:rFonts w:asciiTheme="minorHAnsi" w:hAnsiTheme="minorHAnsi" w:cstheme="minorHAnsi"/>
                <w:color w:val="0070C0"/>
              </w:rPr>
            </w:pPr>
            <w:r w:rsidRPr="004F2AE5">
              <w:rPr>
                <w:rFonts w:asciiTheme="minorHAnsi" w:hAnsiTheme="minorHAnsi" w:cstheme="minorHAnsi"/>
                <w:color w:val="0070C0"/>
              </w:rPr>
              <w:t xml:space="preserve">Lego Therapy </w:t>
            </w:r>
            <w:r w:rsidR="004F2AE5" w:rsidRPr="004F2AE5">
              <w:rPr>
                <w:rFonts w:asciiTheme="minorHAnsi" w:hAnsiTheme="minorHAnsi" w:cstheme="minorHAnsi"/>
                <w:color w:val="0070C0"/>
              </w:rPr>
              <w:t>- £17.18</w:t>
            </w:r>
          </w:p>
          <w:p w:rsidR="00C060B1" w:rsidRPr="004F2AE5" w:rsidRDefault="004F2AE5" w:rsidP="00DC6A05">
            <w:pPr>
              <w:pStyle w:val="TableRow"/>
              <w:rPr>
                <w:rFonts w:asciiTheme="minorHAnsi" w:hAnsiTheme="minorHAnsi" w:cstheme="minorHAnsi"/>
                <w:color w:val="0070C0"/>
              </w:rPr>
            </w:pPr>
            <w:r w:rsidRPr="004F2AE5">
              <w:rPr>
                <w:rFonts w:asciiTheme="minorHAnsi" w:hAnsiTheme="minorHAnsi" w:cstheme="minorHAnsi"/>
                <w:color w:val="0070C0"/>
              </w:rPr>
              <w:t>Ear defenders for children struggling with sensory needs: £10.95</w:t>
            </w:r>
          </w:p>
          <w:p w:rsidR="004F2AE5" w:rsidRPr="004F2AE5" w:rsidRDefault="004F2AE5" w:rsidP="00DC6A05">
            <w:pPr>
              <w:pStyle w:val="TableRow"/>
              <w:rPr>
                <w:rFonts w:asciiTheme="minorHAnsi" w:hAnsiTheme="minorHAnsi" w:cstheme="minorHAnsi"/>
                <w:color w:val="0070C0"/>
              </w:rPr>
            </w:pPr>
            <w:r w:rsidRPr="004F2AE5">
              <w:rPr>
                <w:rFonts w:asciiTheme="minorHAnsi" w:hAnsiTheme="minorHAnsi" w:cstheme="minorHAnsi"/>
                <w:color w:val="0070C0"/>
              </w:rPr>
              <w:t>Supplementing Food costs for pupils - £900</w:t>
            </w:r>
          </w:p>
          <w:p w:rsidR="004F2AE5" w:rsidRPr="00BE0D55" w:rsidRDefault="004F2AE5" w:rsidP="00DC6A05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4F2AE5">
              <w:rPr>
                <w:rFonts w:asciiTheme="minorHAnsi" w:hAnsiTheme="minorHAnsi" w:cstheme="minorHAnsi"/>
                <w:color w:val="0070C0"/>
              </w:rPr>
              <w:t>Supporting a family with food during period of difficulty: £260</w:t>
            </w:r>
          </w:p>
        </w:tc>
      </w:tr>
    </w:tbl>
    <w:p w:rsidR="00F21191" w:rsidRDefault="00563DC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F21191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563DC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563DC1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191" w:rsidRDefault="00563DC1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DC6A05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05" w:rsidRPr="00BE0D55" w:rsidRDefault="00DC6A05" w:rsidP="00DC6A05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 xml:space="preserve">Ensuring time and relevant CPD is given to staff.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 xml:space="preserve">Use of INSET days and looking for courses linked to priorities to be identified by SLT and staff. </w:t>
            </w:r>
          </w:p>
        </w:tc>
      </w:tr>
      <w:tr w:rsidR="00DC6A05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05" w:rsidRPr="00BE0D55" w:rsidRDefault="00DC6A05" w:rsidP="00DC6A05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 xml:space="preserve">Looking for slots in the timetable to provide important interventions.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 xml:space="preserve">Timetables for some staff to be altered to accommodate this. </w:t>
            </w:r>
          </w:p>
        </w:tc>
      </w:tr>
      <w:tr w:rsidR="00DC6A05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05" w:rsidRPr="00BE0D55" w:rsidRDefault="00DC6A05" w:rsidP="00DC6A05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 xml:space="preserve">Begin to develop middle-leadership roles.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A05" w:rsidRPr="00BE0D55" w:rsidRDefault="00DC6A05" w:rsidP="00DC6A05">
            <w:pPr>
              <w:pStyle w:val="TableRow"/>
              <w:rPr>
                <w:rFonts w:asciiTheme="minorHAnsi" w:hAnsiTheme="minorHAnsi" w:cstheme="minorHAnsi"/>
              </w:rPr>
            </w:pPr>
            <w:r w:rsidRPr="00BE0D55">
              <w:rPr>
                <w:rFonts w:asciiTheme="minorHAnsi" w:hAnsiTheme="minorHAnsi" w:cstheme="minorHAnsi"/>
              </w:rPr>
              <w:t xml:space="preserve">SLT to begin restructure to allow for this to happen. </w:t>
            </w:r>
          </w:p>
        </w:tc>
      </w:tr>
      <w:tr w:rsidR="007B4D16" w:rsidTr="00F26193">
        <w:trPr>
          <w:tblHeader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D16" w:rsidRPr="00BE0D55" w:rsidRDefault="007B4D16" w:rsidP="00DC6A05">
            <w:pPr>
              <w:pStyle w:val="TableRow"/>
              <w:rPr>
                <w:rFonts w:asciiTheme="minorHAnsi" w:hAnsiTheme="minorHAnsi" w:cstheme="minorHAnsi"/>
              </w:rPr>
            </w:pPr>
            <w:r w:rsidRPr="007B4D16">
              <w:rPr>
                <w:rFonts w:asciiTheme="minorHAnsi" w:hAnsiTheme="minorHAnsi" w:cstheme="minorHAnsi"/>
                <w:color w:val="2E74B5" w:themeColor="accent1" w:themeShade="BF"/>
              </w:rPr>
              <w:t xml:space="preserve">**Please see attached Pupil Premium Review Document for further information on monitoring and implementation </w:t>
            </w:r>
          </w:p>
        </w:tc>
      </w:tr>
    </w:tbl>
    <w:p w:rsidR="00F21191" w:rsidRDefault="00563DC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Review: last year’s aims and outcomes</w:t>
      </w:r>
      <w:r w:rsidR="00F06DD6">
        <w:rPr>
          <w:sz w:val="24"/>
          <w:szCs w:val="24"/>
        </w:rPr>
        <w:t xml:space="preserve"> </w:t>
      </w:r>
    </w:p>
    <w:p w:rsidR="00F21191" w:rsidRPr="004F2AE5" w:rsidRDefault="00C060B1">
      <w:pPr>
        <w:rPr>
          <w:i/>
          <w:sz w:val="22"/>
        </w:rPr>
      </w:pPr>
      <w:r w:rsidRPr="004F2AE5">
        <w:rPr>
          <w:i/>
          <w:sz w:val="22"/>
        </w:rPr>
        <w:t>Alth</w:t>
      </w:r>
      <w:r w:rsidR="004F2AE5" w:rsidRPr="004F2AE5">
        <w:rPr>
          <w:i/>
          <w:sz w:val="22"/>
        </w:rPr>
        <w:t xml:space="preserve">ough we have worked successfully towards many of the targets, many of them needed further work due to the COVID-19 Pandemic, hence why there are some similarities throughout this report. </w:t>
      </w:r>
    </w:p>
    <w:p w:rsidR="004F2AE5" w:rsidRPr="004F2AE5" w:rsidRDefault="004F2AE5">
      <w:pPr>
        <w:rPr>
          <w:i/>
          <w:sz w:val="22"/>
        </w:rPr>
      </w:pPr>
    </w:p>
    <w:sectPr w:rsidR="004F2AE5" w:rsidRPr="004F2AE5" w:rsidSect="00655701">
      <w:footerReference w:type="default" r:id="rId7"/>
      <w:headerReference w:type="first" r:id="rId8"/>
      <w:pgSz w:w="11906" w:h="16838"/>
      <w:pgMar w:top="568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C6" w:rsidRDefault="00563DC1">
      <w:pPr>
        <w:spacing w:after="0" w:line="240" w:lineRule="auto"/>
      </w:pPr>
      <w:r>
        <w:separator/>
      </w:r>
    </w:p>
  </w:endnote>
  <w:endnote w:type="continuationSeparator" w:id="0">
    <w:p w:rsidR="000E23C6" w:rsidRDefault="0056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F4" w:rsidRDefault="00563DC1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117A3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C6" w:rsidRDefault="00563DC1">
      <w:pPr>
        <w:spacing w:after="0" w:line="240" w:lineRule="auto"/>
      </w:pPr>
      <w:r>
        <w:separator/>
      </w:r>
    </w:p>
  </w:footnote>
  <w:footnote w:type="continuationSeparator" w:id="0">
    <w:p w:rsidR="000E23C6" w:rsidRDefault="0056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C1" w:rsidRDefault="004F2AE5" w:rsidP="00563DC1">
    <w:pPr>
      <w:pStyle w:val="Heading1"/>
      <w:jc w:val="center"/>
      <w:rPr>
        <w:sz w:val="32"/>
        <w:szCs w:val="32"/>
      </w:rPr>
    </w:pPr>
    <w:r w:rsidRPr="00451E89">
      <w:rPr>
        <w:noProof/>
        <w:sz w:val="24"/>
        <w:u w:val="single"/>
      </w:rPr>
      <w:drawing>
        <wp:anchor distT="0" distB="0" distL="114300" distR="114300" simplePos="0" relativeHeight="251659264" behindDoc="0" locked="0" layoutInCell="1" allowOverlap="1" wp14:anchorId="48349615" wp14:editId="246E826A">
          <wp:simplePos x="0" y="0"/>
          <wp:positionH relativeFrom="margin">
            <wp:posOffset>-167640</wp:posOffset>
          </wp:positionH>
          <wp:positionV relativeFrom="paragraph">
            <wp:posOffset>130810</wp:posOffset>
          </wp:positionV>
          <wp:extent cx="1133475" cy="699770"/>
          <wp:effectExtent l="0" t="0" r="952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3DC1" w:rsidRPr="004F2AE5" w:rsidRDefault="00563DC1" w:rsidP="004F2AE5">
    <w:pPr>
      <w:pStyle w:val="Heading1"/>
      <w:jc w:val="center"/>
      <w:rPr>
        <w:color w:val="0070C0"/>
        <w:sz w:val="32"/>
        <w:szCs w:val="32"/>
        <w:u w:val="single"/>
      </w:rPr>
    </w:pPr>
    <w:r w:rsidRPr="004F2AE5">
      <w:rPr>
        <w:color w:val="0070C0"/>
        <w:sz w:val="32"/>
        <w:szCs w:val="32"/>
        <w:u w:val="single"/>
      </w:rPr>
      <w:t>Pupil Premium Strategy Statement</w:t>
    </w:r>
  </w:p>
  <w:p w:rsidR="004F2AE5" w:rsidRPr="004F2AE5" w:rsidRDefault="004F2AE5" w:rsidP="004F2AE5">
    <w:pPr>
      <w:jc w:val="center"/>
      <w:rPr>
        <w:color w:val="0070C0"/>
        <w:u w:val="single"/>
      </w:rPr>
    </w:pPr>
    <w:r w:rsidRPr="004F2AE5">
      <w:rPr>
        <w:color w:val="0070C0"/>
        <w:u w:val="single"/>
      </w:rPr>
      <w:t>2020-21</w:t>
    </w:r>
  </w:p>
  <w:p w:rsidR="00563DC1" w:rsidRDefault="0056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794D"/>
    <w:multiLevelType w:val="multilevel"/>
    <w:tmpl w:val="C1B61924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8B6C6C"/>
    <w:multiLevelType w:val="multilevel"/>
    <w:tmpl w:val="9572D25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FBD064B"/>
    <w:multiLevelType w:val="multilevel"/>
    <w:tmpl w:val="45264B94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463A5FC5"/>
    <w:multiLevelType w:val="hybridMultilevel"/>
    <w:tmpl w:val="A65ED9E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C557B56"/>
    <w:multiLevelType w:val="multilevel"/>
    <w:tmpl w:val="E0280510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4A42605"/>
    <w:multiLevelType w:val="multilevel"/>
    <w:tmpl w:val="8730AD70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A396685"/>
    <w:multiLevelType w:val="multilevel"/>
    <w:tmpl w:val="6DBE6EC4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705F337B"/>
    <w:multiLevelType w:val="multilevel"/>
    <w:tmpl w:val="4C82AF7C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75547987"/>
    <w:multiLevelType w:val="multilevel"/>
    <w:tmpl w:val="E09EA3FE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7D77055E"/>
    <w:multiLevelType w:val="multilevel"/>
    <w:tmpl w:val="4478FFAC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91"/>
    <w:rsid w:val="000E23C6"/>
    <w:rsid w:val="00117A3D"/>
    <w:rsid w:val="001E417D"/>
    <w:rsid w:val="00200DF8"/>
    <w:rsid w:val="0022022C"/>
    <w:rsid w:val="002506F2"/>
    <w:rsid w:val="002E4966"/>
    <w:rsid w:val="003666A5"/>
    <w:rsid w:val="00392411"/>
    <w:rsid w:val="0047568F"/>
    <w:rsid w:val="00476382"/>
    <w:rsid w:val="004D707E"/>
    <w:rsid w:val="004F2AE5"/>
    <w:rsid w:val="00563DC1"/>
    <w:rsid w:val="00655701"/>
    <w:rsid w:val="00674489"/>
    <w:rsid w:val="00684FCA"/>
    <w:rsid w:val="006E2835"/>
    <w:rsid w:val="007B4D16"/>
    <w:rsid w:val="00911536"/>
    <w:rsid w:val="00C060B1"/>
    <w:rsid w:val="00D001AF"/>
    <w:rsid w:val="00DC6A05"/>
    <w:rsid w:val="00E50AB4"/>
    <w:rsid w:val="00F06DD6"/>
    <w:rsid w:val="00F21191"/>
    <w:rsid w:val="00F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045B"/>
  <w15:docId w15:val="{A9C6EACB-5655-4B7E-B23F-8EBC13C8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4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Paragraph">
    <w:name w:val="List Paragraph"/>
    <w:basedOn w:val="Normal"/>
    <w:pPr>
      <w:numPr>
        <w:numId w:val="7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2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5"/>
      </w:numPr>
      <w:tabs>
        <w:tab w:val="left" w:pos="1134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6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8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9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paragraph" w:customStyle="1" w:styleId="Default">
    <w:name w:val="Default"/>
    <w:pPr>
      <w:suppressAutoHyphens/>
      <w:autoSpaceDE w:val="0"/>
    </w:pPr>
    <w:rPr>
      <w:rFonts w:eastAsia="Calibri" w:cs="Arial"/>
      <w:color w:val="000000"/>
      <w:sz w:val="24"/>
      <w:szCs w:val="24"/>
      <w:lang w:eastAsia="en-US"/>
    </w:rPr>
  </w:style>
  <w:style w:type="numbering" w:customStyle="1" w:styleId="LFO3">
    <w:name w:val="LFO3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6">
    <w:name w:val="LFO6"/>
    <w:basedOn w:val="NoList"/>
    <w:pPr>
      <w:numPr>
        <w:numId w:val="4"/>
      </w:numPr>
    </w:pPr>
  </w:style>
  <w:style w:type="numbering" w:customStyle="1" w:styleId="LFO9">
    <w:name w:val="LFO9"/>
    <w:basedOn w:val="NoList"/>
    <w:pPr>
      <w:numPr>
        <w:numId w:val="5"/>
      </w:numPr>
    </w:pPr>
  </w:style>
  <w:style w:type="numbering" w:customStyle="1" w:styleId="LFO10">
    <w:name w:val="LFO10"/>
    <w:basedOn w:val="NoList"/>
    <w:pPr>
      <w:numPr>
        <w:numId w:val="6"/>
      </w:numPr>
    </w:pPr>
  </w:style>
  <w:style w:type="numbering" w:customStyle="1" w:styleId="LFO25">
    <w:name w:val="LFO25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0">
    <w:name w:val="LFO30"/>
    <w:basedOn w:val="NoList"/>
    <w:pPr>
      <w:numPr>
        <w:numId w:val="9"/>
      </w:numPr>
    </w:pPr>
  </w:style>
  <w:style w:type="table" w:styleId="TableGrid">
    <w:name w:val="Table Grid"/>
    <w:basedOn w:val="TableNormal"/>
    <w:uiPriority w:val="39"/>
    <w:rsid w:val="00F5099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Sarah Kirkbride</cp:lastModifiedBy>
  <cp:revision>2</cp:revision>
  <cp:lastPrinted>2021-12-16T08:03:00Z</cp:lastPrinted>
  <dcterms:created xsi:type="dcterms:W3CDTF">2021-12-16T08:03:00Z</dcterms:created>
  <dcterms:modified xsi:type="dcterms:W3CDTF">2021-12-16T08:03:00Z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