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58" w:rsidRDefault="00DA2D58" w:rsidP="00DA2D58">
      <w:pPr>
        <w:rPr>
          <w:rFonts w:ascii="Century Gothic" w:hAnsi="Century Gothic"/>
          <w:b/>
          <w:sz w:val="28"/>
          <w:szCs w:val="28"/>
          <w:u w:val="single"/>
        </w:rPr>
      </w:pPr>
      <w:bookmarkStart w:id="0" w:name="_GoBack"/>
      <w:bookmarkEnd w:id="0"/>
      <w:r>
        <w:rPr>
          <w:noProof/>
          <w:lang w:eastAsia="en-GB"/>
        </w:rPr>
        <w:drawing>
          <wp:anchor distT="0" distB="0" distL="114300" distR="114300" simplePos="0" relativeHeight="251659264" behindDoc="0" locked="0" layoutInCell="1" allowOverlap="1" wp14:anchorId="7122252A" wp14:editId="45F8BEA2">
            <wp:simplePos x="0" y="0"/>
            <wp:positionH relativeFrom="column">
              <wp:posOffset>8505645</wp:posOffset>
            </wp:positionH>
            <wp:positionV relativeFrom="paragraph">
              <wp:posOffset>-353683</wp:posOffset>
            </wp:positionV>
            <wp:extent cx="1602740" cy="650875"/>
            <wp:effectExtent l="0" t="0" r="0" b="0"/>
            <wp:wrapNone/>
            <wp:docPr id="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2740" cy="6508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Century Gothic" w:hAnsi="Century Gothic"/>
          <w:b/>
          <w:sz w:val="28"/>
          <w:szCs w:val="28"/>
          <w:u w:val="single"/>
        </w:rPr>
        <w:t xml:space="preserve">EYFS – National Curriculum </w:t>
      </w:r>
    </w:p>
    <w:p w:rsidR="00DA2D58" w:rsidRPr="00DA2D58" w:rsidRDefault="00DA2D58" w:rsidP="00DA2D58">
      <w:pPr>
        <w:rPr>
          <w:rFonts w:ascii="Century Gothic" w:hAnsi="Century Gothic"/>
          <w:b/>
          <w:color w:val="4F81BD" w:themeColor="accent1"/>
          <w:sz w:val="28"/>
          <w:szCs w:val="28"/>
          <w:u w:val="single"/>
        </w:rPr>
      </w:pPr>
      <w:r>
        <w:rPr>
          <w:rFonts w:ascii="Century Gothic" w:hAnsi="Century Gothic"/>
          <w:b/>
          <w:color w:val="4F81BD" w:themeColor="accent1"/>
          <w:sz w:val="28"/>
          <w:szCs w:val="28"/>
          <w:u w:val="single"/>
        </w:rPr>
        <w:t xml:space="preserve">Geography </w:t>
      </w:r>
    </w:p>
    <w:tbl>
      <w:tblPr>
        <w:tblStyle w:val="TableGrid"/>
        <w:tblW w:w="0" w:type="auto"/>
        <w:tblInd w:w="0" w:type="dxa"/>
        <w:tblLook w:val="04A0" w:firstRow="1" w:lastRow="0" w:firstColumn="1" w:lastColumn="0" w:noHBand="0" w:noVBand="1"/>
      </w:tblPr>
      <w:tblGrid>
        <w:gridCol w:w="1462"/>
        <w:gridCol w:w="4659"/>
        <w:gridCol w:w="4615"/>
        <w:gridCol w:w="4652"/>
      </w:tblGrid>
      <w:tr w:rsidR="00DA2D58" w:rsidTr="00DA2D58">
        <w:tc>
          <w:tcPr>
            <w:tcW w:w="146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A2D58" w:rsidRDefault="00DA2D58">
            <w:pPr>
              <w:jc w:val="center"/>
              <w:rPr>
                <w:rFonts w:ascii="Century Gothic" w:hAnsi="Century Gothic"/>
                <w:b/>
                <w:u w:val="single"/>
              </w:rPr>
            </w:pPr>
            <w:r>
              <w:rPr>
                <w:rFonts w:ascii="Century Gothic" w:hAnsi="Century Gothic"/>
                <w:b/>
                <w:u w:val="single"/>
              </w:rPr>
              <w:t>Subject</w:t>
            </w:r>
          </w:p>
        </w:tc>
        <w:tc>
          <w:tcPr>
            <w:tcW w:w="474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A2D58" w:rsidRDefault="00DA2D58">
            <w:pPr>
              <w:jc w:val="center"/>
              <w:rPr>
                <w:rFonts w:ascii="Century Gothic" w:hAnsi="Century Gothic"/>
                <w:b/>
                <w:u w:val="single"/>
              </w:rPr>
            </w:pPr>
            <w:r>
              <w:rPr>
                <w:rFonts w:ascii="Century Gothic" w:hAnsi="Century Gothic"/>
                <w:b/>
                <w:u w:val="single"/>
              </w:rPr>
              <w:t>EYFS Outcome (ELG)</w:t>
            </w:r>
          </w:p>
        </w:tc>
        <w:tc>
          <w:tcPr>
            <w:tcW w:w="46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A2D58" w:rsidRDefault="00DA2D58">
            <w:pPr>
              <w:jc w:val="center"/>
              <w:rPr>
                <w:rFonts w:ascii="Century Gothic" w:hAnsi="Century Gothic"/>
                <w:b/>
                <w:u w:val="single"/>
              </w:rPr>
            </w:pPr>
            <w:r>
              <w:rPr>
                <w:rFonts w:ascii="Century Gothic" w:hAnsi="Century Gothic"/>
                <w:b/>
                <w:u w:val="single"/>
              </w:rPr>
              <w:t>KS1 Key Learning</w:t>
            </w:r>
          </w:p>
        </w:tc>
        <w:tc>
          <w:tcPr>
            <w:tcW w:w="473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A2D58" w:rsidRDefault="00DA2D58">
            <w:pPr>
              <w:jc w:val="center"/>
              <w:rPr>
                <w:rFonts w:ascii="Century Gothic" w:hAnsi="Century Gothic"/>
                <w:b/>
                <w:u w:val="single"/>
              </w:rPr>
            </w:pPr>
            <w:r>
              <w:rPr>
                <w:rFonts w:ascii="Century Gothic" w:hAnsi="Century Gothic"/>
                <w:b/>
                <w:u w:val="single"/>
              </w:rPr>
              <w:t>How do we prepare children in EYFS?</w:t>
            </w:r>
          </w:p>
        </w:tc>
      </w:tr>
      <w:tr w:rsidR="00DA2D58" w:rsidTr="00DA2D58">
        <w:tc>
          <w:tcPr>
            <w:tcW w:w="1462" w:type="dxa"/>
            <w:tcBorders>
              <w:top w:val="single" w:sz="4" w:space="0" w:color="auto"/>
              <w:left w:val="single" w:sz="4" w:space="0" w:color="auto"/>
              <w:bottom w:val="single" w:sz="4" w:space="0" w:color="auto"/>
              <w:right w:val="single" w:sz="4" w:space="0" w:color="auto"/>
            </w:tcBorders>
          </w:tcPr>
          <w:p w:rsidR="00DA2D58" w:rsidRDefault="00DA2D58">
            <w:pPr>
              <w:rPr>
                <w:rFonts w:ascii="Century Gothic" w:hAnsi="Century Gothic"/>
              </w:rPr>
            </w:pPr>
            <w:r>
              <w:rPr>
                <w:rFonts w:ascii="Century Gothic" w:hAnsi="Century Gothic"/>
              </w:rPr>
              <w:t xml:space="preserve">Geography </w:t>
            </w:r>
          </w:p>
          <w:p w:rsidR="00DA2D58" w:rsidRDefault="00DA2D58">
            <w:pPr>
              <w:rPr>
                <w:rFonts w:ascii="Century Gothic" w:hAnsi="Century Gothic"/>
              </w:rPr>
            </w:pPr>
          </w:p>
        </w:tc>
        <w:tc>
          <w:tcPr>
            <w:tcW w:w="4742" w:type="dxa"/>
            <w:tcBorders>
              <w:top w:val="single" w:sz="4" w:space="0" w:color="auto"/>
              <w:left w:val="single" w:sz="4" w:space="0" w:color="auto"/>
              <w:bottom w:val="single" w:sz="4" w:space="0" w:color="auto"/>
              <w:right w:val="single" w:sz="4" w:space="0" w:color="auto"/>
            </w:tcBorders>
          </w:tcPr>
          <w:p w:rsidR="00DA2D58" w:rsidRDefault="00DA2D58">
            <w:pPr>
              <w:rPr>
                <w:rFonts w:ascii="Century Gothic" w:hAnsi="Century Gothic"/>
                <w:color w:val="4F81BD" w:themeColor="accent1"/>
                <w:sz w:val="20"/>
                <w:szCs w:val="20"/>
              </w:rPr>
            </w:pPr>
            <w:r>
              <w:rPr>
                <w:rFonts w:ascii="Century Gothic" w:hAnsi="Century Gothic"/>
                <w:b/>
                <w:color w:val="4F81BD" w:themeColor="accent1"/>
                <w:sz w:val="20"/>
                <w:szCs w:val="20"/>
                <w:u w:val="single"/>
              </w:rPr>
              <w:t>Understanding the World – People &amp; Communities -  ELG</w:t>
            </w:r>
            <w:r>
              <w:rPr>
                <w:rFonts w:ascii="Century Gothic" w:hAnsi="Century Gothic"/>
                <w:color w:val="4F81BD" w:themeColor="accent1"/>
                <w:sz w:val="20"/>
                <w:szCs w:val="20"/>
              </w:rPr>
              <w:t xml:space="preserve"> </w:t>
            </w:r>
          </w:p>
          <w:p w:rsidR="00DA2D58" w:rsidRDefault="00DA2D58">
            <w:pPr>
              <w:rPr>
                <w:rFonts w:ascii="Century Gothic" w:hAnsi="Century Gothic"/>
                <w:color w:val="4F81BD" w:themeColor="accent1"/>
                <w:sz w:val="20"/>
                <w:szCs w:val="20"/>
              </w:rPr>
            </w:pPr>
            <w:r>
              <w:rPr>
                <w:rFonts w:ascii="Century Gothic" w:hAnsi="Century Gothic"/>
                <w:sz w:val="20"/>
                <w:szCs w:val="20"/>
              </w:rPr>
              <w:t>To talk about past and present events in their own lives and in the lives of family members. They know about similarities and differences between themselves and others, and among families, communities and traditions.</w:t>
            </w:r>
          </w:p>
          <w:p w:rsidR="00DA2D58" w:rsidRDefault="00DA2D58">
            <w:pPr>
              <w:rPr>
                <w:rFonts w:ascii="Century Gothic" w:hAnsi="Century Gothic"/>
              </w:rPr>
            </w:pPr>
          </w:p>
          <w:p w:rsidR="00DA2D58" w:rsidRDefault="00DA2D58">
            <w:pPr>
              <w:rPr>
                <w:rFonts w:ascii="Century Gothic" w:hAnsi="Century Gothic"/>
              </w:rPr>
            </w:pPr>
            <w:r>
              <w:rPr>
                <w:b/>
                <w:color w:val="4F81BD" w:themeColor="accent1"/>
                <w:u w:val="single"/>
              </w:rPr>
              <w:t>Understanding the World – The World ELG</w:t>
            </w:r>
            <w:r>
              <w:rPr>
                <w:rFonts w:ascii="Century Gothic" w:hAnsi="Century Gothic"/>
                <w:color w:val="4F81BD" w:themeColor="accent1"/>
              </w:rPr>
              <w:t xml:space="preserve"> </w:t>
            </w:r>
            <w:r>
              <w:rPr>
                <w:rFonts w:ascii="Century Gothic" w:hAnsi="Century Gothic"/>
                <w:sz w:val="20"/>
                <w:szCs w:val="20"/>
              </w:rPr>
              <w:t>Children know about similarities and differences in relation to places, objects, materials and living things. They talk about the features of their own immediate environment and how environments might vary from one another.</w:t>
            </w:r>
          </w:p>
        </w:tc>
        <w:tc>
          <w:tcPr>
            <w:tcW w:w="4677" w:type="dxa"/>
            <w:tcBorders>
              <w:top w:val="single" w:sz="4" w:space="0" w:color="auto"/>
              <w:left w:val="single" w:sz="4" w:space="0" w:color="auto"/>
              <w:bottom w:val="single" w:sz="4" w:space="0" w:color="auto"/>
              <w:right w:val="single" w:sz="4" w:space="0" w:color="auto"/>
            </w:tcBorders>
            <w:hideMark/>
          </w:tcPr>
          <w:p w:rsidR="00DA2D58" w:rsidRDefault="00DA2D58">
            <w:pPr>
              <w:rPr>
                <w:rFonts w:ascii="Century Gothic" w:hAnsi="Century Gothic"/>
                <w:sz w:val="20"/>
                <w:szCs w:val="20"/>
              </w:rPr>
            </w:pPr>
            <w:r>
              <w:rPr>
                <w:rFonts w:ascii="Century Gothic" w:hAnsi="Century Gothic"/>
                <w:b/>
                <w:color w:val="4F81BD" w:themeColor="accent1"/>
                <w:sz w:val="20"/>
                <w:szCs w:val="20"/>
                <w:u w:val="single"/>
              </w:rPr>
              <w:t>Locational knowledge</w:t>
            </w:r>
            <w:r>
              <w:rPr>
                <w:rFonts w:ascii="Century Gothic" w:hAnsi="Century Gothic"/>
                <w:color w:val="4F81BD" w:themeColor="accent1"/>
                <w:sz w:val="20"/>
                <w:szCs w:val="20"/>
              </w:rPr>
              <w:t xml:space="preserve"> </w:t>
            </w:r>
          </w:p>
          <w:p w:rsidR="00DA2D58" w:rsidRDefault="00DA2D58" w:rsidP="00F33DF9">
            <w:pPr>
              <w:pStyle w:val="ListParagraph"/>
              <w:numPr>
                <w:ilvl w:val="0"/>
                <w:numId w:val="8"/>
              </w:numPr>
              <w:rPr>
                <w:rFonts w:ascii="Century Gothic" w:hAnsi="Century Gothic"/>
                <w:sz w:val="20"/>
                <w:szCs w:val="20"/>
              </w:rPr>
            </w:pPr>
            <w:r>
              <w:rPr>
                <w:rFonts w:ascii="Century Gothic" w:hAnsi="Century Gothic"/>
                <w:sz w:val="20"/>
                <w:szCs w:val="20"/>
              </w:rPr>
              <w:t xml:space="preserve">name and locate the world’s seven continents and five oceans </w:t>
            </w:r>
          </w:p>
          <w:p w:rsidR="00DA2D58" w:rsidRDefault="00DA2D58" w:rsidP="00F33DF9">
            <w:pPr>
              <w:pStyle w:val="ListParagraph"/>
              <w:numPr>
                <w:ilvl w:val="0"/>
                <w:numId w:val="8"/>
              </w:numPr>
              <w:rPr>
                <w:rFonts w:ascii="Century Gothic" w:hAnsi="Century Gothic"/>
                <w:sz w:val="20"/>
                <w:szCs w:val="20"/>
              </w:rPr>
            </w:pPr>
            <w:r>
              <w:rPr>
                <w:rFonts w:ascii="Century Gothic" w:hAnsi="Century Gothic"/>
                <w:sz w:val="20"/>
                <w:szCs w:val="20"/>
              </w:rPr>
              <w:t xml:space="preserve">name, locate and identify characteristics of the four countries and capital cities of the United Kingdom and its surrounding seas </w:t>
            </w:r>
          </w:p>
          <w:p w:rsidR="00DA2D58" w:rsidRDefault="00DA2D58">
            <w:pPr>
              <w:rPr>
                <w:rFonts w:ascii="Century Gothic" w:hAnsi="Century Gothic"/>
                <w:b/>
                <w:color w:val="4F81BD" w:themeColor="accent1"/>
                <w:sz w:val="20"/>
                <w:szCs w:val="20"/>
                <w:u w:val="single"/>
              </w:rPr>
            </w:pPr>
            <w:r>
              <w:rPr>
                <w:rFonts w:ascii="Century Gothic" w:hAnsi="Century Gothic"/>
                <w:b/>
                <w:color w:val="4F81BD" w:themeColor="accent1"/>
                <w:sz w:val="20"/>
                <w:szCs w:val="20"/>
                <w:u w:val="single"/>
              </w:rPr>
              <w:t>Place knowledge</w:t>
            </w:r>
          </w:p>
          <w:p w:rsidR="00DA2D58" w:rsidRDefault="00DA2D58" w:rsidP="00F33DF9">
            <w:pPr>
              <w:pStyle w:val="ListParagraph"/>
              <w:numPr>
                <w:ilvl w:val="0"/>
                <w:numId w:val="9"/>
              </w:numPr>
              <w:rPr>
                <w:rFonts w:ascii="Century Gothic" w:hAnsi="Century Gothic"/>
                <w:sz w:val="20"/>
                <w:szCs w:val="20"/>
              </w:rPr>
            </w:pPr>
            <w:r>
              <w:rPr>
                <w:rFonts w:ascii="Century Gothic" w:hAnsi="Century Gothic"/>
                <w:sz w:val="20"/>
                <w:szCs w:val="20"/>
              </w:rPr>
              <w:t xml:space="preserve">understand geographical similarities and differences through studying the human and physical geography of a small area of the United Kingdom, and of a small area in a contrasting non-European country </w:t>
            </w:r>
          </w:p>
          <w:p w:rsidR="00DA2D58" w:rsidRDefault="00DA2D58">
            <w:pPr>
              <w:rPr>
                <w:rFonts w:ascii="Century Gothic" w:hAnsi="Century Gothic"/>
                <w:b/>
                <w:color w:val="4F81BD" w:themeColor="accent1"/>
                <w:sz w:val="20"/>
                <w:szCs w:val="20"/>
                <w:u w:val="single"/>
              </w:rPr>
            </w:pPr>
            <w:r>
              <w:rPr>
                <w:rFonts w:ascii="Century Gothic" w:hAnsi="Century Gothic"/>
                <w:b/>
                <w:color w:val="4F81BD" w:themeColor="accent1"/>
                <w:sz w:val="20"/>
                <w:szCs w:val="20"/>
                <w:u w:val="single"/>
              </w:rPr>
              <w:t>Human and physical geography</w:t>
            </w:r>
          </w:p>
          <w:p w:rsidR="00DA2D58" w:rsidRDefault="00DA2D58" w:rsidP="00F33DF9">
            <w:pPr>
              <w:pStyle w:val="ListParagraph"/>
              <w:numPr>
                <w:ilvl w:val="0"/>
                <w:numId w:val="10"/>
              </w:numPr>
              <w:rPr>
                <w:rFonts w:ascii="Century Gothic" w:hAnsi="Century Gothic"/>
                <w:sz w:val="20"/>
                <w:szCs w:val="20"/>
              </w:rPr>
            </w:pPr>
            <w:r>
              <w:rPr>
                <w:rFonts w:ascii="Century Gothic" w:hAnsi="Century Gothic"/>
                <w:sz w:val="20"/>
                <w:szCs w:val="20"/>
              </w:rPr>
              <w:t>identify seasonal and daily weather patterns in the United Kingdom and the location of hot and cold areas of the world in relation to the Equator and the North and South Poles</w:t>
            </w:r>
          </w:p>
          <w:p w:rsidR="00DA2D58" w:rsidRDefault="00DA2D58" w:rsidP="00F33DF9">
            <w:pPr>
              <w:pStyle w:val="ListParagraph"/>
              <w:numPr>
                <w:ilvl w:val="0"/>
                <w:numId w:val="10"/>
              </w:numPr>
              <w:rPr>
                <w:rFonts w:ascii="Century Gothic" w:hAnsi="Century Gothic"/>
                <w:sz w:val="20"/>
                <w:szCs w:val="20"/>
              </w:rPr>
            </w:pPr>
            <w:r>
              <w:rPr>
                <w:rFonts w:ascii="Century Gothic" w:hAnsi="Century Gothic"/>
                <w:sz w:val="20"/>
                <w:szCs w:val="20"/>
              </w:rPr>
              <w:t xml:space="preserve">use basic geographical vocabulary to refer to: key physical features (including: beach, cliff, coast, forest, hill, mountain, sea, ocean, river, soil, valley, vegetation, season and weather) &amp; key human features (including: city, town, village, factory, farm, house, office, port, harbour and shop) </w:t>
            </w:r>
          </w:p>
          <w:p w:rsidR="00DA2D58" w:rsidRDefault="00DA2D58">
            <w:pPr>
              <w:rPr>
                <w:rFonts w:ascii="Century Gothic" w:hAnsi="Century Gothic"/>
                <w:b/>
                <w:color w:val="4F81BD" w:themeColor="accent1"/>
                <w:sz w:val="20"/>
                <w:szCs w:val="20"/>
                <w:u w:val="single"/>
              </w:rPr>
            </w:pPr>
            <w:r>
              <w:rPr>
                <w:rFonts w:ascii="Century Gothic" w:hAnsi="Century Gothic"/>
                <w:b/>
                <w:color w:val="4F81BD" w:themeColor="accent1"/>
                <w:sz w:val="20"/>
                <w:szCs w:val="20"/>
                <w:u w:val="single"/>
              </w:rPr>
              <w:t>Geographical skills and fieldwork</w:t>
            </w:r>
          </w:p>
          <w:p w:rsidR="00DA2D58" w:rsidRDefault="00DA2D58" w:rsidP="00F33DF9">
            <w:pPr>
              <w:pStyle w:val="ListParagraph"/>
              <w:numPr>
                <w:ilvl w:val="0"/>
                <w:numId w:val="11"/>
              </w:numPr>
              <w:rPr>
                <w:rFonts w:ascii="Century Gothic" w:hAnsi="Century Gothic"/>
                <w:sz w:val="20"/>
                <w:szCs w:val="20"/>
              </w:rPr>
            </w:pPr>
            <w:r>
              <w:rPr>
                <w:rFonts w:ascii="Century Gothic" w:hAnsi="Century Gothic"/>
                <w:sz w:val="20"/>
                <w:szCs w:val="20"/>
              </w:rPr>
              <w:t>use world maps, atlases and globes to identify the United Kingdom and its countries, as well as the countries, continents and oceans studied at this key stage</w:t>
            </w:r>
          </w:p>
          <w:p w:rsidR="00DA2D58" w:rsidRDefault="00DA2D58" w:rsidP="00F33DF9">
            <w:pPr>
              <w:pStyle w:val="ListParagraph"/>
              <w:numPr>
                <w:ilvl w:val="0"/>
                <w:numId w:val="11"/>
              </w:numPr>
              <w:rPr>
                <w:rFonts w:ascii="Century Gothic" w:hAnsi="Century Gothic"/>
                <w:sz w:val="20"/>
                <w:szCs w:val="20"/>
              </w:rPr>
            </w:pPr>
            <w:r>
              <w:rPr>
                <w:rFonts w:ascii="Century Gothic" w:hAnsi="Century Gothic"/>
                <w:sz w:val="20"/>
                <w:szCs w:val="20"/>
              </w:rPr>
              <w:lastRenderedPageBreak/>
              <w:t>use simple compass directions (North, South, East and West) and locational and directional language [for example, near and far; left and right], to describe the location of features and routes on a map</w:t>
            </w:r>
          </w:p>
          <w:p w:rsidR="00DA2D58" w:rsidRDefault="00DA2D58" w:rsidP="00F33DF9">
            <w:pPr>
              <w:pStyle w:val="ListParagraph"/>
              <w:numPr>
                <w:ilvl w:val="0"/>
                <w:numId w:val="11"/>
              </w:numPr>
              <w:rPr>
                <w:rFonts w:ascii="Century Gothic" w:hAnsi="Century Gothic"/>
                <w:sz w:val="20"/>
                <w:szCs w:val="20"/>
              </w:rPr>
            </w:pPr>
            <w:r>
              <w:rPr>
                <w:rFonts w:ascii="Century Gothic" w:hAnsi="Century Gothic"/>
                <w:sz w:val="20"/>
                <w:szCs w:val="20"/>
              </w:rPr>
              <w:t>use aerial photographs and plan perspectives to recognise landmarks and basic human and physical features; devise a simple map; and use and construct basic symbols in a key</w:t>
            </w:r>
          </w:p>
          <w:p w:rsidR="00DA2D58" w:rsidRDefault="00DA2D58" w:rsidP="00F33DF9">
            <w:pPr>
              <w:pStyle w:val="ListParagraph"/>
              <w:numPr>
                <w:ilvl w:val="0"/>
                <w:numId w:val="11"/>
              </w:numPr>
              <w:rPr>
                <w:rFonts w:ascii="Century Gothic" w:hAnsi="Century Gothic"/>
              </w:rPr>
            </w:pPr>
            <w:r>
              <w:rPr>
                <w:rFonts w:ascii="Century Gothic" w:hAnsi="Century Gothic"/>
                <w:sz w:val="20"/>
                <w:szCs w:val="20"/>
              </w:rPr>
              <w:t>use simple fieldwork and observational skills to study the geography of their school and its grounds and the key human and physical features of its surrounding environment.</w:t>
            </w:r>
          </w:p>
        </w:tc>
        <w:tc>
          <w:tcPr>
            <w:tcW w:w="4733" w:type="dxa"/>
            <w:tcBorders>
              <w:top w:val="single" w:sz="4" w:space="0" w:color="auto"/>
              <w:left w:val="single" w:sz="4" w:space="0" w:color="auto"/>
              <w:bottom w:val="single" w:sz="4" w:space="0" w:color="auto"/>
              <w:right w:val="single" w:sz="4" w:space="0" w:color="auto"/>
            </w:tcBorders>
          </w:tcPr>
          <w:p w:rsidR="00DA2D58" w:rsidRDefault="00DA2D58">
            <w:pPr>
              <w:rPr>
                <w:rFonts w:ascii="Century Gothic" w:hAnsi="Century Gothic"/>
                <w:sz w:val="20"/>
                <w:szCs w:val="20"/>
              </w:rPr>
            </w:pPr>
            <w:r>
              <w:rPr>
                <w:rFonts w:ascii="Century Gothic" w:hAnsi="Century Gothic"/>
                <w:sz w:val="20"/>
                <w:szCs w:val="20"/>
              </w:rPr>
              <w:lastRenderedPageBreak/>
              <w:t xml:space="preserve">Explore &amp; talk about immediate environment, local community &amp; wider world – </w:t>
            </w:r>
            <w:r>
              <w:rPr>
                <w:rFonts w:ascii="Century Gothic" w:hAnsi="Century Gothic"/>
                <w:color w:val="4F81BD" w:themeColor="accent1"/>
                <w:sz w:val="20"/>
                <w:szCs w:val="20"/>
              </w:rPr>
              <w:t xml:space="preserve">walks within local community (e.g. to </w:t>
            </w:r>
            <w:proofErr w:type="spellStart"/>
            <w:r>
              <w:rPr>
                <w:rFonts w:ascii="Century Gothic" w:hAnsi="Century Gothic"/>
                <w:color w:val="4F81BD" w:themeColor="accent1"/>
                <w:sz w:val="20"/>
                <w:szCs w:val="20"/>
              </w:rPr>
              <w:t>Skelmersdale</w:t>
            </w:r>
            <w:proofErr w:type="spellEnd"/>
            <w:r>
              <w:rPr>
                <w:rFonts w:ascii="Century Gothic" w:hAnsi="Century Gothic"/>
                <w:color w:val="4F81BD" w:themeColor="accent1"/>
                <w:sz w:val="20"/>
                <w:szCs w:val="20"/>
              </w:rPr>
              <w:t xml:space="preserve"> Fire Station.), comparing </w:t>
            </w:r>
            <w:proofErr w:type="spellStart"/>
            <w:r>
              <w:rPr>
                <w:rFonts w:ascii="Century Gothic" w:hAnsi="Century Gothic"/>
                <w:color w:val="4F81BD" w:themeColor="accent1"/>
                <w:sz w:val="20"/>
                <w:szCs w:val="20"/>
              </w:rPr>
              <w:t>Skelmersdale</w:t>
            </w:r>
            <w:proofErr w:type="spellEnd"/>
            <w:r>
              <w:rPr>
                <w:rFonts w:ascii="Century Gothic" w:hAnsi="Century Gothic"/>
                <w:color w:val="4F81BD" w:themeColor="accent1"/>
                <w:sz w:val="20"/>
                <w:szCs w:val="20"/>
              </w:rPr>
              <w:t xml:space="preserve"> to Africa linked to ‘</w:t>
            </w:r>
            <w:proofErr w:type="spellStart"/>
            <w:r>
              <w:rPr>
                <w:rFonts w:ascii="Century Gothic" w:hAnsi="Century Gothic"/>
                <w:color w:val="4F81BD" w:themeColor="accent1"/>
                <w:sz w:val="20"/>
                <w:szCs w:val="20"/>
              </w:rPr>
              <w:t>Handa’s</w:t>
            </w:r>
            <w:proofErr w:type="spellEnd"/>
            <w:r>
              <w:rPr>
                <w:rFonts w:ascii="Century Gothic" w:hAnsi="Century Gothic"/>
                <w:color w:val="4F81BD" w:themeColor="accent1"/>
                <w:sz w:val="20"/>
                <w:szCs w:val="20"/>
              </w:rPr>
              <w:t xml:space="preserve"> Surprise’. </w:t>
            </w:r>
          </w:p>
          <w:p w:rsidR="00DA2D58" w:rsidRDefault="00DA2D58">
            <w:pPr>
              <w:rPr>
                <w:rFonts w:ascii="Century Gothic" w:hAnsi="Century Gothic"/>
                <w:color w:val="4F81BD" w:themeColor="accent1"/>
                <w:sz w:val="20"/>
                <w:szCs w:val="20"/>
              </w:rPr>
            </w:pPr>
            <w:r>
              <w:rPr>
                <w:rFonts w:ascii="Century Gothic" w:hAnsi="Century Gothic"/>
                <w:sz w:val="20"/>
                <w:szCs w:val="20"/>
              </w:rPr>
              <w:t xml:space="preserve">Recognise and talk about familiar places &amp; environments &amp; their features within these places – </w:t>
            </w:r>
            <w:r>
              <w:rPr>
                <w:rFonts w:ascii="Century Gothic" w:hAnsi="Century Gothic"/>
                <w:color w:val="4F81BD" w:themeColor="accent1"/>
                <w:sz w:val="20"/>
                <w:szCs w:val="20"/>
              </w:rPr>
              <w:t xml:space="preserve">following &amp; making simple representations of maps of the school grounds linked to ‘What the Ladybird Heard’. </w:t>
            </w:r>
          </w:p>
          <w:p w:rsidR="00DA2D58" w:rsidRDefault="00DA2D58">
            <w:pPr>
              <w:rPr>
                <w:rFonts w:ascii="Century Gothic" w:hAnsi="Century Gothic"/>
                <w:color w:val="4F81BD" w:themeColor="accent1"/>
                <w:sz w:val="20"/>
                <w:szCs w:val="20"/>
              </w:rPr>
            </w:pPr>
            <w:r>
              <w:rPr>
                <w:rFonts w:ascii="Century Gothic" w:hAnsi="Century Gothic"/>
                <w:sz w:val="20"/>
                <w:szCs w:val="20"/>
              </w:rPr>
              <w:t xml:space="preserve">Experience &amp; use positional language in context of places (up, down, behind, beneath, in front.) – </w:t>
            </w:r>
            <w:r>
              <w:rPr>
                <w:rFonts w:ascii="Century Gothic" w:hAnsi="Century Gothic"/>
                <w:color w:val="4F81BD" w:themeColor="accent1"/>
                <w:sz w:val="20"/>
                <w:szCs w:val="20"/>
              </w:rPr>
              <w:t xml:space="preserve">Using </w:t>
            </w:r>
            <w:proofErr w:type="spellStart"/>
            <w:r>
              <w:rPr>
                <w:rFonts w:ascii="Century Gothic" w:hAnsi="Century Gothic"/>
                <w:color w:val="4F81BD" w:themeColor="accent1"/>
                <w:sz w:val="20"/>
                <w:szCs w:val="20"/>
              </w:rPr>
              <w:t>beebots</w:t>
            </w:r>
            <w:proofErr w:type="spellEnd"/>
            <w:r>
              <w:rPr>
                <w:rFonts w:ascii="Century Gothic" w:hAnsi="Century Gothic"/>
                <w:color w:val="4F81BD" w:themeColor="accent1"/>
                <w:sz w:val="20"/>
                <w:szCs w:val="20"/>
              </w:rPr>
              <w:t xml:space="preserve">. </w:t>
            </w:r>
          </w:p>
          <w:p w:rsidR="00DA2D58" w:rsidRDefault="00DA2D58">
            <w:pPr>
              <w:rPr>
                <w:rFonts w:ascii="Century Gothic" w:hAnsi="Century Gothic"/>
                <w:color w:val="4F81BD" w:themeColor="accent1"/>
                <w:sz w:val="20"/>
                <w:szCs w:val="20"/>
              </w:rPr>
            </w:pPr>
            <w:r>
              <w:rPr>
                <w:rFonts w:ascii="Century Gothic" w:hAnsi="Century Gothic"/>
                <w:sz w:val="20"/>
                <w:szCs w:val="20"/>
              </w:rPr>
              <w:t xml:space="preserve">Experience, observe and identify different weather conditions – </w:t>
            </w:r>
            <w:r>
              <w:rPr>
                <w:rFonts w:ascii="Century Gothic" w:hAnsi="Century Gothic"/>
                <w:color w:val="4F81BD" w:themeColor="accent1"/>
                <w:sz w:val="20"/>
                <w:szCs w:val="20"/>
              </w:rPr>
              <w:t xml:space="preserve">daily access to Outdoor Area. </w:t>
            </w:r>
          </w:p>
          <w:p w:rsidR="00DA2D58" w:rsidRDefault="00DA2D58">
            <w:pPr>
              <w:rPr>
                <w:rFonts w:ascii="Century Gothic" w:hAnsi="Century Gothic"/>
                <w:sz w:val="20"/>
                <w:szCs w:val="20"/>
              </w:rPr>
            </w:pPr>
            <w:r>
              <w:rPr>
                <w:rFonts w:ascii="Century Gothic" w:hAnsi="Century Gothic"/>
                <w:sz w:val="20"/>
                <w:szCs w:val="20"/>
              </w:rPr>
              <w:t>Recognise and talk about places &amp; environments in the wider world &amp; their features within these places.</w:t>
            </w:r>
          </w:p>
          <w:p w:rsidR="00DA2D58" w:rsidRDefault="00DA2D58">
            <w:pPr>
              <w:rPr>
                <w:rFonts w:ascii="Century Gothic" w:hAnsi="Century Gothic"/>
                <w:color w:val="4F81BD" w:themeColor="accent1"/>
                <w:sz w:val="20"/>
                <w:szCs w:val="20"/>
              </w:rPr>
            </w:pPr>
            <w:r>
              <w:rPr>
                <w:rFonts w:ascii="Century Gothic" w:hAnsi="Century Gothic"/>
                <w:sz w:val="20"/>
                <w:szCs w:val="20"/>
              </w:rPr>
              <w:t xml:space="preserve">Observe and talk about different buildings in different locations including significant features &amp; purpose – </w:t>
            </w:r>
            <w:r>
              <w:rPr>
                <w:rFonts w:ascii="Century Gothic" w:hAnsi="Century Gothic"/>
                <w:color w:val="4F81BD" w:themeColor="accent1"/>
                <w:sz w:val="20"/>
                <w:szCs w:val="20"/>
              </w:rPr>
              <w:t xml:space="preserve">comparing buildings in </w:t>
            </w:r>
            <w:proofErr w:type="spellStart"/>
            <w:r>
              <w:rPr>
                <w:rFonts w:ascii="Century Gothic" w:hAnsi="Century Gothic"/>
                <w:color w:val="4F81BD" w:themeColor="accent1"/>
                <w:sz w:val="20"/>
                <w:szCs w:val="20"/>
              </w:rPr>
              <w:t>Skelmersdale</w:t>
            </w:r>
            <w:proofErr w:type="spellEnd"/>
            <w:r>
              <w:rPr>
                <w:rFonts w:ascii="Century Gothic" w:hAnsi="Century Gothic"/>
                <w:color w:val="4F81BD" w:themeColor="accent1"/>
                <w:sz w:val="20"/>
                <w:szCs w:val="20"/>
              </w:rPr>
              <w:t xml:space="preserve"> to buildings in Africa linked to ‘</w:t>
            </w:r>
            <w:proofErr w:type="spellStart"/>
            <w:r>
              <w:rPr>
                <w:rFonts w:ascii="Century Gothic" w:hAnsi="Century Gothic"/>
                <w:color w:val="4F81BD" w:themeColor="accent1"/>
                <w:sz w:val="20"/>
                <w:szCs w:val="20"/>
              </w:rPr>
              <w:t>Handa’s</w:t>
            </w:r>
            <w:proofErr w:type="spellEnd"/>
            <w:r>
              <w:rPr>
                <w:rFonts w:ascii="Century Gothic" w:hAnsi="Century Gothic"/>
                <w:color w:val="4F81BD" w:themeColor="accent1"/>
                <w:sz w:val="20"/>
                <w:szCs w:val="20"/>
              </w:rPr>
              <w:t xml:space="preserve"> Surprise’ </w:t>
            </w:r>
          </w:p>
          <w:p w:rsidR="00DA2D58" w:rsidRDefault="00DA2D58">
            <w:pPr>
              <w:rPr>
                <w:rFonts w:ascii="Century Gothic" w:hAnsi="Century Gothic"/>
                <w:sz w:val="20"/>
                <w:szCs w:val="20"/>
              </w:rPr>
            </w:pPr>
            <w:r>
              <w:rPr>
                <w:rFonts w:ascii="Century Gothic" w:hAnsi="Century Gothic"/>
                <w:sz w:val="20"/>
                <w:szCs w:val="20"/>
              </w:rPr>
              <w:t xml:space="preserve">Explore use of human features such as bridges, railway stations, canals, bus stops, traffic lights etc. Ask why? What? How? Questions about their purpose in different locations. </w:t>
            </w:r>
            <w:r>
              <w:rPr>
                <w:rFonts w:ascii="Century Gothic" w:hAnsi="Century Gothic"/>
                <w:color w:val="4F81BD" w:themeColor="accent1"/>
                <w:sz w:val="20"/>
                <w:szCs w:val="20"/>
              </w:rPr>
              <w:t>exploring &amp; building bridges linked to ‘The Three Billy Goats Gruff’.</w:t>
            </w:r>
          </w:p>
          <w:p w:rsidR="00DA2D58" w:rsidRDefault="00DA2D58">
            <w:pPr>
              <w:rPr>
                <w:rFonts w:ascii="Century Gothic" w:hAnsi="Century Gothic"/>
                <w:sz w:val="20"/>
                <w:szCs w:val="20"/>
              </w:rPr>
            </w:pPr>
            <w:r>
              <w:rPr>
                <w:rFonts w:ascii="Century Gothic" w:hAnsi="Century Gothic"/>
                <w:sz w:val="20"/>
                <w:szCs w:val="20"/>
              </w:rPr>
              <w:t xml:space="preserve">Observe and talk about the purpose of signs and symbols within different places and locations. </w:t>
            </w:r>
          </w:p>
          <w:p w:rsidR="00DA2D58" w:rsidRDefault="00DA2D58">
            <w:pPr>
              <w:rPr>
                <w:rFonts w:ascii="Century Gothic" w:hAnsi="Century Gothic"/>
                <w:sz w:val="20"/>
                <w:szCs w:val="20"/>
              </w:rPr>
            </w:pPr>
            <w:r>
              <w:rPr>
                <w:rFonts w:ascii="Century Gothic" w:hAnsi="Century Gothic"/>
                <w:sz w:val="20"/>
                <w:szCs w:val="20"/>
              </w:rPr>
              <w:t xml:space="preserve">Observe and experience sensory features associated with different seasons. </w:t>
            </w:r>
          </w:p>
          <w:p w:rsidR="00DA2D58" w:rsidRDefault="00DA2D58">
            <w:pPr>
              <w:rPr>
                <w:rFonts w:ascii="Century Gothic" w:hAnsi="Century Gothic"/>
                <w:sz w:val="20"/>
                <w:szCs w:val="20"/>
              </w:rPr>
            </w:pPr>
            <w:r>
              <w:rPr>
                <w:rFonts w:ascii="Century Gothic" w:hAnsi="Century Gothic"/>
                <w:sz w:val="20"/>
                <w:szCs w:val="20"/>
              </w:rPr>
              <w:lastRenderedPageBreak/>
              <w:t xml:space="preserve">Talk about travelling to different places; in the local community, beyond locality &amp; places in the wider world – </w:t>
            </w:r>
            <w:r>
              <w:rPr>
                <w:rFonts w:ascii="Century Gothic" w:hAnsi="Century Gothic"/>
                <w:color w:val="4F81BD" w:themeColor="accent1"/>
                <w:sz w:val="20"/>
                <w:szCs w:val="20"/>
              </w:rPr>
              <w:t xml:space="preserve">take a journey to Borneo jungle (pretend aeroplane ride) linked to ‘Monkey Puzzle’ </w:t>
            </w:r>
          </w:p>
          <w:p w:rsidR="00DA2D58" w:rsidRDefault="00DA2D58">
            <w:pPr>
              <w:rPr>
                <w:rFonts w:ascii="Century Gothic" w:hAnsi="Century Gothic"/>
                <w:sz w:val="20"/>
                <w:szCs w:val="20"/>
              </w:rPr>
            </w:pPr>
            <w:r>
              <w:rPr>
                <w:rFonts w:ascii="Century Gothic" w:hAnsi="Century Gothic"/>
                <w:sz w:val="20"/>
                <w:szCs w:val="20"/>
              </w:rPr>
              <w:t xml:space="preserve">Discuss journeys including how to prepare for a journey. </w:t>
            </w:r>
          </w:p>
          <w:p w:rsidR="00DA2D58" w:rsidRDefault="00DA2D58">
            <w:pPr>
              <w:rPr>
                <w:rFonts w:ascii="Century Gothic" w:hAnsi="Century Gothic"/>
                <w:sz w:val="20"/>
                <w:szCs w:val="20"/>
              </w:rPr>
            </w:pPr>
            <w:r>
              <w:rPr>
                <w:rFonts w:ascii="Century Gothic" w:hAnsi="Century Gothic"/>
                <w:sz w:val="20"/>
                <w:szCs w:val="20"/>
              </w:rPr>
              <w:t xml:space="preserve">Make graphical representations of features within immediate environment, local community and beyond. </w:t>
            </w:r>
          </w:p>
          <w:p w:rsidR="00DA2D58" w:rsidRDefault="00DA2D58">
            <w:pPr>
              <w:rPr>
                <w:rFonts w:ascii="Century Gothic" w:hAnsi="Century Gothic"/>
              </w:rPr>
            </w:pPr>
          </w:p>
        </w:tc>
      </w:tr>
    </w:tbl>
    <w:p w:rsidR="00DA2D58" w:rsidRDefault="00DA2D58" w:rsidP="00DA2D58">
      <w:pPr>
        <w:rPr>
          <w:rFonts w:ascii="Century Gothic" w:hAnsi="Century Gothic"/>
        </w:rPr>
      </w:pPr>
    </w:p>
    <w:p w:rsidR="00DA2D58" w:rsidRDefault="00DA2D58" w:rsidP="00DA2D58">
      <w:pPr>
        <w:rPr>
          <w:rFonts w:ascii="Century Gothic" w:hAnsi="Century Gothic"/>
        </w:rPr>
      </w:pPr>
    </w:p>
    <w:p w:rsidR="007E0C28" w:rsidRDefault="00880C89"/>
    <w:sectPr w:rsidR="007E0C28" w:rsidSect="000A21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023"/>
    <w:multiLevelType w:val="hybridMultilevel"/>
    <w:tmpl w:val="E904F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443F2B"/>
    <w:multiLevelType w:val="hybridMultilevel"/>
    <w:tmpl w:val="5D6C7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7678B"/>
    <w:multiLevelType w:val="hybridMultilevel"/>
    <w:tmpl w:val="1048F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1608F7"/>
    <w:multiLevelType w:val="hybridMultilevel"/>
    <w:tmpl w:val="95FEC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A1998"/>
    <w:multiLevelType w:val="hybridMultilevel"/>
    <w:tmpl w:val="4588C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6B64DB"/>
    <w:multiLevelType w:val="hybridMultilevel"/>
    <w:tmpl w:val="CA024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770B4A"/>
    <w:multiLevelType w:val="hybridMultilevel"/>
    <w:tmpl w:val="B442B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790288"/>
    <w:multiLevelType w:val="hybridMultilevel"/>
    <w:tmpl w:val="A2785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2F4780"/>
    <w:multiLevelType w:val="hybridMultilevel"/>
    <w:tmpl w:val="7C30D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D24175"/>
    <w:multiLevelType w:val="hybridMultilevel"/>
    <w:tmpl w:val="CA860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B585EB6"/>
    <w:multiLevelType w:val="hybridMultilevel"/>
    <w:tmpl w:val="C10C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203984"/>
    <w:multiLevelType w:val="hybridMultilevel"/>
    <w:tmpl w:val="7332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9B4B6C"/>
    <w:multiLevelType w:val="hybridMultilevel"/>
    <w:tmpl w:val="4D2C1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B902241"/>
    <w:multiLevelType w:val="hybridMultilevel"/>
    <w:tmpl w:val="C08E8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4"/>
  </w:num>
  <w:num w:numId="5">
    <w:abstractNumId w:val="7"/>
  </w:num>
  <w:num w:numId="6">
    <w:abstractNumId w:val="13"/>
  </w:num>
  <w:num w:numId="7">
    <w:abstractNumId w:val="9"/>
  </w:num>
  <w:num w:numId="8">
    <w:abstractNumId w:val="8"/>
  </w:num>
  <w:num w:numId="9">
    <w:abstractNumId w:val="6"/>
  </w:num>
  <w:num w:numId="10">
    <w:abstractNumId w:val="12"/>
  </w:num>
  <w:num w:numId="11">
    <w:abstractNumId w:val="1"/>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58"/>
    <w:rsid w:val="001F1240"/>
    <w:rsid w:val="00792CBC"/>
    <w:rsid w:val="00880C89"/>
    <w:rsid w:val="00DA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F25C0-5610-4DF0-8B66-7E87EBE2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58"/>
    <w:pPr>
      <w:ind w:left="720"/>
      <w:contextualSpacing/>
    </w:pPr>
  </w:style>
  <w:style w:type="table" w:styleId="TableGrid">
    <w:name w:val="Table Grid"/>
    <w:basedOn w:val="TableNormal"/>
    <w:uiPriority w:val="59"/>
    <w:rsid w:val="00DA2D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2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ian morris</cp:lastModifiedBy>
  <cp:revision>2</cp:revision>
  <dcterms:created xsi:type="dcterms:W3CDTF">2020-01-06T21:01:00Z</dcterms:created>
  <dcterms:modified xsi:type="dcterms:W3CDTF">2020-01-06T21:01:00Z</dcterms:modified>
</cp:coreProperties>
</file>