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D1" w:rsidRDefault="00D810D1" w:rsidP="00D810D1">
      <w:pPr>
        <w:rPr>
          <w:rFonts w:ascii="Century Gothic" w:hAnsi="Century Gothic"/>
          <w:b/>
          <w:sz w:val="28"/>
          <w:szCs w:val="28"/>
          <w:u w:val="single"/>
        </w:rPr>
      </w:pPr>
      <w:bookmarkStart w:id="0" w:name="_GoBack"/>
      <w:bookmarkEnd w:id="0"/>
      <w:r>
        <w:rPr>
          <w:noProof/>
          <w:lang w:eastAsia="en-GB"/>
        </w:rPr>
        <w:drawing>
          <wp:anchor distT="0" distB="0" distL="114300" distR="114300" simplePos="0" relativeHeight="251659264" behindDoc="0" locked="0" layoutInCell="1" allowOverlap="1" wp14:anchorId="0A21FE4F" wp14:editId="5525D319">
            <wp:simplePos x="0" y="0"/>
            <wp:positionH relativeFrom="column">
              <wp:posOffset>8505645</wp:posOffset>
            </wp:positionH>
            <wp:positionV relativeFrom="paragraph">
              <wp:posOffset>-353683</wp:posOffset>
            </wp:positionV>
            <wp:extent cx="1602740" cy="650875"/>
            <wp:effectExtent l="0" t="0" r="0" b="0"/>
            <wp:wrapNone/>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740" cy="650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u w:val="single"/>
        </w:rPr>
        <w:t xml:space="preserve">EYFS – National Curriculum </w:t>
      </w:r>
    </w:p>
    <w:p w:rsidR="00D810D1" w:rsidRDefault="00D810D1" w:rsidP="00D810D1">
      <w:pPr>
        <w:rPr>
          <w:rFonts w:ascii="Century Gothic" w:hAnsi="Century Gothic"/>
          <w:b/>
          <w:color w:val="4F81BD" w:themeColor="accent1"/>
          <w:sz w:val="28"/>
          <w:szCs w:val="28"/>
          <w:u w:val="single"/>
        </w:rPr>
      </w:pPr>
      <w:r>
        <w:rPr>
          <w:rFonts w:ascii="Century Gothic" w:hAnsi="Century Gothic"/>
          <w:b/>
          <w:color w:val="4F81BD" w:themeColor="accent1"/>
          <w:sz w:val="28"/>
          <w:szCs w:val="28"/>
          <w:u w:val="single"/>
        </w:rPr>
        <w:t xml:space="preserve">History </w:t>
      </w:r>
    </w:p>
    <w:p w:rsidR="00D810D1" w:rsidRDefault="00D810D1" w:rsidP="00D810D1">
      <w:pPr>
        <w:rPr>
          <w:rFonts w:ascii="Century Gothic" w:hAnsi="Century Gothic"/>
        </w:rPr>
      </w:pPr>
    </w:p>
    <w:tbl>
      <w:tblPr>
        <w:tblStyle w:val="TableGrid"/>
        <w:tblW w:w="0" w:type="auto"/>
        <w:tblInd w:w="0" w:type="dxa"/>
        <w:tblLook w:val="04A0" w:firstRow="1" w:lastRow="0" w:firstColumn="1" w:lastColumn="0" w:noHBand="0" w:noVBand="1"/>
      </w:tblPr>
      <w:tblGrid>
        <w:gridCol w:w="1451"/>
        <w:gridCol w:w="4661"/>
        <w:gridCol w:w="4622"/>
        <w:gridCol w:w="4654"/>
      </w:tblGrid>
      <w:tr w:rsidR="00D810D1" w:rsidTr="00D810D1">
        <w:tc>
          <w:tcPr>
            <w:tcW w:w="14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10D1" w:rsidRDefault="00D810D1">
            <w:pPr>
              <w:jc w:val="center"/>
              <w:rPr>
                <w:rFonts w:ascii="Century Gothic" w:hAnsi="Century Gothic"/>
                <w:b/>
                <w:u w:val="single"/>
              </w:rPr>
            </w:pPr>
            <w:r>
              <w:rPr>
                <w:rFonts w:ascii="Century Gothic" w:hAnsi="Century Gothic"/>
                <w:b/>
                <w:u w:val="single"/>
              </w:rPr>
              <w:t>Subject</w:t>
            </w:r>
          </w:p>
        </w:tc>
        <w:tc>
          <w:tcPr>
            <w:tcW w:w="47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10D1" w:rsidRDefault="00D810D1">
            <w:pPr>
              <w:jc w:val="center"/>
              <w:rPr>
                <w:rFonts w:ascii="Century Gothic" w:hAnsi="Century Gothic"/>
                <w:b/>
                <w:u w:val="single"/>
              </w:rPr>
            </w:pPr>
            <w:r>
              <w:rPr>
                <w:rFonts w:ascii="Century Gothic" w:hAnsi="Century Gothic"/>
                <w:b/>
                <w:u w:val="single"/>
              </w:rPr>
              <w:t>EYFS Outcome (ELG)</w:t>
            </w:r>
          </w:p>
        </w:tc>
        <w:tc>
          <w:tcPr>
            <w:tcW w:w="46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10D1" w:rsidRDefault="00D810D1">
            <w:pPr>
              <w:jc w:val="center"/>
              <w:rPr>
                <w:rFonts w:ascii="Century Gothic" w:hAnsi="Century Gothic"/>
                <w:b/>
                <w:u w:val="single"/>
              </w:rPr>
            </w:pPr>
            <w:r>
              <w:rPr>
                <w:rFonts w:ascii="Century Gothic" w:hAnsi="Century Gothic"/>
                <w:b/>
                <w:u w:val="single"/>
              </w:rPr>
              <w:t>KS1 Key Learning</w:t>
            </w:r>
          </w:p>
        </w:tc>
        <w:tc>
          <w:tcPr>
            <w:tcW w:w="473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10D1" w:rsidRDefault="00D810D1">
            <w:pPr>
              <w:jc w:val="center"/>
              <w:rPr>
                <w:rFonts w:ascii="Century Gothic" w:hAnsi="Century Gothic"/>
                <w:b/>
                <w:u w:val="single"/>
              </w:rPr>
            </w:pPr>
            <w:r>
              <w:rPr>
                <w:rFonts w:ascii="Century Gothic" w:hAnsi="Century Gothic"/>
                <w:b/>
                <w:u w:val="single"/>
              </w:rPr>
              <w:t>How do we prepare children in EYFS?</w:t>
            </w:r>
          </w:p>
        </w:tc>
      </w:tr>
      <w:tr w:rsidR="00D810D1" w:rsidTr="00D810D1">
        <w:tc>
          <w:tcPr>
            <w:tcW w:w="1462" w:type="dxa"/>
            <w:tcBorders>
              <w:top w:val="single" w:sz="4" w:space="0" w:color="auto"/>
              <w:left w:val="single" w:sz="4" w:space="0" w:color="auto"/>
              <w:bottom w:val="single" w:sz="4" w:space="0" w:color="auto"/>
              <w:right w:val="single" w:sz="4" w:space="0" w:color="auto"/>
            </w:tcBorders>
            <w:hideMark/>
          </w:tcPr>
          <w:p w:rsidR="00D810D1" w:rsidRDefault="00D810D1">
            <w:pPr>
              <w:rPr>
                <w:rFonts w:ascii="Century Gothic" w:hAnsi="Century Gothic"/>
              </w:rPr>
            </w:pPr>
            <w:r>
              <w:rPr>
                <w:rFonts w:ascii="Century Gothic" w:hAnsi="Century Gothic"/>
              </w:rPr>
              <w:t>History</w:t>
            </w:r>
          </w:p>
        </w:tc>
        <w:tc>
          <w:tcPr>
            <w:tcW w:w="4742" w:type="dxa"/>
            <w:tcBorders>
              <w:top w:val="single" w:sz="4" w:space="0" w:color="auto"/>
              <w:left w:val="single" w:sz="4" w:space="0" w:color="auto"/>
              <w:bottom w:val="single" w:sz="4" w:space="0" w:color="auto"/>
              <w:right w:val="single" w:sz="4" w:space="0" w:color="auto"/>
            </w:tcBorders>
          </w:tcPr>
          <w:p w:rsidR="00D810D1" w:rsidRDefault="00D810D1">
            <w:pPr>
              <w:rPr>
                <w:rFonts w:ascii="Century Gothic" w:hAnsi="Century Gothic"/>
                <w:color w:val="4F81BD" w:themeColor="accent1"/>
                <w:sz w:val="20"/>
                <w:szCs w:val="20"/>
              </w:rPr>
            </w:pPr>
            <w:r>
              <w:rPr>
                <w:rFonts w:ascii="Century Gothic" w:hAnsi="Century Gothic"/>
                <w:b/>
                <w:color w:val="4F81BD" w:themeColor="accent1"/>
                <w:sz w:val="20"/>
                <w:szCs w:val="20"/>
                <w:u w:val="single"/>
              </w:rPr>
              <w:t>Understanding the World – People &amp; Communities -  ELG</w:t>
            </w:r>
            <w:r>
              <w:rPr>
                <w:rFonts w:ascii="Century Gothic" w:hAnsi="Century Gothic"/>
                <w:color w:val="4F81BD" w:themeColor="accent1"/>
                <w:sz w:val="20"/>
                <w:szCs w:val="20"/>
              </w:rPr>
              <w:t xml:space="preserve"> </w:t>
            </w:r>
          </w:p>
          <w:p w:rsidR="00D810D1" w:rsidRDefault="00D810D1">
            <w:pPr>
              <w:rPr>
                <w:rFonts w:ascii="Century Gothic" w:hAnsi="Century Gothic"/>
                <w:color w:val="4F81BD" w:themeColor="accent1"/>
                <w:sz w:val="20"/>
                <w:szCs w:val="20"/>
              </w:rPr>
            </w:pPr>
            <w:r>
              <w:rPr>
                <w:rFonts w:ascii="Century Gothic" w:hAnsi="Century Gothic"/>
                <w:sz w:val="20"/>
                <w:szCs w:val="20"/>
              </w:rPr>
              <w:t>To talk about past and present events in their own lives and in the lives of family members. They know about similarities and differences between themselves and others, and among families, communities and traditions.</w:t>
            </w:r>
          </w:p>
          <w:p w:rsidR="00D810D1" w:rsidRDefault="00D810D1">
            <w:pPr>
              <w:rPr>
                <w:rFonts w:ascii="Century Gothic" w:hAnsi="Century Gothic"/>
              </w:rPr>
            </w:pPr>
          </w:p>
          <w:p w:rsidR="00D810D1" w:rsidRDefault="00D810D1">
            <w:pPr>
              <w:rPr>
                <w:rFonts w:ascii="Century Gothic" w:hAnsi="Century Gothic"/>
              </w:rPr>
            </w:pPr>
            <w:r>
              <w:rPr>
                <w:b/>
                <w:color w:val="4F81BD" w:themeColor="accent1"/>
                <w:u w:val="single"/>
              </w:rPr>
              <w:t>Understanding the World – The World ELG</w:t>
            </w:r>
            <w:r>
              <w:rPr>
                <w:rFonts w:ascii="Century Gothic" w:hAnsi="Century Gothic"/>
                <w:color w:val="4F81BD" w:themeColor="accent1"/>
              </w:rPr>
              <w:t xml:space="preserve"> </w:t>
            </w:r>
            <w:r>
              <w:rPr>
                <w:rFonts w:ascii="Century Gothic" w:hAnsi="Century Gothic"/>
                <w:sz w:val="20"/>
                <w:szCs w:val="20"/>
              </w:rPr>
              <w:t>Children know about similarities and differences in relation to places, objects, materials and living things. They talk about the features of their own immediate environment and how environments might vary from one another.</w:t>
            </w:r>
          </w:p>
        </w:tc>
        <w:tc>
          <w:tcPr>
            <w:tcW w:w="4677" w:type="dxa"/>
            <w:tcBorders>
              <w:top w:val="single" w:sz="4" w:space="0" w:color="auto"/>
              <w:left w:val="single" w:sz="4" w:space="0" w:color="auto"/>
              <w:bottom w:val="single" w:sz="4" w:space="0" w:color="auto"/>
              <w:right w:val="single" w:sz="4" w:space="0" w:color="auto"/>
            </w:tcBorders>
            <w:hideMark/>
          </w:tcPr>
          <w:p w:rsidR="00D810D1" w:rsidRDefault="00D810D1" w:rsidP="00F33DF9">
            <w:pPr>
              <w:pStyle w:val="ListParagraph"/>
              <w:numPr>
                <w:ilvl w:val="0"/>
                <w:numId w:val="12"/>
              </w:numPr>
              <w:tabs>
                <w:tab w:val="left" w:pos="1657"/>
              </w:tabs>
              <w:rPr>
                <w:rFonts w:ascii="Century Gothic" w:hAnsi="Century Gothic"/>
                <w:sz w:val="20"/>
                <w:szCs w:val="20"/>
              </w:rPr>
            </w:pPr>
            <w:r>
              <w:rPr>
                <w:rFonts w:ascii="Century Gothic" w:hAnsi="Century Gothic"/>
                <w:sz w:val="20"/>
                <w:szCs w:val="20"/>
              </w:rPr>
              <w:t xml:space="preserve">changes within living memory. Where appropriate, these should be used to reveal aspects of change in national life </w:t>
            </w:r>
          </w:p>
          <w:p w:rsidR="00D810D1" w:rsidRDefault="00D810D1" w:rsidP="00F33DF9">
            <w:pPr>
              <w:pStyle w:val="ListParagraph"/>
              <w:numPr>
                <w:ilvl w:val="0"/>
                <w:numId w:val="12"/>
              </w:numPr>
              <w:tabs>
                <w:tab w:val="left" w:pos="1657"/>
              </w:tabs>
              <w:rPr>
                <w:rFonts w:ascii="Century Gothic" w:hAnsi="Century Gothic"/>
                <w:sz w:val="20"/>
                <w:szCs w:val="20"/>
              </w:rPr>
            </w:pPr>
            <w:r>
              <w:rPr>
                <w:rFonts w:ascii="Century Gothic" w:hAnsi="Century Gothic"/>
                <w:sz w:val="20"/>
                <w:szCs w:val="20"/>
              </w:rPr>
              <w:t xml:space="preserve">events beyond living memory that are significant nationally or globally [for example, the Great Fire of London, the first aeroplane flight or events commemorated through festivals or anniversaries] </w:t>
            </w:r>
          </w:p>
          <w:p w:rsidR="00D810D1" w:rsidRDefault="00D810D1" w:rsidP="00F33DF9">
            <w:pPr>
              <w:pStyle w:val="ListParagraph"/>
              <w:numPr>
                <w:ilvl w:val="0"/>
                <w:numId w:val="12"/>
              </w:numPr>
              <w:tabs>
                <w:tab w:val="left" w:pos="1657"/>
              </w:tabs>
              <w:rPr>
                <w:rFonts w:ascii="Century Gothic" w:hAnsi="Century Gothic"/>
                <w:sz w:val="20"/>
                <w:szCs w:val="20"/>
              </w:rPr>
            </w:pPr>
            <w:r>
              <w:rPr>
                <w:rFonts w:ascii="Century Gothic" w:hAnsi="Century Gothic"/>
                <w:sz w:val="20"/>
                <w:szCs w:val="20"/>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Pr>
                <w:rFonts w:ascii="Century Gothic" w:hAnsi="Century Gothic"/>
                <w:sz w:val="20"/>
                <w:szCs w:val="20"/>
              </w:rPr>
              <w:t>Seacole</w:t>
            </w:r>
            <w:proofErr w:type="spellEnd"/>
            <w:r>
              <w:rPr>
                <w:rFonts w:ascii="Century Gothic" w:hAnsi="Century Gothic"/>
                <w:sz w:val="20"/>
                <w:szCs w:val="20"/>
              </w:rPr>
              <w:t xml:space="preserve"> and/or Florence Nightingale and Edith Cavell]</w:t>
            </w:r>
          </w:p>
          <w:p w:rsidR="00D810D1" w:rsidRDefault="00D810D1" w:rsidP="00F33DF9">
            <w:pPr>
              <w:pStyle w:val="ListParagraph"/>
              <w:numPr>
                <w:ilvl w:val="0"/>
                <w:numId w:val="12"/>
              </w:numPr>
              <w:tabs>
                <w:tab w:val="left" w:pos="1657"/>
              </w:tabs>
              <w:rPr>
                <w:rFonts w:ascii="Century Gothic" w:hAnsi="Century Gothic"/>
              </w:rPr>
            </w:pPr>
            <w:r>
              <w:rPr>
                <w:rFonts w:ascii="Century Gothic" w:hAnsi="Century Gothic"/>
                <w:sz w:val="20"/>
                <w:szCs w:val="20"/>
              </w:rPr>
              <w:t>significant historical events, people and places in their own locality.</w:t>
            </w:r>
          </w:p>
        </w:tc>
        <w:tc>
          <w:tcPr>
            <w:tcW w:w="4733" w:type="dxa"/>
            <w:tcBorders>
              <w:top w:val="single" w:sz="4" w:space="0" w:color="auto"/>
              <w:left w:val="single" w:sz="4" w:space="0" w:color="auto"/>
              <w:bottom w:val="single" w:sz="4" w:space="0" w:color="auto"/>
              <w:right w:val="single" w:sz="4" w:space="0" w:color="auto"/>
            </w:tcBorders>
          </w:tcPr>
          <w:p w:rsidR="00D810D1" w:rsidRDefault="00D810D1">
            <w:pPr>
              <w:rPr>
                <w:rFonts w:ascii="Century Gothic" w:hAnsi="Century Gothic"/>
                <w:color w:val="4F81BD" w:themeColor="accent1"/>
                <w:sz w:val="20"/>
                <w:szCs w:val="20"/>
              </w:rPr>
            </w:pPr>
            <w:r>
              <w:rPr>
                <w:rFonts w:ascii="Century Gothic" w:hAnsi="Century Gothic"/>
                <w:sz w:val="20"/>
                <w:szCs w:val="20"/>
              </w:rPr>
              <w:t xml:space="preserve">Talk about day to day life – </w:t>
            </w:r>
            <w:r>
              <w:rPr>
                <w:rFonts w:ascii="Century Gothic" w:hAnsi="Century Gothic"/>
                <w:color w:val="4F81BD" w:themeColor="accent1"/>
                <w:sz w:val="20"/>
                <w:szCs w:val="20"/>
              </w:rPr>
              <w:t xml:space="preserve">circle time, Jigsaw, Heart Smart etc. </w:t>
            </w:r>
          </w:p>
          <w:p w:rsidR="00D810D1" w:rsidRDefault="00D810D1">
            <w:pPr>
              <w:rPr>
                <w:rFonts w:ascii="Century Gothic" w:hAnsi="Century Gothic"/>
                <w:color w:val="4F81BD" w:themeColor="accent1"/>
                <w:sz w:val="20"/>
                <w:szCs w:val="20"/>
              </w:rPr>
            </w:pPr>
            <w:r>
              <w:rPr>
                <w:rFonts w:ascii="Century Gothic" w:hAnsi="Century Gothic"/>
                <w:sz w:val="20"/>
                <w:szCs w:val="20"/>
              </w:rPr>
              <w:t xml:space="preserve">Talk about significant past and present events which are important to them – </w:t>
            </w:r>
            <w:r>
              <w:rPr>
                <w:rFonts w:ascii="Century Gothic" w:hAnsi="Century Gothic"/>
                <w:color w:val="4F81BD" w:themeColor="accent1"/>
                <w:sz w:val="20"/>
                <w:szCs w:val="20"/>
              </w:rPr>
              <w:t xml:space="preserve">sharing birthday, Christmas news. </w:t>
            </w:r>
          </w:p>
          <w:p w:rsidR="00D810D1" w:rsidRDefault="00D810D1">
            <w:pPr>
              <w:rPr>
                <w:rFonts w:ascii="Century Gothic" w:hAnsi="Century Gothic"/>
                <w:color w:val="4F81BD" w:themeColor="accent1"/>
                <w:sz w:val="20"/>
                <w:szCs w:val="20"/>
              </w:rPr>
            </w:pPr>
            <w:r>
              <w:rPr>
                <w:rFonts w:ascii="Century Gothic" w:hAnsi="Century Gothic"/>
                <w:sz w:val="20"/>
                <w:szCs w:val="20"/>
              </w:rPr>
              <w:t xml:space="preserve">Show interest in the lives of people who are familiar to them – </w:t>
            </w:r>
            <w:r>
              <w:rPr>
                <w:rFonts w:ascii="Century Gothic" w:hAnsi="Century Gothic"/>
                <w:color w:val="4F81BD" w:themeColor="accent1"/>
                <w:sz w:val="20"/>
                <w:szCs w:val="20"/>
              </w:rPr>
              <w:t xml:space="preserve">children draw pictures of their families &amp; family pictures are displayed in classrooms. </w:t>
            </w:r>
          </w:p>
          <w:p w:rsidR="00D810D1" w:rsidRDefault="00D810D1">
            <w:pPr>
              <w:rPr>
                <w:rFonts w:ascii="Century Gothic" w:hAnsi="Century Gothic"/>
                <w:sz w:val="20"/>
                <w:szCs w:val="20"/>
              </w:rPr>
            </w:pPr>
            <w:r>
              <w:rPr>
                <w:rFonts w:ascii="Century Gothic" w:hAnsi="Century Gothic"/>
                <w:sz w:val="20"/>
                <w:szCs w:val="20"/>
              </w:rPr>
              <w:t xml:space="preserve">Become familiar with the language of time &amp; associate days of the week with specific activities. </w:t>
            </w:r>
          </w:p>
          <w:p w:rsidR="00D810D1" w:rsidRDefault="00D810D1">
            <w:pPr>
              <w:rPr>
                <w:rFonts w:ascii="Century Gothic" w:hAnsi="Century Gothic"/>
                <w:sz w:val="20"/>
                <w:szCs w:val="20"/>
              </w:rPr>
            </w:pPr>
            <w:r>
              <w:rPr>
                <w:rFonts w:ascii="Century Gothic" w:hAnsi="Century Gothic"/>
                <w:sz w:val="20"/>
                <w:szCs w:val="20"/>
              </w:rPr>
              <w:t xml:space="preserve">Ask questions about their own life history. </w:t>
            </w:r>
          </w:p>
          <w:p w:rsidR="00D810D1" w:rsidRDefault="00D810D1">
            <w:pPr>
              <w:rPr>
                <w:rFonts w:ascii="Century Gothic" w:hAnsi="Century Gothic"/>
                <w:sz w:val="20"/>
                <w:szCs w:val="20"/>
              </w:rPr>
            </w:pPr>
            <w:r>
              <w:rPr>
                <w:rFonts w:ascii="Century Gothic" w:hAnsi="Century Gothic"/>
                <w:sz w:val="20"/>
                <w:szCs w:val="20"/>
              </w:rPr>
              <w:t xml:space="preserve">Find out about the life history of other people – joining in with whole school events </w:t>
            </w:r>
            <w:r>
              <w:rPr>
                <w:rFonts w:ascii="Century Gothic" w:hAnsi="Century Gothic"/>
                <w:color w:val="4F81BD" w:themeColor="accent1"/>
                <w:sz w:val="20"/>
                <w:szCs w:val="20"/>
              </w:rPr>
              <w:t xml:space="preserve">e.g. Guy Fawkes day, Remembrance week, Apollo 11 Day etc. </w:t>
            </w:r>
          </w:p>
          <w:p w:rsidR="00D810D1" w:rsidRDefault="00D810D1">
            <w:pPr>
              <w:rPr>
                <w:rFonts w:ascii="Century Gothic" w:hAnsi="Century Gothic"/>
                <w:color w:val="4F81BD" w:themeColor="accent1"/>
                <w:sz w:val="20"/>
                <w:szCs w:val="20"/>
              </w:rPr>
            </w:pPr>
            <w:r>
              <w:rPr>
                <w:rFonts w:ascii="Century Gothic" w:hAnsi="Century Gothic"/>
                <w:sz w:val="20"/>
                <w:szCs w:val="20"/>
              </w:rPr>
              <w:t xml:space="preserve">Observe and notice differences between past &amp; present – </w:t>
            </w:r>
            <w:r>
              <w:rPr>
                <w:rFonts w:ascii="Century Gothic" w:hAnsi="Century Gothic"/>
                <w:color w:val="4F81BD" w:themeColor="accent1"/>
                <w:sz w:val="20"/>
                <w:szCs w:val="20"/>
              </w:rPr>
              <w:t xml:space="preserve">Comparing homes in the past/present linked to ‘Goldilocks &amp; the Three Bears’ </w:t>
            </w:r>
          </w:p>
          <w:p w:rsidR="00D810D1" w:rsidRDefault="00D810D1">
            <w:pPr>
              <w:rPr>
                <w:rFonts w:ascii="Century Gothic" w:hAnsi="Century Gothic"/>
                <w:sz w:val="20"/>
                <w:szCs w:val="20"/>
              </w:rPr>
            </w:pPr>
            <w:r>
              <w:rPr>
                <w:rFonts w:ascii="Century Gothic" w:hAnsi="Century Gothic"/>
                <w:sz w:val="20"/>
                <w:szCs w:val="20"/>
              </w:rPr>
              <w:t xml:space="preserve">Begin to understand the concepts of old and new in relation to own experiences. </w:t>
            </w:r>
          </w:p>
          <w:p w:rsidR="00D810D1" w:rsidRDefault="00D810D1">
            <w:pPr>
              <w:rPr>
                <w:rFonts w:ascii="Century Gothic" w:hAnsi="Century Gothic"/>
                <w:sz w:val="20"/>
                <w:szCs w:val="20"/>
              </w:rPr>
            </w:pPr>
            <w:r>
              <w:rPr>
                <w:rFonts w:ascii="Century Gothic" w:hAnsi="Century Gothic"/>
                <w:sz w:val="20"/>
                <w:szCs w:val="20"/>
              </w:rPr>
              <w:t xml:space="preserve">Experience and explore objects associated with the past, discussing who they might belong to and how they were used. </w:t>
            </w:r>
          </w:p>
          <w:p w:rsidR="00D810D1" w:rsidRDefault="00D810D1">
            <w:pPr>
              <w:rPr>
                <w:rFonts w:ascii="Century Gothic" w:hAnsi="Century Gothic"/>
                <w:sz w:val="20"/>
                <w:szCs w:val="20"/>
              </w:rPr>
            </w:pPr>
            <w:r>
              <w:rPr>
                <w:rFonts w:ascii="Century Gothic" w:hAnsi="Century Gothic"/>
                <w:sz w:val="20"/>
                <w:szCs w:val="20"/>
              </w:rPr>
              <w:t xml:space="preserve">Observe and be aware of time through the sequence of events. </w:t>
            </w:r>
          </w:p>
          <w:p w:rsidR="00D810D1" w:rsidRDefault="00D810D1">
            <w:pPr>
              <w:rPr>
                <w:rFonts w:ascii="Century Gothic" w:hAnsi="Century Gothic"/>
                <w:sz w:val="20"/>
                <w:szCs w:val="20"/>
              </w:rPr>
            </w:pPr>
            <w:r>
              <w:rPr>
                <w:rFonts w:ascii="Century Gothic" w:hAnsi="Century Gothic"/>
                <w:sz w:val="20"/>
                <w:szCs w:val="20"/>
              </w:rPr>
              <w:t xml:space="preserve">Compare differences between items which belong to present &amp; past. </w:t>
            </w:r>
          </w:p>
          <w:p w:rsidR="00D810D1" w:rsidRDefault="00D810D1">
            <w:pPr>
              <w:rPr>
                <w:rFonts w:ascii="Century Gothic" w:hAnsi="Century Gothic"/>
                <w:sz w:val="20"/>
                <w:szCs w:val="20"/>
              </w:rPr>
            </w:pPr>
            <w:r>
              <w:rPr>
                <w:rFonts w:ascii="Century Gothic" w:hAnsi="Century Gothic"/>
                <w:sz w:val="20"/>
                <w:szCs w:val="20"/>
              </w:rPr>
              <w:t xml:space="preserve">Find out about objects &amp; events which happened in the past. </w:t>
            </w:r>
          </w:p>
          <w:p w:rsidR="00D810D1" w:rsidRDefault="00D810D1">
            <w:pPr>
              <w:rPr>
                <w:rFonts w:ascii="Century Gothic" w:hAnsi="Century Gothic"/>
              </w:rPr>
            </w:pPr>
          </w:p>
        </w:tc>
      </w:tr>
    </w:tbl>
    <w:p w:rsidR="007E0C28" w:rsidRDefault="00727D47"/>
    <w:sectPr w:rsidR="007E0C28" w:rsidSect="000A21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23"/>
    <w:multiLevelType w:val="hybridMultilevel"/>
    <w:tmpl w:val="E904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43F2B"/>
    <w:multiLevelType w:val="hybridMultilevel"/>
    <w:tmpl w:val="5D6C7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7678B"/>
    <w:multiLevelType w:val="hybridMultilevel"/>
    <w:tmpl w:val="1048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1608F7"/>
    <w:multiLevelType w:val="hybridMultilevel"/>
    <w:tmpl w:val="95FEC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A1998"/>
    <w:multiLevelType w:val="hybridMultilevel"/>
    <w:tmpl w:val="4588C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B64DB"/>
    <w:multiLevelType w:val="hybridMultilevel"/>
    <w:tmpl w:val="CA02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770B4A"/>
    <w:multiLevelType w:val="hybridMultilevel"/>
    <w:tmpl w:val="B442B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790288"/>
    <w:multiLevelType w:val="hybridMultilevel"/>
    <w:tmpl w:val="A2785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2F4780"/>
    <w:multiLevelType w:val="hybridMultilevel"/>
    <w:tmpl w:val="7C30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D24175"/>
    <w:multiLevelType w:val="hybridMultilevel"/>
    <w:tmpl w:val="CA860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585EB6"/>
    <w:multiLevelType w:val="hybridMultilevel"/>
    <w:tmpl w:val="C10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203984"/>
    <w:multiLevelType w:val="hybridMultilevel"/>
    <w:tmpl w:val="7332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9B4B6C"/>
    <w:multiLevelType w:val="hybridMultilevel"/>
    <w:tmpl w:val="4D2C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902241"/>
    <w:multiLevelType w:val="hybridMultilevel"/>
    <w:tmpl w:val="C08E8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2"/>
  </w:num>
  <w:num w:numId="6">
    <w:abstractNumId w:val="4"/>
  </w:num>
  <w:num w:numId="7">
    <w:abstractNumId w:val="7"/>
  </w:num>
  <w:num w:numId="8">
    <w:abstractNumId w:val="13"/>
  </w:num>
  <w:num w:numId="9">
    <w:abstractNumId w:val="9"/>
  </w:num>
  <w:num w:numId="10">
    <w:abstractNumId w:val="10"/>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D1"/>
    <w:rsid w:val="001F1240"/>
    <w:rsid w:val="00727D47"/>
    <w:rsid w:val="00792CBC"/>
    <w:rsid w:val="00D8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70840-CD5B-4238-8A05-6AFF10F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D1"/>
    <w:pPr>
      <w:ind w:left="720"/>
      <w:contextualSpacing/>
    </w:pPr>
  </w:style>
  <w:style w:type="table" w:styleId="TableGrid">
    <w:name w:val="Table Grid"/>
    <w:basedOn w:val="TableNormal"/>
    <w:uiPriority w:val="59"/>
    <w:rsid w:val="00D810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ian morris</cp:lastModifiedBy>
  <cp:revision>2</cp:revision>
  <dcterms:created xsi:type="dcterms:W3CDTF">2020-01-06T21:04:00Z</dcterms:created>
  <dcterms:modified xsi:type="dcterms:W3CDTF">2020-01-06T21:04:00Z</dcterms:modified>
</cp:coreProperties>
</file>