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FB9C" w14:textId="77777777" w:rsidR="005575C2" w:rsidRDefault="00E7768A">
      <w:pPr>
        <w:spacing w:after="319"/>
        <w:ind w:right="15"/>
        <w:jc w:val="center"/>
      </w:pPr>
      <w:r>
        <w:rPr>
          <w:sz w:val="12"/>
        </w:rPr>
        <w:t>Year 10</w:t>
      </w:r>
    </w:p>
    <w:tbl>
      <w:tblPr>
        <w:tblStyle w:val="TableGrid"/>
        <w:tblW w:w="14769" w:type="dxa"/>
        <w:tblInd w:w="-409" w:type="dxa"/>
        <w:tblCellMar>
          <w:top w:w="36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45"/>
        <w:gridCol w:w="2844"/>
        <w:gridCol w:w="2844"/>
        <w:gridCol w:w="2844"/>
        <w:gridCol w:w="2844"/>
      </w:tblGrid>
      <w:tr w:rsidR="005575C2" w14:paraId="71C9E241" w14:textId="77777777" w:rsidTr="006D6C08">
        <w:trPr>
          <w:trHeight w:val="245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75C948B0" w14:textId="77777777" w:rsidR="005575C2" w:rsidRDefault="00E7768A">
            <w:pPr>
              <w:spacing w:after="0"/>
              <w:ind w:left="48"/>
              <w:jc w:val="both"/>
            </w:pPr>
            <w:r>
              <w:rPr>
                <w:color w:val="FFFFFF"/>
                <w:sz w:val="15"/>
              </w:rPr>
              <w:t>Term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45F690E8" w14:textId="77777777" w:rsidR="005575C2" w:rsidRDefault="00E7768A">
            <w:pPr>
              <w:spacing w:after="0"/>
              <w:ind w:right="34"/>
              <w:jc w:val="center"/>
            </w:pPr>
            <w:r>
              <w:rPr>
                <w:color w:val="FFFFFF"/>
                <w:sz w:val="15"/>
              </w:rPr>
              <w:t>Year 10 Assemblies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1F21EF9F" w14:textId="77777777" w:rsidR="005575C2" w:rsidRDefault="00E7768A">
            <w:pPr>
              <w:spacing w:after="0"/>
              <w:ind w:right="34"/>
              <w:jc w:val="center"/>
            </w:pPr>
            <w:r>
              <w:rPr>
                <w:color w:val="FFFFFF"/>
                <w:sz w:val="15"/>
              </w:rPr>
              <w:t>Year 10 Tutor Time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73F26A58" w14:textId="2A4CA13F" w:rsidR="005575C2" w:rsidRPr="006D6C08" w:rsidRDefault="00E7768A" w:rsidP="006D6C08">
            <w:pPr>
              <w:spacing w:after="0"/>
              <w:ind w:right="34"/>
              <w:jc w:val="center"/>
              <w:rPr>
                <w:color w:val="FFFFFF"/>
                <w:sz w:val="15"/>
              </w:rPr>
            </w:pPr>
            <w:r>
              <w:rPr>
                <w:color w:val="FFFFFF"/>
                <w:sz w:val="15"/>
              </w:rPr>
              <w:t xml:space="preserve">Year 10 </w:t>
            </w:r>
            <w:r>
              <w:rPr>
                <w:color w:val="FFFFFF"/>
                <w:sz w:val="15"/>
              </w:rPr>
              <w:t>Enrichment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35E6AC07" w14:textId="77777777" w:rsidR="005575C2" w:rsidRDefault="00E7768A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Year 10 Extra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6D625E55" w14:textId="77777777" w:rsidR="005575C2" w:rsidRDefault="00E7768A">
            <w:pPr>
              <w:spacing w:after="0"/>
              <w:ind w:right="37"/>
              <w:jc w:val="center"/>
            </w:pPr>
            <w:r>
              <w:rPr>
                <w:color w:val="FFFFFF"/>
                <w:sz w:val="15"/>
              </w:rPr>
              <w:t>Year 10 Visits/External Speakers</w:t>
            </w:r>
          </w:p>
        </w:tc>
      </w:tr>
      <w:tr w:rsidR="006D6C08" w14:paraId="1BCB91B3" w14:textId="77777777" w:rsidTr="006D6C08">
        <w:trPr>
          <w:trHeight w:val="120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68F9CFB9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1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2A2CCA4" w14:textId="77777777" w:rsidR="006D6C08" w:rsidRDefault="006D6C08">
            <w:pPr>
              <w:spacing w:after="0"/>
              <w:ind w:right="34"/>
              <w:jc w:val="center"/>
            </w:pPr>
            <w:r>
              <w:rPr>
                <w:sz w:val="15"/>
              </w:rPr>
              <w:t xml:space="preserve">Finding your Why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A9180A6" w14:textId="77777777" w:rsidR="006D6C08" w:rsidRDefault="006D6C08">
            <w:pPr>
              <w:spacing w:after="0" w:line="321" w:lineRule="auto"/>
              <w:jc w:val="center"/>
            </w:pPr>
            <w:r>
              <w:rPr>
                <w:sz w:val="15"/>
              </w:rPr>
              <w:t xml:space="preserve">Introduction to My Why (Single session in tutor time to check on </w:t>
            </w:r>
          </w:p>
          <w:p w14:paraId="4B014EAC" w14:textId="77777777" w:rsidR="006D6C08" w:rsidRDefault="006D6C08">
            <w:pPr>
              <w:spacing w:after="46"/>
              <w:ind w:right="37"/>
              <w:jc w:val="center"/>
            </w:pPr>
            <w:r>
              <w:rPr>
                <w:sz w:val="15"/>
              </w:rPr>
              <w:t xml:space="preserve">career pilot login status and log </w:t>
            </w:r>
          </w:p>
          <w:p w14:paraId="0C340BAE" w14:textId="77777777" w:rsidR="006D6C08" w:rsidRDefault="006D6C08">
            <w:pPr>
              <w:spacing w:after="0"/>
              <w:ind w:right="33"/>
              <w:jc w:val="center"/>
            </w:pPr>
            <w:r>
              <w:rPr>
                <w:sz w:val="15"/>
              </w:rPr>
              <w:t>current aspiration)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43B0DAF7" w14:textId="77777777" w:rsidR="006D6C08" w:rsidRDefault="006D6C08"/>
        </w:tc>
        <w:tc>
          <w:tcPr>
            <w:tcW w:w="5688" w:type="dxa"/>
            <w:gridSpan w:val="2"/>
            <w:vMerge w:val="restart"/>
            <w:tcBorders>
              <w:top w:val="double" w:sz="4" w:space="0" w:color="3F3F3F"/>
              <w:left w:val="double" w:sz="4" w:space="0" w:color="3F3F3F"/>
              <w:right w:val="double" w:sz="4" w:space="0" w:color="3F3F3F"/>
            </w:tcBorders>
            <w:shd w:val="clear" w:color="auto" w:fill="BDD7EE"/>
          </w:tcPr>
          <w:p w14:paraId="00657E8A" w14:textId="02F43322" w:rsidR="006D6C08" w:rsidRDefault="006D6C08" w:rsidP="006D6C08">
            <w:pPr>
              <w:spacing w:after="0"/>
              <w:ind w:right="35"/>
              <w:rPr>
                <w:sz w:val="15"/>
              </w:rPr>
            </w:pPr>
            <w:r>
              <w:rPr>
                <w:sz w:val="15"/>
              </w:rPr>
              <w:t>Careers Afternoon</w:t>
            </w:r>
          </w:p>
          <w:p w14:paraId="6D5A40D8" w14:textId="77777777" w:rsidR="006D6C08" w:rsidRDefault="006D6C08" w:rsidP="006D6C08">
            <w:pPr>
              <w:spacing w:after="0"/>
              <w:ind w:right="35"/>
            </w:pPr>
          </w:p>
          <w:p w14:paraId="50B4353F" w14:textId="58D2B78A" w:rsidR="006D6C08" w:rsidRDefault="006D6C08" w:rsidP="006D6C08">
            <w:pPr>
              <w:spacing w:after="0"/>
              <w:ind w:right="33"/>
              <w:rPr>
                <w:sz w:val="15"/>
              </w:rPr>
            </w:pPr>
            <w:r>
              <w:rPr>
                <w:sz w:val="15"/>
              </w:rPr>
              <w:t>Workplace visits</w:t>
            </w:r>
          </w:p>
          <w:p w14:paraId="26D8182E" w14:textId="77777777" w:rsidR="006D6C08" w:rsidRDefault="006D6C08" w:rsidP="006D6C08">
            <w:pPr>
              <w:spacing w:after="0"/>
              <w:ind w:right="33"/>
            </w:pPr>
          </w:p>
          <w:p w14:paraId="2C6B85CF" w14:textId="4B245787" w:rsidR="006D6C08" w:rsidRDefault="006D6C08" w:rsidP="006D6C08">
            <w:pPr>
              <w:spacing w:after="0"/>
              <w:ind w:right="33"/>
              <w:rPr>
                <w:sz w:val="15"/>
              </w:rPr>
            </w:pPr>
            <w:r>
              <w:rPr>
                <w:sz w:val="15"/>
              </w:rPr>
              <w:t>National Apprenticeship Week</w:t>
            </w:r>
          </w:p>
          <w:p w14:paraId="4C3EC66F" w14:textId="77777777" w:rsidR="006D6C08" w:rsidRDefault="006D6C08" w:rsidP="006D6C08">
            <w:pPr>
              <w:spacing w:after="0"/>
              <w:ind w:right="33"/>
            </w:pPr>
          </w:p>
          <w:p w14:paraId="33F928D9" w14:textId="1F4F7BD9" w:rsidR="006D6C08" w:rsidRDefault="006D6C08" w:rsidP="006D6C08">
            <w:pPr>
              <w:spacing w:after="0"/>
              <w:ind w:right="34"/>
              <w:rPr>
                <w:sz w:val="15"/>
              </w:rPr>
            </w:pPr>
            <w:r>
              <w:rPr>
                <w:sz w:val="15"/>
              </w:rPr>
              <w:t>S4S Speaker</w:t>
            </w:r>
          </w:p>
          <w:p w14:paraId="474F0069" w14:textId="77777777" w:rsidR="006D6C08" w:rsidRDefault="006D6C08" w:rsidP="006D6C08">
            <w:pPr>
              <w:spacing w:after="0"/>
              <w:ind w:right="34"/>
            </w:pPr>
          </w:p>
          <w:p w14:paraId="78A0CDB8" w14:textId="3CCF880C" w:rsidR="006D6C08" w:rsidRDefault="006D6C08" w:rsidP="006D6C08">
            <w:pPr>
              <w:spacing w:after="0"/>
              <w:ind w:right="33"/>
              <w:rPr>
                <w:sz w:val="15"/>
              </w:rPr>
            </w:pPr>
            <w:r>
              <w:rPr>
                <w:sz w:val="15"/>
              </w:rPr>
              <w:t>National Careers Week</w:t>
            </w:r>
          </w:p>
          <w:p w14:paraId="00A30E47" w14:textId="77777777" w:rsidR="006D6C08" w:rsidRDefault="006D6C08" w:rsidP="006D6C08">
            <w:pPr>
              <w:spacing w:after="0"/>
              <w:ind w:right="33"/>
            </w:pPr>
          </w:p>
          <w:p w14:paraId="4C00F139" w14:textId="0A676C13" w:rsidR="006D6C08" w:rsidRDefault="006D6C08" w:rsidP="006D6C08">
            <w:pPr>
              <w:spacing w:after="0"/>
              <w:ind w:right="37"/>
              <w:rPr>
                <w:sz w:val="15"/>
              </w:rPr>
            </w:pPr>
            <w:r>
              <w:rPr>
                <w:sz w:val="15"/>
              </w:rPr>
              <w:t>University workshops/visits</w:t>
            </w:r>
          </w:p>
          <w:p w14:paraId="3CA9C3CF" w14:textId="77777777" w:rsidR="006D6C08" w:rsidRDefault="006D6C08" w:rsidP="006D6C08">
            <w:pPr>
              <w:spacing w:after="0"/>
              <w:ind w:right="37"/>
            </w:pPr>
          </w:p>
          <w:p w14:paraId="5B32E867" w14:textId="57C9B64D" w:rsidR="006D6C08" w:rsidRDefault="006D6C08" w:rsidP="006D6C08">
            <w:pPr>
              <w:spacing w:after="0"/>
              <w:ind w:right="33"/>
              <w:rPr>
                <w:sz w:val="15"/>
              </w:rPr>
            </w:pPr>
            <w:r>
              <w:rPr>
                <w:sz w:val="15"/>
              </w:rPr>
              <w:t>Work Experience Placements</w:t>
            </w:r>
          </w:p>
          <w:p w14:paraId="70637EE3" w14:textId="77777777" w:rsidR="006D6C08" w:rsidRDefault="006D6C08" w:rsidP="006D6C08">
            <w:pPr>
              <w:spacing w:after="0"/>
              <w:ind w:right="33"/>
            </w:pPr>
          </w:p>
          <w:p w14:paraId="4B0AA94F" w14:textId="3407BF47" w:rsidR="006D6C08" w:rsidRDefault="006D6C08" w:rsidP="006D6C08">
            <w:pPr>
              <w:spacing w:after="0"/>
              <w:ind w:right="35"/>
              <w:rPr>
                <w:sz w:val="15"/>
              </w:rPr>
            </w:pPr>
            <w:r>
              <w:rPr>
                <w:sz w:val="15"/>
              </w:rPr>
              <w:t>Post 16 Taster Days</w:t>
            </w:r>
          </w:p>
          <w:p w14:paraId="2841E787" w14:textId="77777777" w:rsidR="006D6C08" w:rsidRDefault="006D6C08" w:rsidP="006D6C08">
            <w:pPr>
              <w:spacing w:after="0"/>
              <w:ind w:right="35"/>
            </w:pPr>
          </w:p>
          <w:p w14:paraId="42002D03" w14:textId="730E1922" w:rsidR="006D6C08" w:rsidRDefault="006D6C08" w:rsidP="006D6C08">
            <w:pPr>
              <w:spacing w:after="0"/>
            </w:pPr>
            <w:r>
              <w:rPr>
                <w:sz w:val="15"/>
              </w:rPr>
              <w:t>Local Provider visits (e.g. workshops at Wiltshire College)</w:t>
            </w:r>
          </w:p>
        </w:tc>
      </w:tr>
      <w:tr w:rsidR="006D6C08" w14:paraId="477E85FE" w14:textId="77777777" w:rsidTr="006D6C08">
        <w:trPr>
          <w:trHeight w:val="1207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6BA1500C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2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688DC44" w14:textId="50B53403" w:rsidR="006D6C08" w:rsidRDefault="006D6C08">
            <w:pPr>
              <w:spacing w:after="0"/>
              <w:ind w:right="37"/>
              <w:jc w:val="center"/>
            </w:pPr>
            <w:r>
              <w:rPr>
                <w:sz w:val="15"/>
              </w:rPr>
              <w:t xml:space="preserve">Green Careers Week Assembly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B76D293" w14:textId="529929E3" w:rsidR="006D6C08" w:rsidRDefault="006D6C08">
            <w:pPr>
              <w:spacing w:after="0"/>
              <w:jc w:val="center"/>
            </w:pP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879423F" w14:textId="58E8B84A" w:rsidR="006D6C08" w:rsidRDefault="006D6C08">
            <w:pPr>
              <w:spacing w:after="0"/>
              <w:jc w:val="center"/>
            </w:pP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99D02BA" w14:textId="47D6396A" w:rsidR="006D6C08" w:rsidRDefault="006D6C08" w:rsidP="007C347F">
            <w:pPr>
              <w:spacing w:after="0"/>
              <w:jc w:val="center"/>
            </w:pPr>
          </w:p>
        </w:tc>
      </w:tr>
      <w:tr w:rsidR="006D6C08" w14:paraId="06718F53" w14:textId="77777777" w:rsidTr="006D6C08">
        <w:trPr>
          <w:trHeight w:val="120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5BE734BE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3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FDF4433" w14:textId="090DDC26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National Apprenticeship Week Assembly and Work experience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34836F0" w14:textId="77777777" w:rsidR="006D6C08" w:rsidRDefault="006D6C08">
            <w:pPr>
              <w:spacing w:after="46"/>
              <w:ind w:right="32"/>
              <w:jc w:val="center"/>
            </w:pPr>
            <w:r>
              <w:rPr>
                <w:sz w:val="15"/>
              </w:rPr>
              <w:t xml:space="preserve">National Apprenticeships Week </w:t>
            </w:r>
          </w:p>
          <w:p w14:paraId="447069EE" w14:textId="5470591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Activities and activities to support ongoing Work Experience Applications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79CBA03" w14:textId="7777777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Placement sign ups sessions and interviews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99C90F2" w14:textId="504ACC5E" w:rsidR="006D6C08" w:rsidRDefault="006D6C08" w:rsidP="007C347F">
            <w:pPr>
              <w:spacing w:after="0"/>
              <w:jc w:val="center"/>
            </w:pPr>
          </w:p>
        </w:tc>
      </w:tr>
      <w:tr w:rsidR="006D6C08" w14:paraId="24BC34F9" w14:textId="77777777" w:rsidTr="006D6C08">
        <w:trPr>
          <w:trHeight w:val="1207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D941CEC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4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626654C" w14:textId="77777777" w:rsidR="006D6C08" w:rsidRDefault="006D6C08">
            <w:pPr>
              <w:spacing w:after="0"/>
              <w:ind w:right="37"/>
              <w:jc w:val="center"/>
            </w:pPr>
            <w:r>
              <w:rPr>
                <w:sz w:val="15"/>
              </w:rPr>
              <w:t>National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A08ED19" w14:textId="7777777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National Careers Week Activities and ongoing work experience applications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37CC5C7" w14:textId="77777777" w:rsidR="006D6C08" w:rsidRDefault="006D6C08">
            <w:pPr>
              <w:spacing w:after="46"/>
              <w:ind w:right="34"/>
              <w:jc w:val="center"/>
            </w:pPr>
            <w:r>
              <w:rPr>
                <w:sz w:val="15"/>
              </w:rPr>
              <w:t xml:space="preserve">Work Experience Preparation </w:t>
            </w:r>
          </w:p>
          <w:p w14:paraId="74BC3A22" w14:textId="7777777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(finance, wages, rights and responsibilities etc.)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2201B19" w14:textId="4F9B6147" w:rsidR="006D6C08" w:rsidRDefault="006D6C08" w:rsidP="007C347F">
            <w:pPr>
              <w:spacing w:after="0"/>
              <w:jc w:val="center"/>
            </w:pPr>
          </w:p>
        </w:tc>
      </w:tr>
      <w:tr w:rsidR="006D6C08" w14:paraId="1C8AB9AE" w14:textId="77777777" w:rsidTr="006D6C08">
        <w:trPr>
          <w:trHeight w:val="120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6348F259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5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0863287" w14:textId="77777777" w:rsidR="006D6C08" w:rsidRDefault="006D6C08">
            <w:pPr>
              <w:spacing w:after="0"/>
              <w:ind w:left="10"/>
              <w:jc w:val="center"/>
            </w:pPr>
            <w:r>
              <w:rPr>
                <w:sz w:val="15"/>
              </w:rPr>
              <w:t>The labour market in the UK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74D11A0" w14:textId="7777777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 xml:space="preserve">National Area Labour Market Information Activity 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2AA03E4" w14:textId="77777777" w:rsidR="006D6C08" w:rsidRDefault="006D6C08">
            <w:pPr>
              <w:spacing w:after="0"/>
              <w:ind w:right="34"/>
              <w:jc w:val="center"/>
            </w:pPr>
            <w:r>
              <w:rPr>
                <w:sz w:val="15"/>
              </w:rPr>
              <w:t xml:space="preserve">Work Experience Placements 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9C097C1" w14:textId="7C418F63" w:rsidR="006D6C08" w:rsidRDefault="006D6C08" w:rsidP="007C347F">
            <w:pPr>
              <w:spacing w:after="0"/>
              <w:jc w:val="center"/>
            </w:pPr>
          </w:p>
        </w:tc>
      </w:tr>
      <w:tr w:rsidR="006D6C08" w14:paraId="492F960C" w14:textId="77777777" w:rsidTr="006D6C08">
        <w:trPr>
          <w:trHeight w:val="120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110217A3" w14:textId="77777777" w:rsidR="006D6C08" w:rsidRDefault="006D6C08">
            <w:pPr>
              <w:spacing w:after="0"/>
              <w:ind w:right="36"/>
              <w:jc w:val="center"/>
            </w:pPr>
            <w:r>
              <w:rPr>
                <w:color w:val="FFFFFF"/>
                <w:sz w:val="15"/>
              </w:rPr>
              <w:t>6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18519060" w14:textId="77777777" w:rsidR="006D6C08" w:rsidRDefault="006D6C08">
            <w:pPr>
              <w:spacing w:after="0"/>
              <w:jc w:val="center"/>
            </w:pPr>
            <w:r>
              <w:rPr>
                <w:sz w:val="15"/>
              </w:rPr>
              <w:t>Post 16 Assemblies and external providers presentations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0C1C6348" w14:textId="77777777" w:rsidR="006D6C08" w:rsidRDefault="006D6C08">
            <w:pPr>
              <w:spacing w:after="0"/>
              <w:ind w:left="10" w:firstLine="9"/>
              <w:jc w:val="center"/>
            </w:pPr>
            <w:r>
              <w:rPr>
                <w:sz w:val="15"/>
              </w:rPr>
              <w:t>Work Experience Review and introduction to options for post 16 and starting 121 advice sessions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381981AC" w14:textId="77777777" w:rsidR="006D6C08" w:rsidRDefault="006D6C08"/>
        </w:tc>
        <w:tc>
          <w:tcPr>
            <w:tcW w:w="5688" w:type="dxa"/>
            <w:gridSpan w:val="2"/>
            <w:vMerge/>
            <w:tcBorders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FA6B30B" w14:textId="3708F159" w:rsidR="006D6C08" w:rsidRDefault="006D6C08">
            <w:pPr>
              <w:spacing w:after="0"/>
              <w:jc w:val="center"/>
            </w:pPr>
          </w:p>
        </w:tc>
      </w:tr>
    </w:tbl>
    <w:p w14:paraId="419C1729" w14:textId="2943237E" w:rsidR="005575C2" w:rsidRDefault="00E7768A">
      <w:pPr>
        <w:spacing w:after="0"/>
        <w:ind w:left="5845"/>
      </w:pPr>
      <w:r>
        <w:rPr>
          <w:sz w:val="12"/>
        </w:rPr>
        <w:t>Devizes School 2023</w:t>
      </w:r>
      <w:r>
        <w:rPr>
          <w:sz w:val="12"/>
        </w:rPr>
        <w:t>-24</w:t>
      </w:r>
      <w:r>
        <w:rPr>
          <w:sz w:val="12"/>
        </w:rPr>
        <w:t xml:space="preserve"> Careers Education Plan</w:t>
      </w:r>
    </w:p>
    <w:sectPr w:rsidR="005575C2">
      <w:pgSz w:w="16834" w:h="11904" w:orient="landscape"/>
      <w:pgMar w:top="497" w:right="1440" w:bottom="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C2"/>
    <w:rsid w:val="005575C2"/>
    <w:rsid w:val="006D6C08"/>
    <w:rsid w:val="00E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A6F1"/>
  <w15:docId w15:val="{BD319259-2D7D-4F94-9322-C1DB124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cp:lastModifiedBy>D. Fiddament</cp:lastModifiedBy>
  <cp:revision>3</cp:revision>
  <dcterms:created xsi:type="dcterms:W3CDTF">2023-12-03T15:14:00Z</dcterms:created>
  <dcterms:modified xsi:type="dcterms:W3CDTF">2023-12-03T15:14:00Z</dcterms:modified>
</cp:coreProperties>
</file>